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0B2545"/>
          <w:sz w:val="47"/>
        </w:rPr>
        <w:t>M2-W - Théorème VOL-COVER</w:t>
      </w:r>
    </w:p>
    <w:p>
      <w:pPr>
        <w:keepNext/>
        <w:spacing w:before="0" w:after="240"/>
      </w:pPr>
      <w:r>
        <w:rPr>
          <w:rFonts w:ascii="Calibri" w:hAnsi="Calibri"/>
          <w:i/>
          <w:color w:val="5F6B78"/>
          <w:sz w:val="25"/>
        </w:rPr>
        <w:t>Confinement auxiliaire doux, support total et couverture ergodique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Programme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Blob Principle - Modèle M2-W</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Porte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VOL-COVER - couverture sans cutoff dur du graphe de Pachner</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Verdict</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[T] fermée pour le sampler auxiliaire sous A32-A38</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Mécanisme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Borne combinatoire + biais doux à support total + récurrence positive</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Ne prouve pas</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Temps de mélange, contrôle physique du volume, normalisation de M2-W</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Date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27 juillet 2026</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Décision. </w:t>
            </w:r>
            <w:r>
              <w:rPr>
                <w:rFonts w:ascii="Calibri" w:hAnsi="Calibri"/>
                <w:color w:val="0B2545"/>
                <w:sz w:val="22"/>
              </w:rPr>
              <w:t>Le plafond dur N≤N_max est supprimé du théorème d'échantillonnage. Il est remplacé par un biais auxiliaire positif sur tout volume, dont la normalisabilité est démontrée non asymptotiquement par une borne de comptage explicite. Le graphe de Pachner complet demeure donc accessible. Le sampler réversible est irréductible, non explosif et récurrent positif; ses moyennes d'occupation convergent. VOL-COVER est fermée comme porte mathématique. Aucun temps de mélange utile n'en découle.</w:t>
            </w:r>
          </w:p>
        </w:tc>
      </w:tr>
    </w:tbl>
    <w:p>
      <w:pPr>
        <w:keepLines w:val="0"/>
        <w:spacing w:before="0" w:after="40" w:line="264" w:lineRule="auto"/>
        <w:jc w:val="left"/>
      </w:pPr>
      <w:r>
        <w:rPr>
          <w:rFonts w:ascii="Calibri" w:hAnsi="Calibri"/>
          <w:b w:val="0"/>
          <w:i w:val="0"/>
          <w:color w:val="000000"/>
          <w:sz w:val="22"/>
        </w:rPr>
      </w:r>
    </w:p>
    <w:p>
      <w:pPr>
        <w:pStyle w:val="Heading1"/>
        <w:keepNext/>
      </w:pPr>
      <w:r>
        <w:t>Carte exacte des verdicts</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FACE-BOUND</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|Ω_N|≤(24N)^(2N) pour les triangulations admissibles.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SOFT-NORM</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Un g_*(N)&gt;0 explicite donne Z_*≤3/2.</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AUX-IRRED</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Pachner + taux strictement positifs donnent l'irréductibilité.</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AUX-POSREC</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Non-explosion + probabilité invariante impliquent la récurrence positive.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OUVERT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MIX-TIME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La couverture en temps infini ne borne pas le coût d'accès aux grands 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OUVERT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VOL-CTRL / NORM</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biais auxiliaire ne normalise pas la théorie physique.</w:t>
            </w:r>
          </w:p>
        </w:tc>
      </w:tr>
    </w:tbl>
    <w:p>
      <w:pPr>
        <w:keepLines w:val="0"/>
        <w:spacing w:before="0" w:after="40" w:line="264" w:lineRule="auto"/>
        <w:jc w:val="left"/>
      </w:pPr>
      <w:r>
        <w:rPr>
          <w:rFonts w:ascii="Calibri" w:hAnsi="Calibri"/>
          <w:b w:val="0"/>
          <w:i w:val="0"/>
          <w:color w:val="000000"/>
          <w:sz w:val="22"/>
        </w:rPr>
      </w:r>
    </w:p>
    <w:p>
      <w:r>
        <w:br w:type="page"/>
      </w:r>
    </w:p>
    <w:p>
      <w:pPr>
        <w:pStyle w:val="Heading1"/>
        <w:keepNext/>
      </w:pPr>
      <w:r>
        <w:t>1. Cadre et quantité à dominer</w:t>
      </w:r>
    </w:p>
    <w:p>
      <w:pPr>
        <w:keepLines w:val="0"/>
        <w:spacing w:before="0" w:after="120" w:line="264" w:lineRule="auto"/>
        <w:jc w:val="left"/>
      </w:pPr>
      <w:r>
        <w:rPr>
          <w:rFonts w:ascii="Calibri" w:hAnsi="Calibri"/>
          <w:b w:val="0"/>
          <w:i w:val="0"/>
          <w:color w:val="000000"/>
          <w:sz w:val="22"/>
        </w:rPr>
        <w:t>Soit Ω_N l'ensemble fini des classes d'isomorphisme de triangulations simpliciales honnêtes, fermées, de la PL-variété T³, possédant N=N₃ tétraèdres. La somme microcanonique de M2-W est</w:t>
      </w:r>
    </w:p>
    <w:p>
      <w:pPr>
        <w:keepLines/>
        <w:spacing w:before="60" w:after="140" w:line="240" w:lineRule="auto"/>
        <w:jc w:val="center"/>
      </w:pPr>
      <w:r>
        <w:rPr>
          <w:rFonts w:ascii="Cambria Math" w:hAnsi="Cambria Math"/>
          <w:color w:val="0B2545"/>
          <w:sz w:val="22"/>
        </w:rPr>
        <w:t>A_N=Σ_[Σ]∈Ω_N W(Σ)/|Aut(Σ)|,   W(Σ)=exp{[αL(Σ)-bD(Σ)]/τ}.                       (1)</w:t>
      </w:r>
    </w:p>
    <w:p>
      <w:pPr>
        <w:keepLines w:val="0"/>
        <w:spacing w:before="0" w:after="120" w:line="264" w:lineRule="auto"/>
        <w:jc w:val="left"/>
      </w:pPr>
      <w:r>
        <w:rPr>
          <w:rFonts w:ascii="Calibri" w:hAnsi="Calibri"/>
          <w:b w:val="0"/>
          <w:i w:val="0"/>
          <w:color w:val="000000"/>
          <w:sz w:val="22"/>
        </w:rPr>
        <w:t>On suppose τ&gt;0 et b≥0. Le résultat GEN-WELLPOSED donne L(Σ)≤2N log4 et D(Σ)≥0. En posant</w:t>
      </w:r>
    </w:p>
    <w:p>
      <w:pPr>
        <w:keepLines/>
        <w:spacing w:before="60" w:after="140" w:line="240" w:lineRule="auto"/>
        <w:jc w:val="center"/>
      </w:pPr>
      <w:r>
        <w:rPr>
          <w:rFonts w:ascii="Cambria Math" w:hAnsi="Cambria Math"/>
          <w:color w:val="0B2545"/>
          <w:sz w:val="22"/>
        </w:rPr>
        <w:t>c_W=2 max(α,0) log4 / τ,   0&lt;W(Σ)≤exp(c_W N).                              (2)</w:t>
      </w:r>
    </w:p>
    <w:p>
      <w:pPr>
        <w:spacing w:before="0" w:after="120" w:line="264" w:lineRule="auto"/>
      </w:pPr>
      <w:r>
        <w:rPr>
          <w:rFonts w:ascii="Calibri" w:hAnsi="Calibri"/>
          <w:b/>
          <w:color w:val="000000"/>
          <w:sz w:val="22"/>
        </w:rPr>
        <w:t xml:space="preserve">Nature de la preuve. </w:t>
      </w:r>
      <w:r>
        <w:rPr>
          <w:rFonts w:ascii="Calibri" w:hAnsi="Calibri"/>
          <w:color w:val="000000"/>
          <w:sz w:val="22"/>
        </w:rPr>
        <w:t>Aucune hypothèse sur la vraie croissance asymptotique de A_N n'est utilisée. La borne volontairement grossière doit seulement être explicite et valable pour chaque N.</w:t>
      </w:r>
    </w:p>
    <w:p>
      <w:pPr>
        <w:pStyle w:val="Heading1"/>
        <w:keepNext/>
      </w:pPr>
      <w:r>
        <w:t>2. Lemme FACE-BOUND - encodage par recollement</w:t>
      </w:r>
    </w:p>
    <w:p>
      <w:pPr>
        <w:keepLines w:val="0"/>
        <w:spacing w:before="0" w:after="120" w:line="264" w:lineRule="auto"/>
        <w:jc w:val="left"/>
      </w:pPr>
      <w:r>
        <w:rPr>
          <w:rFonts w:ascii="Calibri" w:hAnsi="Calibri"/>
          <w:b w:val="0"/>
          <w:i w:val="0"/>
          <w:color w:val="000000"/>
          <w:sz w:val="22"/>
        </w:rPr>
        <w:t>Étiquetons provisoirement les N tétraèdres et leurs 4N faces. Une triangulation fermée peut être encodée par (i) une partition des 4N faces en 2N paires, puis (ii) une bijection simpliciale entre les deux triangles de chaque paire. Il existe (4N-1)!! appariements et 6 bijections par paire.</w:t>
      </w:r>
    </w:p>
    <w:p>
      <w:pPr>
        <w:keepLines/>
        <w:spacing w:before="60" w:after="140" w:line="240" w:lineRule="auto"/>
        <w:jc w:val="center"/>
      </w:pPr>
      <w:r>
        <w:rPr>
          <w:rFonts w:ascii="Cambria Math" w:hAnsi="Cambria Math"/>
          <w:color w:val="0B2545"/>
          <w:sz w:val="22"/>
        </w:rPr>
        <w:t>|Ω_N|≤(4N-1)!! 6^(2N) ≤(4N)^(2N)6^(2N)=(24N)^(2N).                     (3)</w:t>
      </w:r>
    </w:p>
    <w:p>
      <w:pPr>
        <w:keepLines/>
        <w:spacing w:before="0" w:after="120" w:line="264" w:lineRule="auto"/>
      </w:pPr>
      <w:r>
        <w:rPr>
          <w:rFonts w:ascii="Calibri" w:hAnsi="Calibri"/>
          <w:b/>
          <w:color w:val="0B2545"/>
          <w:sz w:val="22"/>
        </w:rPr>
        <w:t xml:space="preserve">Pourquoi c'est une borne. </w:t>
      </w:r>
      <w:r>
        <w:rPr>
          <w:rFonts w:ascii="Calibri" w:hAnsi="Calibri"/>
          <w:color w:val="000000"/>
          <w:sz w:val="22"/>
        </w:rPr>
        <w:t>Toute triangulation admissible possède au moins un tel encodage étiqueté. Les recollements qui ne sont pas des complexes simpliciaux honnêtes, qui ne sont pas des variétés, ou qui n'ont pas la topologie T³ ne peuvent qu'augmenter le surcomptage. L'oubli des étiquettes et les automorphismes ne l'invalident pas.</w:t>
      </w:r>
    </w:p>
    <w:p>
      <w:pPr>
        <w:pStyle w:val="Heading1"/>
        <w:keepNext/>
      </w:pPr>
      <w:r>
        <w:t>3. Corollaire de couche</w:t>
      </w:r>
    </w:p>
    <w:p>
      <w:pPr>
        <w:keepLines w:val="0"/>
        <w:spacing w:before="0" w:after="120" w:line="264" w:lineRule="auto"/>
        <w:jc w:val="left"/>
      </w:pPr>
      <w:r>
        <w:rPr>
          <w:rFonts w:ascii="Calibri" w:hAnsi="Calibri"/>
          <w:b w:val="0"/>
          <w:i w:val="0"/>
          <w:color w:val="000000"/>
          <w:sz w:val="22"/>
        </w:rPr>
        <w:t>Comme 1/|Aut(Σ)|≤1, (2) et (3) impliquent la borne uniforme</w:t>
      </w:r>
    </w:p>
    <w:p>
      <w:pPr>
        <w:keepLines/>
        <w:spacing w:before="60" w:after="140" w:line="240" w:lineRule="auto"/>
        <w:jc w:val="center"/>
      </w:pPr>
      <w:r>
        <w:rPr>
          <w:rFonts w:ascii="Cambria Math" w:hAnsi="Cambria Math"/>
          <w:color w:val="0B2545"/>
          <w:sz w:val="22"/>
        </w:rPr>
        <w:t>0≤A_N≤(24N)^(2N) exp(c_W N).                        (4)</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Point de rigueur. </w:t>
            </w:r>
            <w:r>
              <w:rPr>
                <w:rFonts w:ascii="Calibri" w:hAnsi="Calibri"/>
                <w:color w:val="0B2545"/>
                <w:sz w:val="22"/>
              </w:rPr>
              <w:t>Cette estimation est superexponentielle et ne ferme donc pas NORM-M2W avec un potentiel chimique linéaire. Elle suffit en revanche à fabriquer une loi auxiliaire normalisable.</w:t>
            </w:r>
          </w:p>
        </w:tc>
      </w:tr>
    </w:tbl>
    <w:p>
      <w:pPr>
        <w:keepLines w:val="0"/>
        <w:spacing w:before="0" w:after="40" w:line="264" w:lineRule="auto"/>
        <w:jc w:val="left"/>
      </w:pPr>
      <w:r>
        <w:rPr>
          <w:rFonts w:ascii="Calibri" w:hAnsi="Calibri"/>
          <w:b w:val="0"/>
          <w:i w:val="0"/>
          <w:color w:val="000000"/>
          <w:sz w:val="22"/>
        </w:rPr>
      </w:r>
    </w:p>
    <w:p>
      <w:r>
        <w:br w:type="page"/>
      </w:r>
    </w:p>
    <w:p>
      <w:pPr>
        <w:pStyle w:val="Heading1"/>
        <w:keepNext/>
      </w:pPr>
      <w:r>
        <w:t>4. Théorème SOFT-NORM - biais explicite</w:t>
      </w:r>
    </w:p>
    <w:p>
      <w:pPr>
        <w:keepLines w:val="0"/>
        <w:spacing w:before="0" w:after="120" w:line="264" w:lineRule="auto"/>
        <w:jc w:val="left"/>
      </w:pPr>
      <w:r>
        <w:rPr>
          <w:rFonts w:ascii="Calibri" w:hAnsi="Calibri"/>
          <w:b w:val="0"/>
          <w:i w:val="0"/>
          <w:color w:val="000000"/>
          <w:sz w:val="22"/>
        </w:rPr>
        <w:t>Définissons, pour tout entier N≥1,</w:t>
      </w:r>
    </w:p>
    <w:p>
      <w:pPr>
        <w:keepLines/>
        <w:spacing w:before="60" w:after="140" w:line="240" w:lineRule="auto"/>
        <w:jc w:val="center"/>
      </w:pPr>
      <w:r>
        <w:rPr>
          <w:rFonts w:ascii="Cambria Math" w:hAnsi="Cambria Math"/>
          <w:color w:val="0B2545"/>
          <w:sz w:val="22"/>
        </w:rPr>
        <w:t>g_*(N)=24^(-2N) exp(-c_W N) (N+1)^(-3N).            (5)</w:t>
      </w:r>
    </w:p>
    <w:p>
      <w:pPr>
        <w:keepLines w:val="0"/>
        <w:spacing w:before="0" w:after="120" w:line="264" w:lineRule="auto"/>
        <w:jc w:val="left"/>
      </w:pPr>
      <w:r>
        <w:rPr>
          <w:rFonts w:ascii="Calibri" w:hAnsi="Calibri"/>
          <w:b w:val="0"/>
          <w:i w:val="0"/>
          <w:color w:val="000000"/>
          <w:sz w:val="22"/>
        </w:rPr>
        <w:t>Ce biais est strictement positif à chaque volume. En combinant (4) et (5), on obtient sans limite asymptotique</w:t>
      </w:r>
    </w:p>
    <w:p>
      <w:pPr>
        <w:keepLines/>
        <w:spacing w:before="60" w:after="140" w:line="240" w:lineRule="auto"/>
        <w:jc w:val="center"/>
      </w:pPr>
      <w:r>
        <w:rPr>
          <w:rFonts w:ascii="Cambria Math" w:hAnsi="Cambria Math"/>
          <w:color w:val="0B2545"/>
          <w:sz w:val="22"/>
        </w:rPr>
        <w:t>A_N g_*(N) ≤[N²/(N+1)³]^N ≤N^(-N).                                          (6)</w:t>
      </w:r>
    </w:p>
    <w:p>
      <w:pPr>
        <w:keepLines/>
        <w:spacing w:before="0" w:after="120" w:line="264" w:lineRule="auto"/>
      </w:pPr>
      <w:r>
        <w:rPr>
          <w:rFonts w:ascii="Calibri" w:hAnsi="Calibri"/>
          <w:b/>
          <w:color w:val="0B2545"/>
          <w:sz w:val="22"/>
        </w:rPr>
        <w:t xml:space="preserve">Dernière inégalité. </w:t>
      </w:r>
      <w:r>
        <w:rPr>
          <w:rFonts w:ascii="Calibri" w:hAnsi="Calibri"/>
          <w:color w:val="000000"/>
          <w:sz w:val="22"/>
        </w:rPr>
        <w:t>Elle équivaut à N³≤(N+1)³. Aucun ajustement numérique ni constante inconnue n'intervient.</w:t>
      </w:r>
    </w:p>
    <w:p>
      <w:pPr>
        <w:keepLines w:val="0"/>
        <w:spacing w:before="0" w:after="120" w:line="264" w:lineRule="auto"/>
        <w:jc w:val="left"/>
      </w:pPr>
      <w:r>
        <w:rPr>
          <w:rFonts w:ascii="Calibri" w:hAnsi="Calibri"/>
          <w:b w:val="0"/>
          <w:i w:val="0"/>
          <w:color w:val="000000"/>
          <w:sz w:val="22"/>
        </w:rPr>
        <w:t>La fonction de partition auxiliaire existe donc et satisfait</w:t>
      </w:r>
    </w:p>
    <w:p>
      <w:pPr>
        <w:keepLines/>
        <w:spacing w:before="60" w:after="140" w:line="240" w:lineRule="auto"/>
        <w:jc w:val="center"/>
      </w:pPr>
      <w:r>
        <w:rPr>
          <w:rFonts w:ascii="Cambria Math" w:hAnsi="Cambria Math"/>
          <w:color w:val="0B2545"/>
          <w:sz w:val="22"/>
        </w:rPr>
        <w:t>Z_*=Σ_(N≥1) A_Ng_*(N) ≤Σ_(N≥1)N^(-N) ≤1+Σ_(N≥2)2^(-N)=3/2.                             (7)</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Théorème non conditionnel. </w:t>
            </w:r>
            <w:r>
              <w:rPr>
                <w:rFonts w:ascii="Calibri" w:hAnsi="Calibri"/>
                <w:color w:val="0B2545"/>
                <w:sz w:val="22"/>
              </w:rPr>
              <w:t>Sous les hypothèses de signe et de finitude de (1)-(2), Z_*&lt;∞ est prouvé même si l'entropie microcanonique réelle s_+ est infinie. SOFT-NORM concerne le sampler auxiliaire, jamais la mesure physique non biaisée.</w:t>
            </w:r>
          </w:p>
        </w:tc>
      </w:tr>
    </w:tbl>
    <w:p>
      <w:pPr>
        <w:keepLines w:val="0"/>
        <w:spacing w:before="0" w:after="40" w:line="264" w:lineRule="auto"/>
        <w:jc w:val="left"/>
      </w:pPr>
      <w:r>
        <w:rPr>
          <w:rFonts w:ascii="Calibri" w:hAnsi="Calibri"/>
          <w:b w:val="0"/>
          <w:i w:val="0"/>
          <w:color w:val="000000"/>
          <w:sz w:val="22"/>
        </w:rPr>
      </w:r>
    </w:p>
    <w:p>
      <w:pPr>
        <w:pStyle w:val="Heading1"/>
        <w:keepNext/>
      </w:pPr>
      <w:r>
        <w:t>5. Fenêtre utile sans perdre le support</w:t>
      </w:r>
    </w:p>
    <w:p>
      <w:pPr>
        <w:keepLines w:val="0"/>
        <w:spacing w:before="0" w:after="120" w:line="264" w:lineRule="auto"/>
        <w:jc w:val="left"/>
      </w:pPr>
      <w:r>
        <w:rPr>
          <w:rFonts w:ascii="Calibri" w:hAnsi="Calibri"/>
          <w:b w:val="0"/>
          <w:i w:val="0"/>
          <w:color w:val="000000"/>
          <w:sz w:val="22"/>
        </w:rPr>
        <w:t>Pour viser une fenêtre finie I, choisissons des nombres 0&lt;u_N&lt;∞, posons u_N=1 hors de I, puis</w:t>
      </w:r>
    </w:p>
    <w:p>
      <w:pPr>
        <w:keepLines/>
        <w:spacing w:before="60" w:after="140" w:line="240" w:lineRule="auto"/>
        <w:jc w:val="center"/>
      </w:pPr>
      <w:r>
        <w:rPr>
          <w:rFonts w:ascii="Cambria Math" w:hAnsi="Cambria Math"/>
          <w:color w:val="0B2545"/>
          <w:sz w:val="22"/>
        </w:rPr>
        <w:t>g(N)=g_*(N)u_N.                                    (8)</w:t>
      </w:r>
    </w:p>
    <w:p>
      <w:pPr>
        <w:keepLines w:val="0"/>
        <w:spacing w:before="0" w:after="120" w:line="264" w:lineRule="auto"/>
        <w:jc w:val="left"/>
      </w:pPr>
      <w:r>
        <w:rPr>
          <w:rFonts w:ascii="Calibri" w:hAnsi="Calibri"/>
          <w:b w:val="0"/>
          <w:i w:val="0"/>
          <w:color w:val="000000"/>
          <w:sz w:val="22"/>
        </w:rPr>
        <w:t>Avec C_I=max(1,max_(N∈I)u_N)&lt;∞,</w:t>
      </w:r>
    </w:p>
    <w:p>
      <w:pPr>
        <w:keepLines/>
        <w:spacing w:before="60" w:after="140" w:line="240" w:lineRule="auto"/>
        <w:jc w:val="center"/>
      </w:pPr>
      <w:r>
        <w:rPr>
          <w:rFonts w:ascii="Cambria Math" w:hAnsi="Cambria Math"/>
          <w:color w:val="0B2545"/>
          <w:sz w:val="22"/>
        </w:rPr>
        <w:t>0&lt;g(N)&lt;∞ pour tout N,   Z_g≤C_I Z_*≤3C_I/2&lt;∞.                           (9)</w:t>
      </w:r>
    </w:p>
    <w:p>
      <w:pPr>
        <w:spacing w:before="0" w:after="120" w:line="264" w:lineRule="auto"/>
      </w:pPr>
      <w:r>
        <w:rPr>
          <w:rFonts w:ascii="Calibri" w:hAnsi="Calibri"/>
          <w:b/>
          <w:color w:val="000000"/>
          <w:sz w:val="22"/>
        </w:rPr>
        <w:t xml:space="preserve">Calibration autorisée. </w:t>
      </w:r>
      <w:r>
        <w:rPr>
          <w:rFonts w:ascii="Calibri" w:hAnsi="Calibri"/>
          <w:color w:val="000000"/>
          <w:sz w:val="22"/>
        </w:rPr>
        <w:t>u_N peut être adapté sur un intervalle fini incluant le corridor entre l'état initial et la fenêtre cible. Il doit ensuite être gelé avant toute donnée de production.</w:t>
      </w:r>
    </w:p>
    <w:p>
      <w:pPr>
        <w:spacing w:before="0" w:after="120" w:line="264" w:lineRule="auto"/>
      </w:pPr>
      <w:r>
        <w:rPr>
          <w:rFonts w:ascii="Calibri" w:hAnsi="Calibri"/>
          <w:b/>
          <w:color w:val="000000"/>
          <w:sz w:val="22"/>
        </w:rPr>
        <w:t xml:space="preserve">Balayage uniforme. </w:t>
      </w:r>
      <w:r>
        <w:rPr>
          <w:rFonts w:ascii="Calibri" w:hAnsi="Calibri"/>
          <w:color w:val="000000"/>
          <w:sz w:val="22"/>
        </w:rPr>
        <w:t>Sur un domaine compact de couplages, remplacer c_W par c_max=2log4·sup max(α/τ,0) produit un même g_* certifié pour tout le balayage. Un domaine non borné n'admet pas cette conclusion.</w:t>
      </w:r>
    </w:p>
    <w:p>
      <w:r>
        <w:br w:type="page"/>
      </w:r>
    </w:p>
    <w:p>
      <w:pPr>
        <w:pStyle w:val="Heading1"/>
        <w:keepNext/>
      </w:pPr>
      <w:r>
        <w:t>6. Pourquoi le cutoff dur était une faille</w:t>
      </w:r>
    </w:p>
    <w:p>
      <w:pPr>
        <w:keepLines w:val="0"/>
        <w:spacing w:before="0" w:after="120" w:line="264" w:lineRule="auto"/>
        <w:jc w:val="left"/>
      </w:pPr>
      <w:r>
        <w:rPr>
          <w:rFonts w:ascii="Calibri" w:hAnsi="Calibri"/>
          <w:b w:val="0"/>
          <w:i w:val="0"/>
          <w:color w:val="000000"/>
          <w:sz w:val="22"/>
        </w:rPr>
        <w:t>Le théorème de Pachner affirme l'existence d'une suite finie de mouvements bistellaires entre deux triangulations PL-homeomorphes. Il n'affirme pas qu'une telle suite reste sous un plafond de volume fixé à l'avance. Rejeter tout mouvement traversant N_max remplace donc le graphe complet par un sous-graphe dont la connexité doit être redémontrée.</w:t>
      </w:r>
    </w:p>
    <w:p>
      <w:pPr>
        <w:keepLines/>
        <w:spacing w:before="60" w:after="140" w:line="240" w:lineRule="auto"/>
        <w:jc w:val="center"/>
      </w:pPr>
      <w:r>
        <w:rPr>
          <w:rFonts w:ascii="Cambria Math" w:hAnsi="Cambria Math"/>
          <w:color w:val="0B2545"/>
          <w:sz w:val="22"/>
        </w:rPr>
        <w:t>connexité du graphe complet  ⇏  connexité du sous-graphe {N≤N_max}.             (10)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Portée exacte. </w:t>
            </w:r>
            <w:r>
              <w:rPr>
                <w:rFonts w:ascii="Calibri" w:hAnsi="Calibri"/>
                <w:color w:val="0B2545"/>
                <w:sz w:val="22"/>
              </w:rPr>
              <w:t>La note ne prétend pas que chaque cutoff concret déconnecte le graphe des triangulations de T³. Elle établit que Pachner ne garantit pas le contraire. Le support total retire entièrement cette hypothèse cachée.</w:t>
            </w:r>
          </w:p>
        </w:tc>
      </w:tr>
    </w:tbl>
    <w:p>
      <w:pPr>
        <w:keepLines w:val="0"/>
        <w:spacing w:before="0" w:after="40" w:line="264" w:lineRule="auto"/>
        <w:jc w:val="left"/>
      </w:pPr>
      <w:r>
        <w:rPr>
          <w:rFonts w:ascii="Calibri" w:hAnsi="Calibri"/>
          <w:b w:val="0"/>
          <w:i w:val="0"/>
          <w:color w:val="000000"/>
          <w:sz w:val="22"/>
        </w:rPr>
      </w:r>
    </w:p>
    <w:p>
      <w:pPr>
        <w:pStyle w:val="Heading1"/>
        <w:keepNext/>
      </w:pPr>
      <w:r>
        <w:t>7. Sampler auxiliaire réversible</w:t>
      </w:r>
    </w:p>
    <w:p>
      <w:pPr>
        <w:keepLines w:val="0"/>
        <w:spacing w:before="0" w:after="120" w:line="264" w:lineRule="auto"/>
        <w:jc w:val="left"/>
      </w:pPr>
      <w:r>
        <w:rPr>
          <w:rFonts w:ascii="Calibri" w:hAnsi="Calibri"/>
          <w:b w:val="0"/>
          <w:i w:val="0"/>
          <w:color w:val="000000"/>
          <w:sz w:val="22"/>
        </w:rPr>
        <w:t>Sur Ω=⋃_NΩ_N, définissons la probabilité</w:t>
      </w:r>
    </w:p>
    <w:p>
      <w:pPr>
        <w:keepLines/>
        <w:spacing w:before="60" w:after="140" w:line="240" w:lineRule="auto"/>
        <w:jc w:val="center"/>
      </w:pPr>
      <w:r>
        <w:rPr>
          <w:rFonts w:ascii="Cambria Math" w:hAnsi="Cambria Math"/>
          <w:color w:val="0B2545"/>
          <w:sz w:val="22"/>
        </w:rPr>
        <w:t>π_g([Σ])=Z_g^(-1) g(N)W(Σ)/|Aut(Σ)|.                (11)</w:t>
      </w:r>
    </w:p>
    <w:p>
      <w:pPr>
        <w:keepLines w:val="0"/>
        <w:spacing w:before="0" w:after="120" w:line="264" w:lineRule="auto"/>
        <w:jc w:val="left"/>
      </w:pPr>
      <w:r>
        <w:rPr>
          <w:rFonts w:ascii="Calibri" w:hAnsi="Calibri"/>
          <w:b w:val="0"/>
          <w:i w:val="0"/>
          <w:color w:val="000000"/>
          <w:sz w:val="22"/>
        </w:rPr>
        <w:t>Pour deux classes adjacentes x∼y, choisissons un taux de base symétrique 0&lt;r(x,y)=r(y,x)≤ρ_max et posons</w:t>
      </w:r>
    </w:p>
    <w:p>
      <w:pPr>
        <w:keepLines/>
        <w:spacing w:before="60" w:after="140" w:line="240" w:lineRule="auto"/>
        <w:jc w:val="center"/>
      </w:pPr>
      <w:r>
        <w:rPr>
          <w:rFonts w:ascii="Cambria Math" w:hAnsi="Cambria Math"/>
          <w:color w:val="0B2545"/>
          <w:sz w:val="22"/>
        </w:rPr>
        <w:t>q_g(x,y)=r(x,y) min{1,π_g(y)/π_g(x)}.               (12)</w:t>
      </w:r>
    </w:p>
    <w:p>
      <w:pPr>
        <w:keepLines w:val="0"/>
        <w:spacing w:before="0" w:after="120" w:line="264" w:lineRule="auto"/>
        <w:jc w:val="left"/>
      </w:pPr>
      <w:r>
        <w:rPr>
          <w:rFonts w:ascii="Calibri" w:hAnsi="Calibri"/>
          <w:b w:val="0"/>
          <w:i w:val="0"/>
          <w:color w:val="000000"/>
          <w:sz w:val="22"/>
        </w:rPr>
        <w:t>Alors q_g(x,y)&gt;0 sur toute arête et</w:t>
      </w:r>
    </w:p>
    <w:p>
      <w:pPr>
        <w:keepLines/>
        <w:spacing w:before="60" w:after="140" w:line="240" w:lineRule="auto"/>
        <w:jc w:val="center"/>
      </w:pPr>
      <w:r>
        <w:rPr>
          <w:rFonts w:ascii="Cambria Math" w:hAnsi="Cambria Math"/>
          <w:color w:val="0B2545"/>
          <w:sz w:val="22"/>
        </w:rPr>
        <w:t>π_g(x)q_g(x,y) =r(x,y)min{π_g(x),π_g(y)} =π_g(y)q_g(y,x).                                  (13)</w:t>
      </w:r>
    </w:p>
    <w:p>
      <w:pPr>
        <w:spacing w:before="0" w:after="120" w:line="264" w:lineRule="auto"/>
      </w:pPr>
      <w:r>
        <w:rPr>
          <w:rFonts w:ascii="Calibri" w:hAnsi="Calibri"/>
          <w:b/>
          <w:color w:val="000000"/>
          <w:sz w:val="22"/>
        </w:rPr>
        <w:t xml:space="preserve">Implémentation quotientée. </w:t>
      </w:r>
      <w:r>
        <w:rPr>
          <w:rFonts w:ascii="Calibri" w:hAnsi="Calibri"/>
          <w:color w:val="000000"/>
          <w:sz w:val="22"/>
        </w:rPr>
        <w:t>La formule (12) prouve l'existence au niveau des classes. Le code étiqueté doit réaliser la même balance par AUT-LIFT, propositions de Hastings complètes et conservation des canaux marqués, comme figé par VOL-RATIO.</w:t>
      </w:r>
    </w:p>
    <w:p>
      <w:pPr>
        <w:pStyle w:val="Heading1"/>
        <w:keepNext/>
      </w:pPr>
      <w:r>
        <w:t>8. Théorème AUX-IRRED</w:t>
      </w:r>
    </w:p>
    <w:p>
      <w:pPr>
        <w:keepLines w:val="0"/>
        <w:spacing w:before="0" w:after="120" w:line="264" w:lineRule="auto"/>
        <w:jc w:val="left"/>
      </w:pPr>
      <w:r>
        <w:rPr>
          <w:rFonts w:ascii="Calibri" w:hAnsi="Calibri"/>
          <w:b w:val="0"/>
          <w:i w:val="0"/>
          <w:color w:val="000000"/>
          <w:sz w:val="22"/>
        </w:rPr>
        <w:t>Les mouvements légaux 1↔4 et 2↔3 relient toutes les triangulations de la PL-variété T³. Puisque g, W et les taux de base sont strictement positifs, chaque mouvement de toute suite de Pachner a une probabilité positive. La chaîne est donc irréductible sur Ω.</w:t>
      </w:r>
    </w:p>
    <w:p>
      <w:r>
        <w:br w:type="page"/>
      </w:r>
    </w:p>
    <w:p>
      <w:pPr>
        <w:pStyle w:val="Heading1"/>
        <w:keepNext/>
      </w:pPr>
      <w:r>
        <w:t>9. Théorème NONEXP-SOFT</w:t>
      </w:r>
    </w:p>
    <w:p>
      <w:pPr>
        <w:keepLines w:val="0"/>
        <w:spacing w:before="0" w:after="120" w:line="264" w:lineRule="auto"/>
        <w:jc w:val="left"/>
      </w:pPr>
      <w:r>
        <w:rPr>
          <w:rFonts w:ascii="Calibri" w:hAnsi="Calibri"/>
          <w:b w:val="0"/>
          <w:i w:val="0"/>
          <w:color w:val="000000"/>
          <w:sz w:val="22"/>
        </w:rPr>
        <w:t>À volume N, les nombres de candidats 1→4, 4→1, 2→3 et 3→2 sont majorés respectivement par N, N₀, N₂ et N₁. Pour une 3-variété fermée, N₂=2N, N₀=N₁-N et N₁≤2N; il y a donc au plus 6N canaux.</w:t>
      </w:r>
    </w:p>
    <w:p>
      <w:pPr>
        <w:keepLines/>
        <w:spacing w:before="60" w:after="140" w:line="240" w:lineRule="auto"/>
        <w:jc w:val="center"/>
      </w:pPr>
      <w:r>
        <w:rPr>
          <w:rFonts w:ascii="Cambria Math" w:hAnsi="Cambria Math"/>
          <w:color w:val="0B2545"/>
          <w:sz w:val="22"/>
        </w:rPr>
        <w:t>q_out(Σ)≤6ρ_max N.                                  (14)</w:t>
      </w:r>
    </w:p>
    <w:p>
      <w:pPr>
        <w:keepLines w:val="0"/>
        <w:spacing w:before="0" w:after="120" w:line="264" w:lineRule="auto"/>
        <w:jc w:val="left"/>
      </w:pPr>
      <w:r>
        <w:rPr>
          <w:rFonts w:ascii="Calibri" w:hAnsi="Calibri"/>
          <w:b w:val="0"/>
          <w:i w:val="0"/>
          <w:color w:val="000000"/>
          <w:sz w:val="22"/>
        </w:rPr>
        <w:t>Après k sauts, chaque mouvement change N d'au plus 3, donc N_k≤N₀+3k. Le temps avant le (k+1)-ième saut domine un temps exponentiel de taux 6ρ_max(N₀+3k). Par couplage avec des variables E_k exponentielles unitaires, le temps d'explosion domine</w:t>
      </w:r>
    </w:p>
    <w:p>
      <w:pPr>
        <w:keepLines/>
        <w:spacing w:before="60" w:after="140" w:line="240" w:lineRule="auto"/>
        <w:jc w:val="center"/>
      </w:pPr>
      <w:r>
        <w:rPr>
          <w:rFonts w:ascii="Cambria Math" w:hAnsi="Cambria Math"/>
          <w:color w:val="0B2545"/>
          <w:sz w:val="22"/>
        </w:rPr>
        <w:t>Σ_(k≥0) E_k/[6ρ_max(N₀+3k)]=+∞ presque sûrement.    (15)</w:t>
      </w:r>
    </w:p>
    <w:p>
      <w:pPr>
        <w:keepLines/>
        <w:spacing w:before="0" w:after="120" w:line="264" w:lineRule="auto"/>
      </w:pPr>
      <w:r>
        <w:rPr>
          <w:rFonts w:ascii="Calibri" w:hAnsi="Calibri"/>
          <w:b/>
          <w:color w:val="0B2545"/>
          <w:sz w:val="22"/>
        </w:rPr>
        <w:t xml:space="preserve">Justification. </w:t>
      </w:r>
      <w:r>
        <w:rPr>
          <w:rFonts w:ascii="Calibri" w:hAnsi="Calibri"/>
          <w:color w:val="000000"/>
          <w:sz w:val="22"/>
        </w:rPr>
        <w:t>La série des moyennes est harmonique et diverge; la série centrée a une somme de variances finie, donc converge presque sûrement. La chaîne ne peut effectuer une infinité de sauts en temps fini.</w:t>
      </w:r>
    </w:p>
    <w:p>
      <w:pPr>
        <w:pStyle w:val="Heading1"/>
        <w:keepNext/>
      </w:pPr>
      <w:r>
        <w:t>10. Théorème AUX-POSREC et couverture</w:t>
      </w:r>
    </w:p>
    <w:p>
      <w:pPr>
        <w:keepLines w:val="0"/>
        <w:spacing w:before="0" w:after="120" w:line="264" w:lineRule="auto"/>
        <w:jc w:val="left"/>
      </w:pPr>
      <w:r>
        <w:rPr>
          <w:rFonts w:ascii="Calibri" w:hAnsi="Calibri"/>
          <w:b w:val="0"/>
          <w:i w:val="0"/>
          <w:color w:val="000000"/>
          <w:sz w:val="22"/>
        </w:rPr>
        <w:t>La chaîne est conservatrice par (15). La balance détaillée (13) rend π_g invariante. Une chaîne continue irréductible sur un espace dénombrable, non explosive et possédant une probabilité invariante est récurrente positive; cette probabilité est unique. Ainsi, pour toute fonction π_g-intégrable f,</w:t>
      </w:r>
    </w:p>
    <w:p>
      <w:pPr>
        <w:keepLines/>
        <w:spacing w:before="60" w:after="140" w:line="240" w:lineRule="auto"/>
        <w:jc w:val="center"/>
      </w:pPr>
      <w:r>
        <w:rPr>
          <w:rFonts w:ascii="Cambria Math" w:hAnsi="Cambria Math"/>
          <w:color w:val="0B2545"/>
          <w:sz w:val="22"/>
        </w:rPr>
        <w:t>lim_(T→∞) T^(-1)∫₀ᵀ f(X_t)dt =Σ_x π_g(x)f(x)     presque sûrement.              (16)</w:t>
      </w:r>
    </w:p>
    <w:p>
      <w:pPr>
        <w:keepLines w:val="0"/>
        <w:spacing w:before="0" w:after="120" w:line="264" w:lineRule="auto"/>
        <w:jc w:val="left"/>
      </w:pPr>
      <w:r>
        <w:rPr>
          <w:rFonts w:ascii="Calibri" w:hAnsi="Calibri"/>
          <w:b w:val="0"/>
          <w:i w:val="0"/>
          <w:color w:val="000000"/>
          <w:sz w:val="22"/>
        </w:rPr>
        <w:t>Chaque état fixé, chaque couche non vide Ω_N et chaque arête légale sont revisités indéfiniment presque sûrement. Les moyennes de flux de VOL-RATIO convergent si elles utilisent les temps d'occupation, ou une chaîne discrète comptant les rejets.</w:t>
      </w:r>
    </w:p>
    <w:p>
      <w:pPr>
        <w:pStyle w:val="Heading1"/>
        <w:keepNext/>
      </w:pPr>
      <w:r>
        <w:t>11. Annulation exacte du confinement</w:t>
      </w:r>
    </w:p>
    <w:p>
      <w:pPr>
        <w:keepLines w:val="0"/>
        <w:spacing w:before="0" w:after="120" w:line="264" w:lineRule="auto"/>
        <w:jc w:val="left"/>
      </w:pPr>
      <w:r>
        <w:rPr>
          <w:rFonts w:ascii="Calibri" w:hAnsi="Calibri"/>
          <w:b w:val="0"/>
          <w:i w:val="0"/>
          <w:color w:val="000000"/>
          <w:sz w:val="22"/>
        </w:rPr>
        <w:t>Conditionnellement au volume N, g(N) est constant. La forme microcanonique visée ne change donc pas :</w:t>
      </w:r>
    </w:p>
    <w:p>
      <w:pPr>
        <w:keepLines/>
        <w:spacing w:before="60" w:after="140" w:line="240" w:lineRule="auto"/>
        <w:jc w:val="center"/>
      </w:pPr>
      <w:r>
        <w:rPr>
          <w:rFonts w:ascii="Cambria Math" w:hAnsi="Cambria Math"/>
          <w:color w:val="0B2545"/>
          <w:sz w:val="22"/>
        </w:rPr>
        <w:t>π_g([Σ] | N) =[W(Σ)/|Aut(Σ)|]/A_N.                              (17)</w:t>
      </w:r>
    </w:p>
    <w:p>
      <w:pPr>
        <w:keepLines w:val="0"/>
        <w:spacing w:before="0" w:after="120" w:line="264" w:lineRule="auto"/>
        <w:jc w:val="left"/>
      </w:pPr>
      <w:r>
        <w:rPr>
          <w:rFonts w:ascii="Calibri" w:hAnsi="Calibri"/>
          <w:b w:val="0"/>
          <w:i w:val="0"/>
          <w:color w:val="000000"/>
          <w:sz w:val="22"/>
        </w:rPr>
        <w:t>Et sur un pont de volume positif, l'identité VOL-RATIO retire explicitement g_N/g_(N+Δ). Le biais doux modifie la fréquence des visites, jamais A_N ni les observables conditionnelles.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Séparation obligatoire. </w:t>
            </w:r>
            <w:r>
              <w:rPr>
                <w:rFonts w:ascii="Calibri" w:hAnsi="Calibri"/>
                <w:color w:val="0B2545"/>
                <w:sz w:val="22"/>
              </w:rPr>
              <w:t>Q_g est un générateur d'importance sampling. Il ne remplace pas le générateur physique Q dont H=-Q dans l'architecture GEN-LOCAL. Introduire g_* dans ce dernier changerait le vide et la théorie.</w:t>
            </w:r>
          </w:p>
        </w:tc>
      </w:tr>
    </w:tbl>
    <w:p>
      <w:pPr>
        <w:keepLines w:val="0"/>
        <w:spacing w:before="0" w:after="40" w:line="264" w:lineRule="auto"/>
        <w:jc w:val="left"/>
      </w:pPr>
      <w:r>
        <w:rPr>
          <w:rFonts w:ascii="Calibri" w:hAnsi="Calibri"/>
          <w:b w:val="0"/>
          <w:i w:val="0"/>
          <w:color w:val="000000"/>
          <w:sz w:val="22"/>
        </w:rPr>
      </w:r>
    </w:p>
    <w:p>
      <w:r>
        <w:br w:type="page"/>
      </w:r>
    </w:p>
    <w:p>
      <w:pPr>
        <w:pStyle w:val="Heading1"/>
        <w:keepNext/>
      </w:pPr>
      <w:r>
        <w:t>12. Ce qui est fermé - et ce qui ne l'est pas</w:t>
      </w:r>
    </w:p>
    <w:tbl>
      <w:tblPr>
        <w:tblW w:type="dxa" w:w="9360"/>
        <w:tblLayout w:type="fixed"/>
        <w:tblLook w:firstColumn="1" w:firstRow="1" w:lastColumn="0" w:lastRow="0" w:noHBand="0" w:noVBand="1" w:val="04A0"/>
        <w:jc w:val="left"/>
        <w:tblInd w:w="120" w:type="dxa"/>
      </w:tblPr>
      <w:tblGrid>
        <w:gridCol w:w="3000"/>
        <w:gridCol w:w="1900"/>
        <w:gridCol w:w="4460"/>
      </w:tblGrid>
      <w:tr>
        <w:trPr>
          <w:tblHeader w:val="true"/>
        </w:trPr>
        <w:tc>
          <w:tcPr>
            <w:tcW w:type="dxa" w:w="3000"/>
            <w:tcMar>
              <w:top w:w="80" w:type="dxa"/>
              <w:start w:w="120" w:type="dxa"/>
              <w:bottom w:w="80" w:type="dxa"/>
              <w:end w:w="120" w:type="dxa"/>
            </w:tcMar>
            <w:vAlign w:val="center"/>
            <w:shd w:fill="E8EEF5"/>
          </w:tcPr>
          <w:p>
            <w:pPr>
              <w:spacing w:after="0"/>
              <w:jc w:val="left"/>
            </w:pPr>
            <w:r>
              <w:rPr>
                <w:rFonts w:ascii="Calibri" w:hAnsi="Calibri"/>
                <w:b/>
                <w:color w:val="0B2545"/>
                <w:sz w:val="18"/>
              </w:rPr>
              <w:t>Énoncé</w:t>
            </w:r>
          </w:p>
        </w:tc>
        <w:tc>
          <w:tcPr>
            <w:tcW w:type="dxa" w:w="1900"/>
            <w:tcMar>
              <w:top w:w="80" w:type="dxa"/>
              <w:start w:w="120" w:type="dxa"/>
              <w:bottom w:w="80" w:type="dxa"/>
              <w:end w:w="120" w:type="dxa"/>
            </w:tcMar>
            <w:vAlign w:val="center"/>
            <w:shd w:fill="E8EEF5"/>
          </w:tcPr>
          <w:p>
            <w:pPr>
              <w:spacing w:after="0"/>
              <w:jc w:val="left"/>
            </w:pPr>
            <w:r>
              <w:rPr>
                <w:rFonts w:ascii="Calibri" w:hAnsi="Calibri"/>
                <w:b/>
                <w:color w:val="0B2545"/>
                <w:sz w:val="18"/>
              </w:rPr>
              <w:t>Verdict</w:t>
            </w:r>
          </w:p>
        </w:tc>
        <w:tc>
          <w:tcPr>
            <w:tcW w:type="dxa" w:w="4460"/>
            <w:tcMar>
              <w:top w:w="80" w:type="dxa"/>
              <w:start w:w="120" w:type="dxa"/>
              <w:bottom w:w="80" w:type="dxa"/>
              <w:end w:w="120" w:type="dxa"/>
            </w:tcMar>
            <w:vAlign w:val="center"/>
            <w:shd w:fill="E8EEF5"/>
          </w:tcPr>
          <w:p>
            <w:pPr>
              <w:spacing w:after="0"/>
              <w:jc w:val="left"/>
            </w:pPr>
            <w:r>
              <w:rPr>
                <w:rFonts w:ascii="Calibri" w:hAnsi="Calibri"/>
                <w:b/>
                <w:color w:val="0B2545"/>
                <w:sz w:val="18"/>
              </w:rPr>
              <w:t>Raison exacte</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Normalisabilité auxiliaire</w:t>
            </w:r>
          </w:p>
        </w:tc>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7"/>
              </w:rPr>
              <w:t>FERMÉ [T]</w:t>
            </w:r>
          </w:p>
        </w:tc>
        <w:tc>
          <w:tcPr>
            <w:tcW w:type="dxa" w:w="4460"/>
            <w:vAlign w:val="center"/>
            <w:tcMar>
              <w:top w:w="80" w:type="dxa"/>
              <w:start w:w="120" w:type="dxa"/>
              <w:bottom w:w="80" w:type="dxa"/>
              <w:end w:w="120" w:type="dxa"/>
            </w:tcMar>
          </w:tcPr>
          <w:p>
            <w:pPr>
              <w:spacing w:after="0" w:line="252" w:lineRule="auto"/>
              <w:jc w:val="left"/>
            </w:pPr>
            <w:r>
              <w:rPr>
                <w:rFonts w:ascii="Calibri" w:hAnsi="Calibri"/>
                <w:color w:val="000000"/>
                <w:sz w:val="17"/>
              </w:rPr>
              <w:t>Z_g≤3C_I/2, non asymptotiquement.</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Support de tous les volumes</w:t>
            </w:r>
          </w:p>
        </w:tc>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7"/>
              </w:rPr>
              <w:t>FERMÉ [T]</w:t>
            </w:r>
          </w:p>
        </w:tc>
        <w:tc>
          <w:tcPr>
            <w:tcW w:type="dxa" w:w="4460"/>
            <w:vAlign w:val="center"/>
            <w:tcMar>
              <w:top w:w="80" w:type="dxa"/>
              <w:start w:w="120" w:type="dxa"/>
              <w:bottom w:w="80" w:type="dxa"/>
              <w:end w:w="120" w:type="dxa"/>
            </w:tcMar>
          </w:tcPr>
          <w:p>
            <w:pPr>
              <w:spacing w:after="0" w:line="252" w:lineRule="auto"/>
              <w:jc w:val="left"/>
            </w:pPr>
            <w:r>
              <w:rPr>
                <w:rFonts w:ascii="Calibri" w:hAnsi="Calibri"/>
                <w:color w:val="000000"/>
                <w:sz w:val="17"/>
              </w:rPr>
              <w:t>g(N)&gt;0 pour tout N; aucun rejet par plafond.</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Couverture en temps infini</w:t>
            </w:r>
          </w:p>
        </w:tc>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7"/>
              </w:rPr>
              <w:t>FERMÉ [T]</w:t>
            </w:r>
          </w:p>
        </w:tc>
        <w:tc>
          <w:tcPr>
            <w:tcW w:type="dxa" w:w="4460"/>
            <w:vAlign w:val="center"/>
            <w:tcMar>
              <w:top w:w="80" w:type="dxa"/>
              <w:start w:w="120" w:type="dxa"/>
              <w:bottom w:w="80" w:type="dxa"/>
              <w:end w:w="120" w:type="dxa"/>
            </w:tcMar>
          </w:tcPr>
          <w:p>
            <w:pPr>
              <w:spacing w:after="0" w:line="252" w:lineRule="auto"/>
              <w:jc w:val="left"/>
            </w:pPr>
            <w:r>
              <w:rPr>
                <w:rFonts w:ascii="Calibri" w:hAnsi="Calibri"/>
                <w:color w:val="000000"/>
                <w:sz w:val="17"/>
              </w:rPr>
              <w:t>Irréductibilité + récurrence positive.</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Exactitude de VOL-RATIO</w:t>
            </w:r>
          </w:p>
        </w:tc>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7"/>
              </w:rPr>
              <w:t>FERMÉ [T-C]</w:t>
            </w:r>
          </w:p>
        </w:tc>
        <w:tc>
          <w:tcPr>
            <w:tcW w:type="dxa" w:w="4460"/>
            <w:vAlign w:val="center"/>
            <w:tcMar>
              <w:top w:w="80" w:type="dxa"/>
              <w:start w:w="120" w:type="dxa"/>
              <w:bottom w:w="80" w:type="dxa"/>
              <w:end w:w="120" w:type="dxa"/>
            </w:tcMar>
          </w:tcPr>
          <w:p>
            <w:pPr>
              <w:spacing w:after="0" w:line="252" w:lineRule="auto"/>
              <w:jc w:val="left"/>
            </w:pPr>
            <w:r>
              <w:rPr>
                <w:rFonts w:ascii="Calibri" w:hAnsi="Calibri"/>
                <w:color w:val="000000"/>
                <w:sz w:val="17"/>
              </w:rPr>
              <w:t>Occupation correcte et pont positif.</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Temps pour atteindre un grand N</w:t>
            </w:r>
          </w:p>
        </w:tc>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7"/>
              </w:rPr>
              <w:t>OUVERT</w:t>
            </w:r>
          </w:p>
        </w:tc>
        <w:tc>
          <w:tcPr>
            <w:tcW w:type="dxa" w:w="4460"/>
            <w:vAlign w:val="center"/>
            <w:tcMar>
              <w:top w:w="80" w:type="dxa"/>
              <w:start w:w="120" w:type="dxa"/>
              <w:bottom w:w="80" w:type="dxa"/>
              <w:end w:w="120" w:type="dxa"/>
            </w:tcMar>
          </w:tcPr>
          <w:p>
            <w:pPr>
              <w:spacing w:after="0" w:line="252" w:lineRule="auto"/>
              <w:jc w:val="left"/>
            </w:pPr>
            <w:r>
              <w:rPr>
                <w:rFonts w:ascii="Calibri" w:hAnsi="Calibri"/>
                <w:color w:val="000000"/>
                <w:sz w:val="17"/>
              </w:rPr>
              <w:t>Aucune borne de conductance ou de gap.</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Normalisation physique</w:t>
            </w:r>
          </w:p>
        </w:tc>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7"/>
              </w:rPr>
              <w:t>OUVERT</w:t>
            </w:r>
          </w:p>
        </w:tc>
        <w:tc>
          <w:tcPr>
            <w:tcW w:type="dxa" w:w="4460"/>
            <w:vAlign w:val="center"/>
            <w:tcMar>
              <w:top w:w="80" w:type="dxa"/>
              <w:start w:w="120" w:type="dxa"/>
              <w:bottom w:w="80" w:type="dxa"/>
              <w:end w:w="120" w:type="dxa"/>
            </w:tcMar>
          </w:tcPr>
          <w:p>
            <w:pPr>
              <w:spacing w:after="0" w:line="252" w:lineRule="auto"/>
              <w:jc w:val="left"/>
            </w:pPr>
            <w:r>
              <w:rPr>
                <w:rFonts w:ascii="Calibri" w:hAnsi="Calibri"/>
                <w:color w:val="000000"/>
                <w:sz w:val="17"/>
              </w:rPr>
              <w:t>g est retiré; s_+ reste inconnu.</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Continuum / spectre</w:t>
            </w:r>
          </w:p>
        </w:tc>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7"/>
              </w:rPr>
              <w:t>OUVERT</w:t>
            </w:r>
          </w:p>
        </w:tc>
        <w:tc>
          <w:tcPr>
            <w:tcW w:type="dxa" w:w="4460"/>
            <w:vAlign w:val="center"/>
            <w:tcMar>
              <w:top w:w="80" w:type="dxa"/>
              <w:start w:w="120" w:type="dxa"/>
              <w:bottom w:w="80" w:type="dxa"/>
              <w:end w:w="120" w:type="dxa"/>
            </w:tcMar>
          </w:tcPr>
          <w:p>
            <w:pPr>
              <w:spacing w:after="0" w:line="252" w:lineRule="auto"/>
              <w:jc w:val="left"/>
            </w:pPr>
            <w:r>
              <w:rPr>
                <w:rFonts w:ascii="Calibri" w:hAnsi="Calibri"/>
                <w:color w:val="000000"/>
                <w:sz w:val="17"/>
              </w:rPr>
              <w:t>Aucune conséquence de la couverture seule.</w:t>
            </w:r>
          </w:p>
        </w:tc>
      </w:tr>
    </w:tbl>
    <w:p>
      <w:pPr>
        <w:keepLines w:val="0"/>
        <w:spacing w:before="0" w:after="40" w:line="264" w:lineRule="auto"/>
        <w:jc w:val="left"/>
      </w:pPr>
      <w:r>
        <w:rPr>
          <w:rFonts w:ascii="Calibri" w:hAnsi="Calibri"/>
          <w:b w:val="0"/>
          <w:i w:val="0"/>
          <w:color w:val="000000"/>
          <w:sz w:val="22"/>
        </w:rPr>
      </w:r>
    </w:p>
    <w:p>
      <w:pPr>
        <w:spacing w:before="0" w:after="120" w:line="264" w:lineRule="auto"/>
      </w:pPr>
      <w:r>
        <w:rPr>
          <w:rFonts w:ascii="Calibri" w:hAnsi="Calibri"/>
          <w:b/>
          <w:color w:val="000000"/>
          <w:sz w:val="22"/>
        </w:rPr>
        <w:t xml:space="preserve">Erreur à interdire. </w:t>
      </w:r>
      <w:r>
        <w:rPr>
          <w:rFonts w:ascii="Calibri" w:hAnsi="Calibri"/>
          <w:color w:val="000000"/>
          <w:sz w:val="22"/>
        </w:rPr>
        <w:t>« Visité presque sûrement quand T→∞ » ne signifie ni « observé dans un budget fini », ni « échantillon indépendant ». Le biais (5) est volontairement très confinant; les bumps finis réparent une fenêtre choisie, pas tous les grands volumes simultanément.</w:t>
      </w:r>
    </w:p>
    <w:p>
      <w:pPr>
        <w:pStyle w:val="Heading1"/>
        <w:keepNext/>
      </w:pPr>
      <w:r>
        <w:t>13. Axiomes A32-A38 à geler</w:t>
      </w:r>
    </w:p>
    <w:tbl>
      <w:tblPr>
        <w:tblW w:type="dxa" w:w="9360"/>
        <w:tblLayout w:type="fixed"/>
        <w:tblLook w:firstColumn="1" w:firstRow="1" w:lastColumn="0" w:lastRow="0" w:noHBand="0" w:noVBand="1" w:val="04A0"/>
        <w:jc w:val="left"/>
        <w:tblInd w:w="120" w:type="dxa"/>
      </w:tblPr>
      <w:tblGrid>
        <w:gridCol w:w="900"/>
        <w:gridCol w:w="1800"/>
        <w:gridCol w:w="6660"/>
      </w:tblGrid>
      <w:tr>
        <w:trPr>
          <w:tblHeader w:val="true"/>
        </w:trPr>
        <w:tc>
          <w:tcPr>
            <w:tcW w:type="dxa" w:w="900"/>
            <w:tcMar>
              <w:top w:w="80" w:type="dxa"/>
              <w:start w:w="120" w:type="dxa"/>
              <w:bottom w:w="80" w:type="dxa"/>
              <w:end w:w="120" w:type="dxa"/>
            </w:tcMar>
            <w:vAlign w:val="center"/>
            <w:shd w:fill="E8EEF5"/>
          </w:tcPr>
          <w:p>
            <w:pPr>
              <w:spacing w:after="0"/>
              <w:jc w:val="left"/>
            </w:pPr>
            <w:r>
              <w:rPr>
                <w:rFonts w:ascii="Calibri" w:hAnsi="Calibri"/>
                <w:b/>
                <w:color w:val="0B2545"/>
                <w:sz w:val="18"/>
              </w:rPr>
              <w:t>Axiome</w:t>
            </w:r>
          </w:p>
        </w:tc>
        <w:tc>
          <w:tcPr>
            <w:tcW w:type="dxa" w:w="1800"/>
            <w:tcMar>
              <w:top w:w="80" w:type="dxa"/>
              <w:start w:w="120" w:type="dxa"/>
              <w:bottom w:w="80" w:type="dxa"/>
              <w:end w:w="120" w:type="dxa"/>
            </w:tcMar>
            <w:vAlign w:val="center"/>
            <w:shd w:fill="E8EEF5"/>
          </w:tcPr>
          <w:p>
            <w:pPr>
              <w:spacing w:after="0"/>
              <w:jc w:val="left"/>
            </w:pPr>
            <w:r>
              <w:rPr>
                <w:rFonts w:ascii="Calibri" w:hAnsi="Calibri"/>
                <w:b/>
                <w:color w:val="0B2545"/>
                <w:sz w:val="18"/>
              </w:rPr>
              <w:t>Objet</w:t>
            </w:r>
          </w:p>
        </w:tc>
        <w:tc>
          <w:tcPr>
            <w:tcW w:type="dxa" w:w="6660"/>
            <w:tcMar>
              <w:top w:w="80" w:type="dxa"/>
              <w:start w:w="120" w:type="dxa"/>
              <w:bottom w:w="80" w:type="dxa"/>
              <w:end w:w="120" w:type="dxa"/>
            </w:tcMar>
            <w:vAlign w:val="center"/>
            <w:shd w:fill="E8EEF5"/>
          </w:tcPr>
          <w:p>
            <w:pPr>
              <w:spacing w:after="0"/>
              <w:jc w:val="left"/>
            </w:pPr>
            <w:r>
              <w:rPr>
                <w:rFonts w:ascii="Calibri" w:hAnsi="Calibri"/>
                <w:b/>
                <w:color w:val="0B2545"/>
                <w:sz w:val="18"/>
              </w:rPr>
              <w:t>Prescription non négociable</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A32</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Espace</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Complexes honnêtes fermés de topologie PL T³; pas de pseudo-complexes.</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A33</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Signes</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τ&gt;0, b≥0; c_max explicite pour tout balayage.</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A34</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Queue</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Utiliser g_* ou une queue plus forte avec preuve de domination.</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A35</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Fenêtre</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u_N positif, fini, de support de modification fini et gelé.</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A36</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Support</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Aucun N_max dur; calcul log-domain pour ne jamais arrondir un taux à zéro.</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A37</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Cinétique</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Tous mouvements inverses et canaux légaux ont un taux de base strictement positif.</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A38</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Horloge</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Temps d'occupation ou rejets; diagnostics de mélange séparés.</w:t>
            </w:r>
          </w:p>
        </w:tc>
      </w:tr>
    </w:tbl>
    <w:p>
      <w:pPr>
        <w:keepLines w:val="0"/>
        <w:spacing w:before="0" w:after="40" w:line="264" w:lineRule="auto"/>
        <w:jc w:val="left"/>
      </w:pPr>
      <w:r>
        <w:rPr>
          <w:rFonts w:ascii="Calibri" w:hAnsi="Calibri"/>
          <w:b w:val="0"/>
          <w:i w:val="0"/>
          <w:color w:val="000000"/>
          <w:sz w:val="22"/>
        </w:rPr>
      </w:r>
    </w:p>
    <w:p>
      <w:pPr>
        <w:pStyle w:val="Heading1"/>
        <w:keepNext/>
      </w:pPr>
      <w:r>
        <w:t>14. Critères PASS / FAIL de production</w:t>
      </w:r>
    </w:p>
    <w:tbl>
      <w:tblPr>
        <w:tblW w:type="dxa" w:w="9360"/>
        <w:tblLayout w:type="fixed"/>
        <w:tblLook w:firstColumn="1" w:firstRow="1" w:lastColumn="0" w:lastRow="0" w:noHBand="0" w:noVBand="1" w:val="04A0"/>
        <w:jc w:val="left"/>
        <w:tblInd w:w="120" w:type="dxa"/>
      </w:tblPr>
      <w:tblGrid>
        <w:gridCol w:w="2000"/>
        <w:gridCol w:w="4660"/>
        <w:gridCol w:w="2700"/>
      </w:tblGrid>
      <w:tr>
        <w:trPr>
          <w:tblHeader w:val="true"/>
        </w:trPr>
        <w:tc>
          <w:tcPr>
            <w:tcW w:type="dxa" w:w="2000"/>
            <w:tcMar>
              <w:top w:w="80" w:type="dxa"/>
              <w:start w:w="120" w:type="dxa"/>
              <w:bottom w:w="80" w:type="dxa"/>
              <w:end w:w="120" w:type="dxa"/>
            </w:tcMar>
            <w:vAlign w:val="center"/>
            <w:shd w:fill="E8EEF5"/>
          </w:tcPr>
          <w:p>
            <w:pPr>
              <w:spacing w:after="0"/>
              <w:jc w:val="left"/>
            </w:pPr>
            <w:r>
              <w:rPr>
                <w:rFonts w:ascii="Calibri" w:hAnsi="Calibri"/>
                <w:b/>
                <w:color w:val="0B2545"/>
                <w:sz w:val="18"/>
              </w:rPr>
              <w:t>Test</w:t>
            </w:r>
          </w:p>
        </w:tc>
        <w:tc>
          <w:tcPr>
            <w:tcW w:type="dxa" w:w="4660"/>
            <w:tcMar>
              <w:top w:w="80" w:type="dxa"/>
              <w:start w:w="120" w:type="dxa"/>
              <w:bottom w:w="80" w:type="dxa"/>
              <w:end w:w="120" w:type="dxa"/>
            </w:tcMar>
            <w:vAlign w:val="center"/>
            <w:shd w:fill="E8EEF5"/>
          </w:tcPr>
          <w:p>
            <w:pPr>
              <w:spacing w:after="0"/>
              <w:jc w:val="left"/>
            </w:pPr>
            <w:r>
              <w:rPr>
                <w:rFonts w:ascii="Calibri" w:hAnsi="Calibri"/>
                <w:b/>
                <w:color w:val="0B2545"/>
                <w:sz w:val="18"/>
              </w:rPr>
              <w:t>PASS exigé</w:t>
            </w:r>
          </w:p>
        </w:tc>
        <w:tc>
          <w:tcPr>
            <w:tcW w:type="dxa" w:w="2700"/>
            <w:tcMar>
              <w:top w:w="80" w:type="dxa"/>
              <w:start w:w="120" w:type="dxa"/>
              <w:bottom w:w="80" w:type="dxa"/>
              <w:end w:w="120" w:type="dxa"/>
            </w:tcMar>
            <w:vAlign w:val="center"/>
            <w:shd w:fill="E8EEF5"/>
          </w:tcPr>
          <w:p>
            <w:pPr>
              <w:spacing w:after="0"/>
              <w:jc w:val="left"/>
            </w:pPr>
            <w:r>
              <w:rPr>
                <w:rFonts w:ascii="Calibri" w:hAnsi="Calibri"/>
                <w:b/>
                <w:color w:val="0B2545"/>
                <w:sz w:val="18"/>
              </w:rPr>
              <w:t>Sinon</w:t>
            </w:r>
          </w:p>
        </w:tc>
      </w:tr>
      <w:tr>
        <w:tc>
          <w:tcPr>
            <w:tcW w:type="dxa" w:w="2000"/>
            <w:vAlign w:val="center"/>
            <w:tcMar>
              <w:top w:w="80" w:type="dxa"/>
              <w:start w:w="120" w:type="dxa"/>
              <w:bottom w:w="80" w:type="dxa"/>
              <w:end w:w="120" w:type="dxa"/>
            </w:tcMar>
          </w:tcPr>
          <w:p>
            <w:pPr>
              <w:spacing w:after="0" w:line="252" w:lineRule="auto"/>
              <w:jc w:val="left"/>
            </w:pPr>
            <w:r>
              <w:rPr>
                <w:rFonts w:ascii="Calibri" w:hAnsi="Calibri"/>
                <w:color w:val="000000"/>
                <w:sz w:val="17"/>
              </w:rPr>
              <w:t>Support</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Aucun rejet codé seulement parce que N&gt;N_max.</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FAIL VOL-COVER</w:t>
            </w:r>
          </w:p>
        </w:tc>
      </w:tr>
      <w:tr>
        <w:tc>
          <w:tcPr>
            <w:tcW w:type="dxa" w:w="2000"/>
            <w:vAlign w:val="center"/>
            <w:tcMar>
              <w:top w:w="80" w:type="dxa"/>
              <w:start w:w="120" w:type="dxa"/>
              <w:bottom w:w="80" w:type="dxa"/>
              <w:end w:w="120" w:type="dxa"/>
            </w:tcMar>
          </w:tcPr>
          <w:p>
            <w:pPr>
              <w:spacing w:after="0" w:line="252" w:lineRule="auto"/>
              <w:jc w:val="left"/>
            </w:pPr>
            <w:r>
              <w:rPr>
                <w:rFonts w:ascii="Calibri" w:hAnsi="Calibri"/>
                <w:color w:val="000000"/>
                <w:sz w:val="17"/>
              </w:rPr>
              <w:t>Balance</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Résidu détaillé compatible avec zéro par type de canal.</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FAIL sampler</w:t>
            </w:r>
          </w:p>
        </w:tc>
      </w:tr>
      <w:tr>
        <w:tc>
          <w:tcPr>
            <w:tcW w:type="dxa" w:w="2000"/>
            <w:vAlign w:val="center"/>
            <w:tcMar>
              <w:top w:w="80" w:type="dxa"/>
              <w:start w:w="120" w:type="dxa"/>
              <w:bottom w:w="80" w:type="dxa"/>
              <w:end w:w="120" w:type="dxa"/>
            </w:tcMar>
          </w:tcPr>
          <w:p>
            <w:pPr>
              <w:spacing w:after="0" w:line="252" w:lineRule="auto"/>
              <w:jc w:val="left"/>
            </w:pPr>
            <w:r>
              <w:rPr>
                <w:rFonts w:ascii="Calibri" w:hAnsi="Calibri"/>
                <w:color w:val="000000"/>
                <w:sz w:val="17"/>
              </w:rPr>
              <w:t>Biais</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Deux g gelés donnent les mêmes rapports corrigés.</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FAIL pipeline</w:t>
            </w:r>
          </w:p>
        </w:tc>
      </w:tr>
      <w:tr>
        <w:tc>
          <w:tcPr>
            <w:tcW w:type="dxa" w:w="2000"/>
            <w:vAlign w:val="center"/>
            <w:tcMar>
              <w:top w:w="80" w:type="dxa"/>
              <w:start w:w="120" w:type="dxa"/>
              <w:bottom w:w="80" w:type="dxa"/>
              <w:end w:w="120" w:type="dxa"/>
            </w:tcMar>
          </w:tcPr>
          <w:p>
            <w:pPr>
              <w:spacing w:after="0" w:line="252" w:lineRule="auto"/>
              <w:jc w:val="left"/>
            </w:pPr>
            <w:r>
              <w:rPr>
                <w:rFonts w:ascii="Calibri" w:hAnsi="Calibri"/>
                <w:color w:val="000000"/>
                <w:sz w:val="17"/>
              </w:rPr>
              <w:t>Horloge</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Occupation/rejets et correction jump-chain concordent.</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FAIL VOL-CLOCK</w:t>
            </w:r>
          </w:p>
        </w:tc>
      </w:tr>
      <w:tr>
        <w:tc>
          <w:tcPr>
            <w:tcW w:type="dxa" w:w="2000"/>
            <w:vAlign w:val="center"/>
            <w:tcMar>
              <w:top w:w="80" w:type="dxa"/>
              <w:start w:w="120" w:type="dxa"/>
              <w:bottom w:w="80" w:type="dxa"/>
              <w:end w:w="120" w:type="dxa"/>
            </w:tcMar>
          </w:tcPr>
          <w:p>
            <w:pPr>
              <w:spacing w:after="0" w:line="252" w:lineRule="auto"/>
              <w:jc w:val="left"/>
            </w:pPr>
            <w:r>
              <w:rPr>
                <w:rFonts w:ascii="Calibri" w:hAnsi="Calibri"/>
                <w:color w:val="000000"/>
                <w:sz w:val="17"/>
              </w:rPr>
              <w:t>Mélange</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R-hat, ESS, autocorrélations et passages aller-retour déclarés.</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Sinon données non conclusives</w:t>
            </w:r>
          </w:p>
        </w:tc>
      </w:tr>
    </w:tbl>
    <w:p>
      <w:pPr>
        <w:keepLines w:val="0"/>
        <w:spacing w:before="0" w:after="40" w:line="264" w:lineRule="auto"/>
        <w:jc w:val="left"/>
      </w:pPr>
      <w:r>
        <w:rPr>
          <w:rFonts w:ascii="Calibri" w:hAnsi="Calibri"/>
          <w:b w:val="0"/>
          <w:i w:val="0"/>
          <w:color w:val="000000"/>
          <w:sz w:val="22"/>
        </w:rPr>
      </w:r>
    </w:p>
    <w:p>
      <w:r>
        <w:br w:type="page"/>
      </w:r>
    </w:p>
    <w:p>
      <w:pPr>
        <w:pStyle w:val="Heading1"/>
        <w:keepNext/>
      </w:pPr>
      <w:r>
        <w:t>15. Certificat indépendant exact</w:t>
      </w:r>
    </w:p>
    <w:p>
      <w:pPr>
        <w:keepLines w:val="0"/>
        <w:spacing w:before="0" w:after="120" w:line="264" w:lineRule="auto"/>
        <w:jc w:val="left"/>
      </w:pPr>
      <w:r>
        <w:rPr>
          <w:rFonts w:ascii="Calibri" w:hAnsi="Calibri"/>
          <w:b w:val="0"/>
          <w:i w:val="0"/>
          <w:color w:val="000000"/>
          <w:sz w:val="22"/>
        </w:rPr>
        <w:t>Le script verify_m2w_vol_cover.py ne réutilise pas le simulateur de triangulations. Il vérifie par entiers ou rationnels les bornes algébriques et une chaîne réversible proxy. Un graphe illustratif sépare explicitement la connexité totale de celle d'un cutoff; il n'est pas présenté comme un exemple réel de T³.</w:t>
      </w:r>
    </w:p>
    <w:tbl>
      <w:tblPr>
        <w:tblW w:type="dxa" w:w="9360"/>
        <w:tblLayout w:type="fixed"/>
        <w:tblLook w:firstColumn="1" w:firstRow="1" w:lastColumn="0" w:lastRow="0" w:noHBand="0" w:noVBand="1" w:val="04A0"/>
        <w:jc w:val="left"/>
        <w:tblInd w:w="120" w:type="dxa"/>
      </w:tblPr>
      <w:tblGrid>
        <w:gridCol w:w="6200"/>
        <w:gridCol w:w="3160"/>
      </w:tblGrid>
      <w:tr>
        <w:trPr>
          <w:tblHeader w:val="true"/>
        </w:trPr>
        <w:tc>
          <w:tcPr>
            <w:tcW w:type="dxa" w:w="6200"/>
            <w:tcMar>
              <w:top w:w="80" w:type="dxa"/>
              <w:start w:w="120" w:type="dxa"/>
              <w:bottom w:w="80" w:type="dxa"/>
              <w:end w:w="120" w:type="dxa"/>
            </w:tcMar>
            <w:vAlign w:val="center"/>
            <w:shd w:fill="E8EEF5"/>
          </w:tcPr>
          <w:p>
            <w:pPr>
              <w:spacing w:after="0"/>
              <w:jc w:val="left"/>
            </w:pPr>
            <w:r>
              <w:rPr>
                <w:rFonts w:ascii="Calibri" w:hAnsi="Calibri"/>
                <w:b/>
                <w:color w:val="0B2545"/>
                <w:sz w:val="18"/>
              </w:rPr>
              <w:t>Contrôle</w:t>
            </w:r>
          </w:p>
        </w:tc>
        <w:tc>
          <w:tcPr>
            <w:tcW w:type="dxa" w:w="3160"/>
            <w:tcMar>
              <w:top w:w="80" w:type="dxa"/>
              <w:start w:w="120" w:type="dxa"/>
              <w:bottom w:w="80" w:type="dxa"/>
              <w:end w:w="120" w:type="dxa"/>
            </w:tcMar>
            <w:vAlign w:val="center"/>
            <w:shd w:fill="E8EEF5"/>
          </w:tcPr>
          <w:p>
            <w:pPr>
              <w:spacing w:after="0"/>
              <w:jc w:val="left"/>
            </w:pPr>
            <w:r>
              <w:rPr>
                <w:rFonts w:ascii="Calibri" w:hAnsi="Calibri"/>
                <w:b/>
                <w:color w:val="0B2545"/>
                <w:sz w:val="18"/>
              </w:rPr>
              <w:t>Résultat</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Borne d'appariement, N=1…120</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0 violation</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Borne de queue, N=1…500</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0 violation</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Σ N^-N, N=1…40</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1,291285997063</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Majorant global certifié</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1,291285997064 &lt; 3/2</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Bump fini volontairement énorme</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majorant fini</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Composantes avec cutoff illustratif</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2</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Composantes avec support total</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1</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Résidu exact de balance détaillée</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0</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Résidu exact de stationnarité</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0</w:t>
            </w:r>
          </w:p>
        </w:tc>
      </w:tr>
      <w:tr>
        <w:tc>
          <w:tcPr>
            <w:tcW w:type="dxa" w:w="6200"/>
            <w:vAlign w:val="center"/>
            <w:tcMar>
              <w:top w:w="80" w:type="dxa"/>
              <w:start w:w="120" w:type="dxa"/>
              <w:bottom w:w="80" w:type="dxa"/>
              <w:end w:w="120" w:type="dxa"/>
            </w:tcMar>
          </w:tcPr>
          <w:p>
            <w:pPr>
              <w:spacing w:after="0" w:line="252" w:lineRule="auto"/>
              <w:jc w:val="left"/>
            </w:pPr>
            <w:r>
              <w:rPr>
                <w:rFonts w:ascii="Calibri" w:hAnsi="Calibri"/>
                <w:color w:val="000000"/>
                <w:sz w:val="18"/>
              </w:rPr>
              <w:t>Résidu conditionnel entre deux biais</w:t>
            </w:r>
          </w:p>
        </w:tc>
        <w:tc>
          <w:tcPr>
            <w:tcW w:type="dxa" w:w="3160"/>
            <w:vAlign w:val="center"/>
            <w:tcMar>
              <w:top w:w="80" w:type="dxa"/>
              <w:start w:w="120" w:type="dxa"/>
              <w:bottom w:w="80" w:type="dxa"/>
              <w:end w:w="120" w:type="dxa"/>
            </w:tcMar>
          </w:tcPr>
          <w:p>
            <w:pPr>
              <w:spacing w:after="0" w:line="252" w:lineRule="auto"/>
              <w:jc w:val="left"/>
            </w:pPr>
            <w:r>
              <w:rPr>
                <w:rFonts w:ascii="Calibri" w:hAnsi="Calibri"/>
                <w:color w:val="000000"/>
                <w:sz w:val="18"/>
              </w:rPr>
              <w:t>0</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2"/>
        </w:rPr>
        <w:t>Sortie exigée : ALL CHECKS PASSED.</w:t>
      </w:r>
    </w:p>
    <w:p>
      <w:pPr>
        <w:pStyle w:val="Heading1"/>
        <w:keepNext/>
      </w:pPr>
      <w:r>
        <w:t>16. Registre mis à jour</w:t>
      </w:r>
    </w:p>
    <w:tbl>
      <w:tblPr>
        <w:tblW w:type="dxa" w:w="9360"/>
        <w:tblLayout w:type="fixed"/>
        <w:tblLook w:firstColumn="1" w:firstRow="1" w:lastColumn="0" w:lastRow="0" w:noHBand="0" w:noVBand="1" w:val="04A0"/>
        <w:jc w:val="left"/>
        <w:tblInd w:w="120" w:type="dxa"/>
      </w:tblPr>
      <w:tblGrid>
        <w:gridCol w:w="2400"/>
        <w:gridCol w:w="2400"/>
        <w:gridCol w:w="4560"/>
      </w:tblGrid>
      <w:tr>
        <w:trPr>
          <w:tblHeader w:val="true"/>
        </w:trPr>
        <w:tc>
          <w:tcPr>
            <w:tcW w:type="dxa" w:w="2400"/>
            <w:tcMar>
              <w:top w:w="80" w:type="dxa"/>
              <w:start w:w="120" w:type="dxa"/>
              <w:bottom w:w="80" w:type="dxa"/>
              <w:end w:w="120" w:type="dxa"/>
            </w:tcMar>
            <w:vAlign w:val="center"/>
            <w:shd w:fill="E8EEF5"/>
          </w:tcPr>
          <w:p>
            <w:pPr>
              <w:spacing w:after="0"/>
              <w:jc w:val="left"/>
            </w:pPr>
            <w:r>
              <w:rPr>
                <w:rFonts w:ascii="Calibri" w:hAnsi="Calibri"/>
                <w:b/>
                <w:color w:val="0B2545"/>
                <w:sz w:val="18"/>
              </w:rPr>
              <w:t>Porte</w:t>
            </w:r>
          </w:p>
        </w:tc>
        <w:tc>
          <w:tcPr>
            <w:tcW w:type="dxa" w:w="2400"/>
            <w:tcMar>
              <w:top w:w="80" w:type="dxa"/>
              <w:start w:w="120" w:type="dxa"/>
              <w:bottom w:w="80" w:type="dxa"/>
              <w:end w:w="120" w:type="dxa"/>
            </w:tcMar>
            <w:vAlign w:val="center"/>
            <w:shd w:fill="E8EEF5"/>
          </w:tcPr>
          <w:p>
            <w:pPr>
              <w:spacing w:after="0"/>
              <w:jc w:val="left"/>
            </w:pPr>
            <w:r>
              <w:rPr>
                <w:rFonts w:ascii="Calibri" w:hAnsi="Calibri"/>
                <w:b/>
                <w:color w:val="0B2545"/>
                <w:sz w:val="18"/>
              </w:rPr>
              <w:t>Verdict</w:t>
            </w:r>
          </w:p>
        </w:tc>
        <w:tc>
          <w:tcPr>
            <w:tcW w:type="dxa" w:w="4560"/>
            <w:tcMar>
              <w:top w:w="80" w:type="dxa"/>
              <w:start w:w="120" w:type="dxa"/>
              <w:bottom w:w="80" w:type="dxa"/>
              <w:end w:w="120" w:type="dxa"/>
            </w:tcMar>
            <w:vAlign w:val="center"/>
            <w:shd w:fill="E8EEF5"/>
          </w:tcPr>
          <w:p>
            <w:pPr>
              <w:spacing w:after="0"/>
              <w:jc w:val="left"/>
            </w:pPr>
            <w:r>
              <w:rPr>
                <w:rFonts w:ascii="Calibri" w:hAnsi="Calibri"/>
                <w:b/>
                <w:color w:val="0B2545"/>
                <w:sz w:val="18"/>
              </w:rPr>
              <w:t>Portée exacte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GEN-WELLPOSED</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[T-C]</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A20-A25 et s_+&lt;∞ pour le physique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VOL-RATIO</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[T-C]</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pont positif et A26-A31</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VOL-COVER</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sampler auxiliaire sous A32-A38</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MIX-TIME</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OUVERTE</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gap, conductance, autocorrélations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VOL-CTRL</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PROCHAINE</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asymptotique des rapports A_(N+Δ)/A_N</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NORM-M2W</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OUVERTE</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s_+ fini non encore établi</w:t>
            </w:r>
          </w:p>
        </w:tc>
      </w:tr>
    </w:tbl>
    <w:p>
      <w:pPr>
        <w:keepLines w:val="0"/>
        <w:spacing w:before="0" w:after="40" w:line="264" w:lineRule="auto"/>
        <w:jc w:val="left"/>
      </w:pPr>
      <w:r>
        <w:rPr>
          <w:rFonts w:ascii="Calibri" w:hAnsi="Calibri"/>
          <w:b w:val="0"/>
          <w:i w:val="0"/>
          <w:color w:val="000000"/>
          <w:sz w:val="22"/>
        </w:rPr>
      </w:r>
    </w:p>
    <w:p>
      <w:pPr>
        <w:pStyle w:val="Heading1"/>
        <w:keepNext/>
      </w:pPr>
      <w:r>
        <w:t>Références primaires et théorème de chaîne</w:t>
      </w:r>
    </w:p>
    <w:p>
      <w:pPr>
        <w:keepLines/>
        <w:spacing w:after="20" w:line="240" w:lineRule="auto"/>
        <w:ind w:left="360" w:hanging="360"/>
      </w:pPr>
      <w:r>
        <w:rPr>
          <w:rFonts w:ascii="Calibri" w:hAnsi="Calibri"/>
          <w:color w:val="000000"/>
          <w:sz w:val="16"/>
        </w:rPr>
        <w:t xml:space="preserve">1. U. Pachner. </w:t>
      </w:r>
      <w:r>
        <w:rPr>
          <w:rFonts w:ascii="Calibri" w:hAnsi="Calibri"/>
          <w:i/>
          <w:color w:val="000000"/>
          <w:sz w:val="16"/>
        </w:rPr>
        <w:t>P.L. Homeomorphic Manifolds are Equivalent by Elementary Shellings</w:t>
      </w:r>
      <w:r>
        <w:rPr>
          <w:rFonts w:ascii="Calibri" w:hAnsi="Calibri"/>
          <w:color w:val="5F6B78"/>
          <w:sz w:val="16"/>
        </w:rPr>
        <w:t>. European Journal of Combinatorics 12 (1991), 129-145. https://doi.org/10.1016/S0195-6698(13)80080-7</w:t>
      </w:r>
    </w:p>
    <w:p>
      <w:pPr>
        <w:keepLines/>
        <w:spacing w:after="20" w:line="240" w:lineRule="auto"/>
        <w:ind w:left="360" w:hanging="360"/>
      </w:pPr>
      <w:r>
        <w:rPr>
          <w:rFonts w:ascii="Calibri" w:hAnsi="Calibri"/>
          <w:color w:val="000000"/>
          <w:sz w:val="16"/>
        </w:rPr>
        <w:t xml:space="preserve">2. E. G. Altmann et J. Spreer. </w:t>
      </w:r>
      <w:r>
        <w:rPr>
          <w:rFonts w:ascii="Calibri" w:hAnsi="Calibri"/>
          <w:i/>
          <w:color w:val="000000"/>
          <w:sz w:val="16"/>
        </w:rPr>
        <w:t>Sampling Triangulations of Manifolds Using Monte Carlo Methods</w:t>
      </w:r>
      <w:r>
        <w:rPr>
          <w:rFonts w:ascii="Calibri" w:hAnsi="Calibri"/>
          <w:color w:val="5F6B78"/>
          <w:sz w:val="16"/>
        </w:rPr>
        <w:t>. Experimental Mathematics (2024). https://arxiv.org/abs/2310.07372</w:t>
      </w:r>
    </w:p>
    <w:p>
      <w:pPr>
        <w:keepLines/>
        <w:spacing w:after="20" w:line="240" w:lineRule="auto"/>
        <w:ind w:left="360" w:hanging="360"/>
      </w:pPr>
      <w:r>
        <w:rPr>
          <w:rFonts w:ascii="Calibri" w:hAnsi="Calibri"/>
          <w:color w:val="000000"/>
          <w:sz w:val="16"/>
        </w:rPr>
        <w:t xml:space="preserve">3. J. Walrand. </w:t>
      </w:r>
      <w:r>
        <w:rPr>
          <w:rFonts w:ascii="Calibri" w:hAnsi="Calibri"/>
          <w:i/>
          <w:color w:val="000000"/>
          <w:sz w:val="16"/>
        </w:rPr>
        <w:t>Networks-B, section 6.2: Continuous-Time Markov Chains</w:t>
      </w:r>
      <w:r>
        <w:rPr>
          <w:rFonts w:ascii="Calibri" w:hAnsi="Calibri"/>
          <w:color w:val="5F6B78"/>
          <w:sz w:val="16"/>
        </w:rPr>
        <w:t>. Probability in Electrical Engineering and Computer Science (2021). https://link.springer.com/chapter/10.1007/978-3-030-49995-2_6</w:t>
      </w:r>
    </w:p>
    <w:sectPr w:rsidR="00FC693F" w:rsidRPr="0006063C" w:rsidSect="00034616">
      <w:footerReference w:type="default" r:id="rId9"/>
      <w:pgSz w:w="12240" w:h="15840"/>
      <w:pgMar w:top="1238" w:right="1267" w:bottom="1238" w:left="126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