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0B2545"/>
          <w:sz w:val="47"/>
        </w:rPr>
        <w:t>M2-W - Théorème VOL-RATIO</w:t>
      </w:r>
    </w:p>
    <w:p>
      <w:pPr>
        <w:keepNext/>
        <w:spacing w:before="0" w:after="240"/>
      </w:pPr>
      <w:r>
        <w:rPr>
          <w:rFonts w:ascii="Calibri" w:hAnsi="Calibri"/>
          <w:i/>
          <w:color w:val="5F6B78"/>
          <w:sz w:val="25"/>
        </w:rPr>
        <w:t>Rapports microcanoniques par flux pointés, sans énumération absolue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VOL-RATIO - mesurer exactement A_(N+Δ)/A_N sans énumérer Ω_N</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Verdict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[T-C] identité exacte; estimation sous couverture et ergodicité</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Nouveaux verrous</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Flux groupoïde, biais arbitraire, horloge continue et curl nul</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Reste ouvert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VOL-CTRL / NORM-M2W : comportement asymptotique de s_N</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La valeur de s_+ n'est pas démontrée, mais elle devient mesurable sans connaître A_N absolument. Sur tout pont de volume à flux positif, A_(N+Δ)/A_N est exactement le quotient de deux flux conditionnels, corrigé du biais de volume connu. Le facteur 1/|Aut| et les multiplicités de canaux sont inclus par une identité de groupoïdes. La porte VOL-RATIO est fermée comme théorème; VOL-CTRL reste ouverte jusqu'aux données asymptotiques.</w:t>
            </w:r>
          </w:p>
        </w:tc>
      </w:tr>
    </w:tbl>
    <w:p>
      <w:pPr>
        <w:keepLines w:val="0"/>
        <w:spacing w:before="0" w:after="40" w:line="264" w:lineRule="auto"/>
        <w:jc w:val="left"/>
      </w:pPr>
      <w:r>
        <w:rPr>
          <w:rFonts w:ascii="Calibri" w:hAnsi="Calibri"/>
          <w:b w:val="0"/>
          <w:i w:val="0"/>
          <w:color w:val="000000"/>
          <w:sz w:val="22"/>
        </w:rPr>
      </w:r>
    </w:p>
    <w:p>
      <w:pPr>
        <w:pStyle w:val="Heading1"/>
        <w:keepNext/>
      </w:pPr>
      <w:r>
        <w:t>Carte des verdicts</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VOL-FLUX</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balance pointée donne une égalité exacte des flux entre volumes.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VOL-BIAS</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Tout biais positif gelé g_N s'élimine analytiquement du rapport.</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VOL-CLOCK</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poids par temps de séjour corrige exactement le biais de la chaîne des sauts.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VOL-CURL</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curl nul est nécessaire et suffisant pour reconstruire log A_N.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CONDITIONNEL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VOL-RATIO</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Exact sur chaque pont positif; estimation si le support visité est complet.</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VOL-COVER</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Un cutoff de volume peut déconnecter le graphe de Pachner.</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VOL-CTRL</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croissance asymptotique de s_N doit encore être mesurée.</w:t>
            </w:r>
          </w:p>
        </w:tc>
      </w:tr>
    </w:tbl>
    <w:p>
      <w:pPr>
        <w:keepLines w:val="0"/>
        <w:spacing w:before="0" w:after="40" w:line="264" w:lineRule="auto"/>
        <w:jc w:val="left"/>
      </w:pPr>
      <w:r>
        <w:rPr>
          <w:rFonts w:ascii="Calibri" w:hAnsi="Calibri"/>
          <w:b w:val="0"/>
          <w:i w:val="0"/>
          <w:color w:val="000000"/>
          <w:sz w:val="22"/>
        </w:rPr>
      </w:r>
    </w:p>
    <w:p>
      <w:pPr>
        <w:pStyle w:val="Heading1"/>
        <w:keepNext/>
      </w:pPr>
      <w:r>
        <w:t>Objet microcanonique exact</w:t>
      </w:r>
    </w:p>
    <w:p>
      <w:pPr>
        <w:keepLines w:val="0"/>
        <w:spacing w:before="0" w:after="120" w:line="264" w:lineRule="auto"/>
        <w:jc w:val="left"/>
      </w:pPr>
      <w:r>
        <w:rPr>
          <w:rFonts w:ascii="Calibri" w:hAnsi="Calibri"/>
          <w:b w:val="0"/>
          <w:i w:val="0"/>
          <w:color w:val="000000"/>
          <w:sz w:val="22"/>
        </w:rPr>
        <w:t>Pour une triangulation admissible Σ de volume N=N₃, séparons le poids de forme du terme de volume :</w:t>
      </w:r>
    </w:p>
    <w:p>
      <w:pPr>
        <w:keepLines/>
        <w:spacing w:before="60" w:after="140" w:line="240" w:lineRule="auto"/>
        <w:jc w:val="center"/>
      </w:pPr>
      <w:r>
        <w:rPr>
          <w:rFonts w:ascii="Cambria Math" w:hAnsi="Cambria Math"/>
          <w:color w:val="0B2545"/>
          <w:sz w:val="22"/>
        </w:rPr>
        <w:t>W(Σ)=exp{[αL(Σ)-bD(Σ)]/τ},   A_N=Σ_[Σ] W(Σ)/|Aut(Σ)|.                           (1)</w:t>
      </w:r>
    </w:p>
    <w:p>
      <w:pPr>
        <w:keepLines w:val="0"/>
        <w:spacing w:before="0" w:after="120" w:line="264" w:lineRule="auto"/>
        <w:jc w:val="left"/>
      </w:pPr>
      <w:r>
        <w:rPr>
          <w:rFonts w:ascii="Calibri" w:hAnsi="Calibri"/>
          <w:b w:val="0"/>
          <w:i w:val="0"/>
          <w:color w:val="000000"/>
          <w:sz w:val="22"/>
        </w:rPr>
        <w:t>La somme porte sur les classes d'isomorphisme. Soit g_N&gt;0 un biais de volume arbitraire, fixé pendant la production. La mesure biaisée non normalisée est</w:t>
      </w:r>
    </w:p>
    <w:p>
      <w:pPr>
        <w:keepLines/>
        <w:spacing w:before="60" w:after="140" w:line="240" w:lineRule="auto"/>
        <w:jc w:val="center"/>
      </w:pPr>
      <w:r>
        <w:rPr>
          <w:rFonts w:ascii="Cambria Math" w:hAnsi="Cambria Math"/>
          <w:color w:val="0B2545"/>
          <w:sz w:val="22"/>
        </w:rPr>
        <w:t>Π_g([Σ])=g_N W(Σ)/|Aut(Σ)|.                           (2)</w:t>
      </w:r>
    </w:p>
    <w:p>
      <w:pPr>
        <w:keepLines w:val="0"/>
        <w:spacing w:before="0" w:after="120" w:line="264" w:lineRule="auto"/>
        <w:jc w:val="left"/>
      </w:pPr>
      <w:r>
        <w:rPr>
          <w:rFonts w:ascii="Calibri" w:hAnsi="Calibri"/>
          <w:b w:val="0"/>
          <w:i w:val="0"/>
          <w:color w:val="000000"/>
          <w:sz w:val="22"/>
        </w:rPr>
        <w:t>Conditionnellement à N, g_N est constant et s'annule. La loi microcanonique reste donc</w:t>
      </w:r>
    </w:p>
    <w:p>
      <w:pPr>
        <w:keepLines/>
        <w:spacing w:before="60" w:after="140" w:line="240" w:lineRule="auto"/>
        <w:jc w:val="center"/>
      </w:pPr>
      <w:r>
        <w:rPr>
          <w:rFonts w:ascii="Cambria Math" w:hAnsi="Cambria Math"/>
          <w:color w:val="0B2545"/>
          <w:sz w:val="22"/>
        </w:rPr>
        <w:t>P_N([Σ])=W(Σ)/[|Aut(Σ)| A_N].                         (3)</w:t>
      </w:r>
    </w:p>
    <w:p>
      <w:pPr>
        <w:pStyle w:val="Heading1"/>
        <w:keepNext/>
      </w:pPr>
      <w:r>
        <w:t>Canaux pointés et balance locale</w:t>
      </w:r>
    </w:p>
    <w:p>
      <w:pPr>
        <w:keepLines w:val="0"/>
        <w:spacing w:before="0" w:after="120" w:line="264" w:lineRule="auto"/>
        <w:jc w:val="left"/>
      </w:pPr>
      <w:r>
        <w:rPr>
          <w:rFonts w:ascii="Calibri" w:hAnsi="Calibri"/>
          <w:b w:val="0"/>
          <w:i w:val="0"/>
          <w:color w:val="000000"/>
          <w:sz w:val="22"/>
        </w:rPr>
        <w:t>Un canal γ est un embedding admissible et marqué d'un mouvement 2↔3 ou 1↔4. Il transforme Σ en Σ^γ et possède un inverse marqué bar(γ). On note Δ=N(Σ^γ)-N(Σ), donc Δ∈{±1,±3}. L'automorphisme pertinent fixe simultanément Σ et le canal : Aut(Σ,γ).</w:t>
      </w:r>
    </w:p>
    <w:p>
      <w:pPr>
        <w:keepLines w:val="0"/>
        <w:spacing w:before="0" w:after="120" w:line="264" w:lineRule="auto"/>
        <w:jc w:val="left"/>
      </w:pPr>
      <w:r>
        <w:rPr>
          <w:rFonts w:ascii="Calibri" w:hAnsi="Calibri"/>
          <w:b w:val="0"/>
          <w:i w:val="0"/>
          <w:color w:val="000000"/>
          <w:sz w:val="22"/>
        </w:rPr>
        <w:t>La condition fondamentale n'est pas une balance entre deux classes déjà canonicalisées, mais une balance canal par canal :</w:t>
      </w:r>
    </w:p>
    <w:p>
      <w:pPr>
        <w:keepLines/>
        <w:spacing w:before="60" w:after="140" w:line="240" w:lineRule="auto"/>
        <w:jc w:val="center"/>
      </w:pPr>
      <w:r>
        <w:rPr>
          <w:rFonts w:ascii="Cambria Math" w:hAnsi="Cambria Math"/>
          <w:color w:val="0B2545"/>
          <w:sz w:val="22"/>
        </w:rPr>
        <w:t>W(Σ) g_N q^g_γ(Σ) =W(Σ^γ) g_(N+Δ) q^g_bar(γ)(Σ^γ).                    (4)</w:t>
      </w:r>
    </w:p>
    <w:p>
      <w:pPr>
        <w:keepLines w:val="0"/>
        <w:spacing w:before="0" w:after="120" w:line="264" w:lineRule="auto"/>
        <w:jc w:val="left"/>
      </w:pPr>
      <w:r>
        <w:rPr>
          <w:rFonts w:ascii="Calibri" w:hAnsi="Calibri"/>
          <w:b w:val="0"/>
          <w:i w:val="0"/>
          <w:color w:val="000000"/>
          <w:sz w:val="22"/>
        </w:rPr>
        <w:t>Au quotient, une réalisation minimale est Metropolis avec une tentative appariée ρ_γ=ρ_bar(γ). Dans le code étiqueté, (4) doit être réalisée par AUT-LIFT avec le poids W/v! et le rapport complet des propositions; pour 1↔4, le facteur de naissance d'un sommet ne doit jamais être supprimé à la main.</w:t>
      </w:r>
    </w:p>
    <w:p>
      <w:pPr>
        <w:pStyle w:val="Heading1"/>
        <w:keepNext/>
      </w:pPr>
      <w:r>
        <w:t>Théorème VOL-FLUX - identité exacte</w:t>
      </w:r>
    </w:p>
    <w:p>
      <w:pPr>
        <w:keepLines w:val="0"/>
        <w:spacing w:before="0" w:after="120" w:line="264" w:lineRule="auto"/>
        <w:jc w:val="left"/>
      </w:pPr>
      <w:r>
        <w:rPr>
          <w:rFonts w:ascii="Calibri" w:hAnsi="Calibri"/>
          <w:b w:val="0"/>
          <w:i w:val="0"/>
          <w:color w:val="000000"/>
          <w:sz w:val="22"/>
        </w:rPr>
        <w:t>Définissons le taux total vers le volume N+Δ et sa moyenne microcanonique :</w:t>
      </w:r>
    </w:p>
    <w:p>
      <w:pPr>
        <w:keepLines/>
        <w:spacing w:before="60" w:after="140" w:line="240" w:lineRule="auto"/>
        <w:jc w:val="center"/>
      </w:pPr>
      <w:r>
        <w:rPr>
          <w:rFonts w:ascii="Cambria Math" w:hAnsi="Cambria Math"/>
          <w:color w:val="0B2545"/>
          <w:sz w:val="22"/>
        </w:rPr>
        <w:t>Q^g_(N,Δ)(Σ)=Σ_{γ:N→N+Δ} q^g_γ(Σ),                  (5)</w:t>
      </w:r>
    </w:p>
    <w:p>
      <w:pPr>
        <w:keepLines/>
        <w:spacing w:before="60" w:after="140" w:line="240" w:lineRule="auto"/>
        <w:jc w:val="center"/>
      </w:pPr>
      <w:r>
        <w:rPr>
          <w:rFonts w:ascii="Cambria Math" w:hAnsi="Cambria Math"/>
          <w:color w:val="0B2545"/>
          <w:sz w:val="22"/>
        </w:rPr>
        <w:t>qbar^g_(N,Δ)=Σ_[Σ] P_N([Σ]) Q^g_(N,Δ)(Σ).            (6)</w:t>
      </w:r>
    </w:p>
    <w:p>
      <w:pPr>
        <w:keepLines w:val="0"/>
        <w:spacing w:before="0" w:after="120" w:line="264" w:lineRule="auto"/>
        <w:jc w:val="left"/>
      </w:pPr>
      <w:r>
        <w:rPr>
          <w:rFonts w:ascii="Calibri" w:hAnsi="Calibri"/>
          <w:b w:val="0"/>
          <w:i w:val="0"/>
          <w:color w:val="000000"/>
          <w:sz w:val="22"/>
        </w:rPr>
        <w:t>Alors le flux total entre les deux tranches de volume vérifie</w:t>
      </w:r>
    </w:p>
    <w:p>
      <w:pPr>
        <w:keepLines/>
        <w:spacing w:before="60" w:after="140" w:line="240" w:lineRule="auto"/>
        <w:jc w:val="center"/>
      </w:pPr>
      <w:r>
        <w:rPr>
          <w:rFonts w:ascii="Cambria Math" w:hAnsi="Cambria Math"/>
          <w:color w:val="0B2545"/>
          <w:sz w:val="22"/>
        </w:rPr>
        <w:t>A_N g_N qbar^g_(N,Δ) =A_(N+Δ) g_(N+Δ) qbar^g_(N+Δ,-Δ).                  (7)</w:t>
      </w:r>
    </w:p>
    <w:p>
      <w:pPr>
        <w:pStyle w:val="Heading2"/>
        <w:keepNext/>
      </w:pPr>
      <w:r>
        <w:t>Preuve par cardinalité de groupoïde</w:t>
      </w:r>
    </w:p>
    <w:p>
      <w:pPr>
        <w:keepLines w:val="0"/>
        <w:spacing w:before="0" w:after="120" w:line="264" w:lineRule="auto"/>
        <w:jc w:val="left"/>
      </w:pPr>
      <w:r>
        <w:rPr>
          <w:rFonts w:ascii="Calibri" w:hAnsi="Calibri"/>
          <w:b w:val="0"/>
          <w:i w:val="0"/>
          <w:color w:val="000000"/>
          <w:sz w:val="22"/>
        </w:rPr>
        <w:t>Pour toute fonction invariante f des canaux marqués, orbite-stabilisateur donne l'identité</w:t>
      </w:r>
    </w:p>
    <w:p>
      <w:pPr>
        <w:keepLines/>
        <w:spacing w:before="60" w:after="140" w:line="240" w:lineRule="auto"/>
        <w:jc w:val="center"/>
      </w:pPr>
      <w:r>
        <w:rPr>
          <w:rFonts w:ascii="Cambria Math" w:hAnsi="Cambria Math"/>
          <w:color w:val="0B2545"/>
          <w:sz w:val="22"/>
        </w:rPr>
        <w:t>Σ_[Σ] |Aut(Σ)|^-1 Σ_γ f(Σ,γ) =Σ_[(Σ,γ)] f(Σ,γ)/|Aut(Σ,γ)|.                       (8)</w:t>
      </w:r>
    </w:p>
    <w:p>
      <w:pPr>
        <w:keepLines w:val="0"/>
        <w:spacing w:before="0" w:after="120" w:line="264" w:lineRule="auto"/>
        <w:jc w:val="left"/>
      </w:pPr>
      <w:r>
        <w:rPr>
          <w:rFonts w:ascii="Calibri" w:hAnsi="Calibri"/>
          <w:b w:val="0"/>
          <w:i w:val="0"/>
          <w:color w:val="000000"/>
          <w:sz w:val="22"/>
        </w:rPr>
        <w:t>L'inversion (Σ,γ)↦(Σ^γ,bar(γ)) est une équivalence du groupoïde des canaux montants avec celui des canaux descendants. Elle préserve l'ordre du stabilisateur pointé. En appliquant (4) terme à terme dans (8), le membre gauche de (7) devient exactement son membre droit. Aucun passage à la limite et aucune hypothèse statistique n'interviennent.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Interdiction d'implémentation. </w:t>
            </w:r>
            <w:r>
              <w:rPr>
                <w:rFonts w:ascii="Calibri" w:hAnsi="Calibri"/>
                <w:color w:val="0B2545"/>
                <w:sz w:val="22"/>
              </w:rPr>
              <w:t>Fusionner plusieurs embeddings ayant la même cible avant de sommer les taux détruit (8). Chaque canal marqué doit survivre jusqu'à l'accumulation du flux. Le certificat montre un défaut relatif de 0,9 lorsque cette multiplicité ou 1/|Aut| est supprimé.</w:t>
            </w:r>
          </w:p>
        </w:tc>
      </w:tr>
    </w:tbl>
    <w:p>
      <w:pPr>
        <w:keepLines w:val="0"/>
        <w:spacing w:before="0" w:after="40" w:line="264" w:lineRule="auto"/>
        <w:jc w:val="left"/>
      </w:pPr>
      <w:r>
        <w:rPr>
          <w:rFonts w:ascii="Calibri" w:hAnsi="Calibri"/>
          <w:b w:val="0"/>
          <w:i w:val="0"/>
          <w:color w:val="000000"/>
          <w:sz w:val="22"/>
        </w:rPr>
      </w:r>
    </w:p>
    <w:p>
      <w:pPr>
        <w:pStyle w:val="Heading1"/>
        <w:keepNext/>
      </w:pPr>
      <w:r>
        <w:t>Corollaire VOL-RATIO - le rapport recherché</w:t>
      </w:r>
    </w:p>
    <w:p>
      <w:pPr>
        <w:keepLines w:val="0"/>
        <w:spacing w:before="0" w:after="120" w:line="264" w:lineRule="auto"/>
        <w:jc w:val="left"/>
      </w:pPr>
      <w:r>
        <w:rPr>
          <w:rFonts w:ascii="Calibri" w:hAnsi="Calibri"/>
          <w:b w:val="0"/>
          <w:i w:val="0"/>
          <w:color w:val="000000"/>
          <w:sz w:val="22"/>
        </w:rPr>
        <w:t>Si le flux du pont (N,N+Δ) est strictement positif, les deux moyennes de (7) sont positives et</w:t>
      </w:r>
    </w:p>
    <w:p>
      <w:pPr>
        <w:keepLines/>
        <w:spacing w:before="60" w:after="140" w:line="240" w:lineRule="auto"/>
        <w:jc w:val="center"/>
      </w:pPr>
      <w:r>
        <w:rPr>
          <w:rFonts w:ascii="Cambria Math" w:hAnsi="Cambria Math"/>
          <w:color w:val="0B2545"/>
          <w:sz w:val="22"/>
        </w:rPr>
        <w:t>A_(N+Δ)/A_N =[g_N/g_(N+Δ)] [qbar^g_(N,Δ)/qbar^g_(N+Δ,-Δ)].                    (9)</w:t>
      </w:r>
    </w:p>
    <w:p>
      <w:pPr>
        <w:spacing w:before="0" w:after="120" w:line="264" w:lineRule="auto"/>
      </w:pPr>
      <w:r>
        <w:rPr>
          <w:rFonts w:ascii="Calibri" w:hAnsi="Calibri"/>
          <w:b/>
          <w:color w:val="000000"/>
          <w:sz w:val="22"/>
        </w:rPr>
        <w:t xml:space="preserve">Pont absent. </w:t>
      </w:r>
      <w:r>
        <w:rPr>
          <w:rFonts w:ascii="Calibri" w:hAnsi="Calibri"/>
          <w:color w:val="000000"/>
          <w:sz w:val="22"/>
        </w:rPr>
        <w:t>Si un côté de (7) est nul, l'autre l'est aussi. Le quotient 0/0 n'est pas un FAIL physique : ce canal direct n'identifie simplement pas le rapport. Il faut un autre chemin de volumes.</w:t>
      </w:r>
    </w:p>
    <w:p>
      <w:pPr>
        <w:spacing w:before="0" w:after="120" w:line="264" w:lineRule="auto"/>
      </w:pPr>
      <w:r>
        <w:rPr>
          <w:rFonts w:ascii="Calibri" w:hAnsi="Calibri"/>
          <w:b/>
          <w:color w:val="000000"/>
          <w:sz w:val="22"/>
        </w:rPr>
        <w:t xml:space="preserve">Potentiel chimique. </w:t>
      </w:r>
      <w:r>
        <w:rPr>
          <w:rFonts w:ascii="Calibri" w:hAnsi="Calibri"/>
          <w:color w:val="000000"/>
          <w:sz w:val="22"/>
        </w:rPr>
        <w:t>Pour g_N=exp(-μN/τ), le facteur connu est g_N/g_(N+Δ)=exp(μΔ/τ).</w:t>
      </w:r>
    </w:p>
    <w:p>
      <w:pPr>
        <w:spacing w:before="0" w:after="120" w:line="264" w:lineRule="auto"/>
      </w:pPr>
      <w:r>
        <w:rPr>
          <w:rFonts w:ascii="Calibri" w:hAnsi="Calibri"/>
          <w:b/>
          <w:color w:val="000000"/>
          <w:sz w:val="22"/>
        </w:rPr>
        <w:t xml:space="preserve">Umbrella sampling. </w:t>
      </w:r>
      <w:r>
        <w:rPr>
          <w:rFonts w:ascii="Calibri" w:hAnsi="Calibri"/>
          <w:color w:val="000000"/>
          <w:sz w:val="22"/>
        </w:rPr>
        <w:t>Tout g_N positif est autorisé. Il peut aplatir l'histogramme; il doit être gelé avant la mesure. Une adaptation Wang-Landau pendant la production ne satisfait plus une balance unique et sort du théorème.</w:t>
      </w:r>
    </w:p>
    <w:p>
      <w:pPr>
        <w:pStyle w:val="Heading1"/>
        <w:keepNext/>
      </w:pPr>
      <w:r>
        <w:t>Théorème VOL-CLOCK - la bonne moyenne temporelle</w:t>
      </w:r>
    </w:p>
    <w:p>
      <w:pPr>
        <w:keepLines w:val="0"/>
        <w:spacing w:before="0" w:after="120" w:line="264" w:lineRule="auto"/>
        <w:jc w:val="left"/>
      </w:pPr>
      <w:r>
        <w:rPr>
          <w:rFonts w:ascii="Calibri" w:hAnsi="Calibri"/>
          <w:b w:val="0"/>
          <w:i w:val="0"/>
          <w:color w:val="000000"/>
          <w:sz w:val="22"/>
        </w:rPr>
        <w:t>Dans la chaîne continue X_t de générateur Q, la moyenne exigée par (6) est une moyenne d'occupation. Sous ergodicité,</w:t>
      </w:r>
    </w:p>
    <w:p>
      <w:pPr>
        <w:keepLines/>
        <w:spacing w:before="60" w:after="140" w:line="240" w:lineRule="auto"/>
        <w:jc w:val="center"/>
      </w:pPr>
      <w:r>
        <w:rPr>
          <w:rFonts w:ascii="Cambria Math" w:hAnsi="Cambria Math"/>
          <w:color w:val="0B2545"/>
          <w:sz w:val="22"/>
        </w:rPr>
        <w:t>qbar^g_(N,Δ) =lim_{T→∞} [∫₀ᵀ 1_{N(X_t)=N} Q^g_(N,Δ)(X_t) dt] /[∫₀ᵀ 1_{N(X_t)=N} dt].                             (10)</w:t>
      </w:r>
    </w:p>
    <w:p>
      <w:pPr>
        <w:keepLines w:val="0"/>
        <w:spacing w:before="0" w:after="120" w:line="264" w:lineRule="auto"/>
        <w:jc w:val="left"/>
      </w:pPr>
      <w:r>
        <w:rPr>
          <w:rFonts w:ascii="Calibri" w:hAnsi="Calibri"/>
          <w:b w:val="0"/>
          <w:i w:val="0"/>
          <w:color w:val="000000"/>
          <w:sz w:val="22"/>
        </w:rPr>
        <w:t>La chaîne embarquée observée seulement aux sauts a au contraire la loi stationnaire proportionnelle à Π_g(Σ)q_out(Σ). Une moyenne arithmétique sur les sauts est donc biaisée dès que q_out varie.</w:t>
      </w:r>
    </w:p>
    <w:p>
      <w:pPr>
        <w:keepLines/>
        <w:spacing w:before="60" w:after="140" w:line="240" w:lineRule="auto"/>
        <w:jc w:val="center"/>
      </w:pPr>
      <w:r>
        <w:rPr>
          <w:rFonts w:ascii="Cambria Math" w:hAnsi="Cambria Math"/>
          <w:color w:val="0B2545"/>
          <w:sz w:val="22"/>
        </w:rPr>
        <w:t>P_jump(Σ) ∝ Π_g(Σ) q_out(Σ).                         (11)</w:t>
      </w:r>
    </w:p>
    <w:p>
      <w:pPr>
        <w:keepLines w:val="0"/>
        <w:spacing w:before="0" w:after="120" w:line="264" w:lineRule="auto"/>
        <w:jc w:val="left"/>
      </w:pPr>
      <w:r>
        <w:rPr>
          <w:rFonts w:ascii="Calibri" w:hAnsi="Calibri"/>
          <w:b w:val="0"/>
          <w:i w:val="0"/>
          <w:color w:val="000000"/>
          <w:sz w:val="22"/>
        </w:rPr>
        <w:t>Deux implémentations exactes sont admises : accumuler les vrais temps de séjour Δt de Gillespie, ou corriger chaque visite de la chaîne des sauts par 1/q_out. Une chaîne discrète comptant aussi les rejets échantillonne directement Π_g et ne requiert pas cette correction.</w:t>
      </w:r>
    </w:p>
    <w:p>
      <w:pPr>
        <w:pStyle w:val="Heading1"/>
        <w:keepNext/>
      </w:pPr>
      <w:r>
        <w:t>Théorème VOL-CURL - reconstruction globale</w:t>
      </w:r>
    </w:p>
    <w:p>
      <w:pPr>
        <w:keepLines w:val="0"/>
        <w:spacing w:before="0" w:after="120" w:line="264" w:lineRule="auto"/>
        <w:jc w:val="left"/>
      </w:pPr>
      <w:r>
        <w:rPr>
          <w:rFonts w:ascii="Calibri" w:hAnsi="Calibri"/>
          <w:b w:val="0"/>
          <w:i w:val="0"/>
          <w:color w:val="000000"/>
          <w:sz w:val="22"/>
        </w:rPr>
        <w:t>Sur le graphe des volumes reliés par des ponts positifs, attachons à chaque arête orientée e=(N,N+Δ) la pente</w:t>
      </w:r>
    </w:p>
    <w:p>
      <w:pPr>
        <w:keepLines/>
        <w:spacing w:before="60" w:after="140" w:line="240" w:lineRule="auto"/>
        <w:jc w:val="center"/>
      </w:pPr>
      <w:r>
        <w:rPr>
          <w:rFonts w:ascii="Cambria Math" w:hAnsi="Cambria Math"/>
          <w:color w:val="0B2545"/>
          <w:sz w:val="22"/>
        </w:rPr>
        <w:t>ℓ_e=log[A_(N+Δ)/A_N].                                (12)</w:t>
      </w:r>
    </w:p>
    <w:p>
      <w:pPr>
        <w:keepLines w:val="0"/>
        <w:spacing w:before="0" w:after="120" w:line="264" w:lineRule="auto"/>
        <w:jc w:val="left"/>
      </w:pPr>
      <w:r>
        <w:rPr>
          <w:rFonts w:ascii="Calibri" w:hAnsi="Calibri"/>
          <w:b w:val="0"/>
          <w:i w:val="0"/>
          <w:color w:val="000000"/>
          <w:sz w:val="22"/>
        </w:rPr>
        <w:t>Il existe une fonction S_N=log A_N reproduisant toutes les pentes si et seulement si la circulation de ℓ est nulle sur chaque cycle. Sur une composante connexe, S_N est alors unique à une constante additive près.</w:t>
      </w:r>
    </w:p>
    <w:p>
      <w:pPr>
        <w:keepLines/>
        <w:spacing w:before="0" w:after="120" w:line="264" w:lineRule="auto"/>
      </w:pPr>
      <w:r>
        <w:rPr>
          <w:rFonts w:ascii="Calibri" w:hAnsi="Calibri"/>
          <w:b/>
          <w:color w:val="0B2545"/>
          <w:sz w:val="22"/>
        </w:rPr>
        <w:t xml:space="preserve">Preuve. </w:t>
      </w:r>
      <w:r>
        <w:rPr>
          <w:rFonts w:ascii="Calibri" w:hAnsi="Calibri"/>
          <w:color w:val="000000"/>
          <w:sz w:val="22"/>
        </w:rPr>
        <w:t>La nécessité est télescopique. Pour la suffisance, fixer un volume racine et définir S_N comme la somme de ℓ le long d'un chemin. Deux chemins diffèrent par un cycle; le curl nul rend la définition indépendante du chemin.</w:t>
      </w:r>
    </w:p>
    <w:p>
      <w:pPr>
        <w:keepLines w:val="0"/>
        <w:spacing w:before="0" w:after="120" w:line="264" w:lineRule="auto"/>
        <w:jc w:val="left"/>
      </w:pPr>
      <w:r>
        <w:rPr>
          <w:rFonts w:ascii="Calibri" w:hAnsi="Calibri"/>
          <w:b w:val="0"/>
          <w:i w:val="0"/>
          <w:color w:val="000000"/>
          <w:sz w:val="22"/>
        </w:rPr>
        <w:t>Quand tous les ponts Δ=1 existent, ils forment un arbre couvrant. Chaque pont Δ=3 ajoute le cycle fondamental</w:t>
      </w:r>
    </w:p>
    <w:p>
      <w:pPr>
        <w:keepLines/>
        <w:spacing w:before="60" w:after="140" w:line="240" w:lineRule="auto"/>
        <w:jc w:val="center"/>
      </w:pPr>
      <w:r>
        <w:rPr>
          <w:rFonts w:ascii="Cambria Math" w:hAnsi="Cambria Math"/>
          <w:color w:val="0B2545"/>
          <w:sz w:val="22"/>
        </w:rPr>
        <w:t>C_N=ℓ^(14)_(N,3)-ℓ^(23)_(N,1) -ℓ^(23)_(N+1,1)-ℓ^(23)_(N+2,1)=0.                  (13)</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Correction anti-tautologie. </w:t>
            </w:r>
            <w:r>
              <w:rPr>
                <w:rFonts w:ascii="Calibri" w:hAnsi="Calibri"/>
                <w:color w:val="0B2545"/>
                <w:sz w:val="22"/>
              </w:rPr>
              <w:t>L'égalité (13) n'est pas une seconde preuve mathématique de (9) : elle télescope la même fonction A_N. Elle devient toutefois un contrôle d'implémentation réellement distinct, car ses deux côtés sont estimés à partir de types de mouvements et de flux bruts différents. Un défaut persistant signale multiplicité, horloge, biais ou mélange incorrect.</w:t>
            </w:r>
          </w:p>
        </w:tc>
      </w:tr>
    </w:tbl>
    <w:p>
      <w:pPr>
        <w:keepLines w:val="0"/>
        <w:spacing w:before="0" w:after="40" w:line="264" w:lineRule="auto"/>
        <w:jc w:val="left"/>
      </w:pPr>
      <w:r>
        <w:rPr>
          <w:rFonts w:ascii="Calibri" w:hAnsi="Calibri"/>
          <w:b w:val="0"/>
          <w:i w:val="0"/>
          <w:color w:val="000000"/>
          <w:sz w:val="22"/>
        </w:rPr>
      </w:r>
    </w:p>
    <w:p>
      <w:pPr>
        <w:pStyle w:val="Heading1"/>
        <w:keepNext/>
      </w:pPr>
      <w:r>
        <w:t>De VOL-RATIO à l'entropie s_+</w:t>
      </w:r>
    </w:p>
    <w:p>
      <w:pPr>
        <w:keepLines w:val="0"/>
        <w:spacing w:before="0" w:after="120" w:line="264" w:lineRule="auto"/>
        <w:jc w:val="left"/>
      </w:pPr>
      <w:r>
        <w:rPr>
          <w:rFonts w:ascii="Calibri" w:hAnsi="Calibri"/>
          <w:b w:val="0"/>
          <w:i w:val="0"/>
          <w:color w:val="000000"/>
          <w:sz w:val="22"/>
        </w:rPr>
        <w:t>Sur un intervalle connecté par les mouvements 2↔3, posons R_N=A_(N+1)/A_N. La reconstruction est</w:t>
      </w:r>
    </w:p>
    <w:p>
      <w:pPr>
        <w:keepLines/>
        <w:spacing w:before="60" w:after="140" w:line="240" w:lineRule="auto"/>
        <w:jc w:val="center"/>
      </w:pPr>
      <w:r>
        <w:rPr>
          <w:rFonts w:ascii="Cambria Math" w:hAnsi="Cambria Math"/>
          <w:color w:val="0B2545"/>
          <w:sz w:val="22"/>
        </w:rPr>
        <w:t>log A_N=log A_(N₀)+Σ_{k=N₀}^{N-1} log R_k,           (14)</w:t>
      </w:r>
    </w:p>
    <w:p>
      <w:pPr>
        <w:keepLines/>
        <w:spacing w:before="60" w:after="140" w:line="240" w:lineRule="auto"/>
        <w:jc w:val="center"/>
      </w:pPr>
      <w:r>
        <w:rPr>
          <w:rFonts w:ascii="Cambria Math" w:hAnsi="Cambria Math"/>
          <w:color w:val="0B2545"/>
          <w:sz w:val="22"/>
        </w:rPr>
        <w:t>s_+=limsup_{N→∞} N^-1 Σ_{k=N₀}^{N-1} log R_k.                             (15)</w:t>
      </w:r>
    </w:p>
    <w:p>
      <w:pPr>
        <w:keepLines w:val="0"/>
        <w:spacing w:before="0" w:after="120" w:line="264" w:lineRule="auto"/>
        <w:jc w:val="left"/>
      </w:pPr>
      <w:r>
        <w:rPr>
          <w:rFonts w:ascii="Calibri" w:hAnsi="Calibri"/>
          <w:b w:val="0"/>
          <w:i w:val="0"/>
          <w:color w:val="000000"/>
          <w:sz w:val="22"/>
        </w:rPr>
        <w:t>La constante inconnue log A_(N₀) disparaît asymptotiquement. Deux classes de croissance, lorsqu'elles admettent une expansion asymptotique régulière, donnent des signatures différentes avant toute régression numérique :</w:t>
      </w:r>
    </w:p>
    <w:tbl>
      <w:tblPr>
        <w:tblW w:type="dxa" w:w="9360"/>
        <w:tblLayout w:type="fixed"/>
        <w:tblLook w:firstColumn="1" w:firstRow="1" w:lastColumn="0" w:lastRow="0" w:noHBand="0" w:noVBand="1" w:val="04A0"/>
        <w:jc w:val="left"/>
        <w:tblInd w:w="120" w:type="dxa"/>
      </w:tblPr>
      <w:tblGrid>
        <w:gridCol w:w="3000"/>
        <w:gridCol w:w="3060"/>
        <w:gridCol w:w="3300"/>
      </w:tblGrid>
      <w:tr>
        <w:trPr>
          <w:tblHeader w:val="true"/>
        </w:trPr>
        <w:tc>
          <w:tcPr>
            <w:tcW w:type="dxa" w:w="3000"/>
            <w:tcMar>
              <w:top w:w="80" w:type="dxa"/>
              <w:start w:w="120" w:type="dxa"/>
              <w:bottom w:w="80" w:type="dxa"/>
              <w:end w:w="120" w:type="dxa"/>
            </w:tcMar>
            <w:vAlign w:val="center"/>
            <w:shd w:fill="E8EEF5"/>
          </w:tcPr>
          <w:p>
            <w:pPr>
              <w:spacing w:after="0"/>
              <w:jc w:val="left"/>
            </w:pPr>
            <w:r>
              <w:rPr>
                <w:rFonts w:ascii="Calibri" w:hAnsi="Calibri"/>
                <w:b/>
                <w:color w:val="0B2545"/>
                <w:sz w:val="18"/>
              </w:rPr>
              <w:t>Hypothèse pour A_N</w:t>
            </w:r>
          </w:p>
        </w:tc>
        <w:tc>
          <w:tcPr>
            <w:tcW w:type="dxa" w:w="3060"/>
            <w:tcMar>
              <w:top w:w="80" w:type="dxa"/>
              <w:start w:w="120" w:type="dxa"/>
              <w:bottom w:w="80" w:type="dxa"/>
              <w:end w:w="120" w:type="dxa"/>
            </w:tcMar>
            <w:vAlign w:val="center"/>
            <w:shd w:fill="E8EEF5"/>
          </w:tcPr>
          <w:p>
            <w:pPr>
              <w:spacing w:after="0"/>
              <w:jc w:val="left"/>
            </w:pPr>
            <w:r>
              <w:rPr>
                <w:rFonts w:ascii="Calibri" w:hAnsi="Calibri"/>
                <w:b/>
                <w:color w:val="0B2545"/>
                <w:sz w:val="18"/>
              </w:rPr>
              <w:t>Signature de log R_N</w:t>
            </w:r>
          </w:p>
        </w:tc>
        <w:tc>
          <w:tcPr>
            <w:tcW w:type="dxa" w:w="3300"/>
            <w:tcMar>
              <w:top w:w="80" w:type="dxa"/>
              <w:start w:w="120" w:type="dxa"/>
              <w:bottom w:w="80" w:type="dxa"/>
              <w:end w:w="120" w:type="dxa"/>
            </w:tcMar>
            <w:vAlign w:val="center"/>
            <w:shd w:fill="E8EEF5"/>
          </w:tcPr>
          <w:p>
            <w:pPr>
              <w:spacing w:after="0"/>
              <w:jc w:val="left"/>
            </w:pPr>
            <w:r>
              <w:rPr>
                <w:rFonts w:ascii="Calibri" w:hAnsi="Calibri"/>
                <w:b/>
                <w:color w:val="0B2545"/>
                <w:sz w:val="18"/>
              </w:rPr>
              <w:t>Verdict visé</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log A_N=sN+γ log N+c₀+O(1/N)</w:t>
            </w:r>
          </w:p>
        </w:tc>
        <w:tc>
          <w:tcPr>
            <w:tcW w:type="dxa" w:w="3060"/>
            <w:vAlign w:val="center"/>
            <w:tcMar>
              <w:top w:w="80" w:type="dxa"/>
              <w:start w:w="120" w:type="dxa"/>
              <w:bottom w:w="80" w:type="dxa"/>
              <w:end w:w="120" w:type="dxa"/>
            </w:tcMar>
          </w:tcPr>
          <w:p>
            <w:pPr>
              <w:spacing w:after="0" w:line="252" w:lineRule="auto"/>
              <w:jc w:val="left"/>
            </w:pPr>
            <w:r>
              <w:rPr>
                <w:rFonts w:ascii="Calibri" w:hAnsi="Calibri"/>
                <w:color w:val="000000"/>
                <w:sz w:val="17"/>
              </w:rPr>
              <w:t>s + γ/N + O(1/N²)</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000000"/>
                <w:sz w:val="17"/>
              </w:rPr>
              <w:t>s_+ fini possible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log A_N=cN log N+sN+γ log N+c₀+O(1/N)</w:t>
            </w:r>
          </w:p>
        </w:tc>
        <w:tc>
          <w:tcPr>
            <w:tcW w:type="dxa" w:w="3060"/>
            <w:vAlign w:val="center"/>
            <w:tcMar>
              <w:top w:w="80" w:type="dxa"/>
              <w:start w:w="120" w:type="dxa"/>
              <w:bottom w:w="80" w:type="dxa"/>
              <w:end w:w="120" w:type="dxa"/>
            </w:tcMar>
          </w:tcPr>
          <w:p>
            <w:pPr>
              <w:spacing w:after="0" w:line="252" w:lineRule="auto"/>
              <w:jc w:val="left"/>
            </w:pPr>
            <w:r>
              <w:rPr>
                <w:rFonts w:ascii="Calibri" w:hAnsi="Calibri"/>
                <w:color w:val="000000"/>
                <w:sz w:val="17"/>
              </w:rPr>
              <w:t>c log N + c+s+O(1/N)</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000000"/>
                <w:sz w:val="17"/>
              </w:rPr>
              <w:t>s_+=+∞ si c&gt;0</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color w:val="000000"/>
                <w:sz w:val="17"/>
              </w:rPr>
              <w:t>oscillations / sous-suites</w:t>
            </w:r>
          </w:p>
        </w:tc>
        <w:tc>
          <w:tcPr>
            <w:tcW w:type="dxa" w:w="3060"/>
            <w:vAlign w:val="center"/>
            <w:tcMar>
              <w:top w:w="80" w:type="dxa"/>
              <w:start w:w="120" w:type="dxa"/>
              <w:bottom w:w="80" w:type="dxa"/>
              <w:end w:w="120" w:type="dxa"/>
            </w:tcMar>
          </w:tcPr>
          <w:p>
            <w:pPr>
              <w:spacing w:after="0" w:line="252" w:lineRule="auto"/>
              <w:jc w:val="left"/>
            </w:pPr>
            <w:r>
              <w:rPr>
                <w:rFonts w:ascii="Calibri" w:hAnsi="Calibri"/>
                <w:color w:val="000000"/>
                <w:sz w:val="17"/>
              </w:rPr>
              <w:t>moyenne de Cesàro non stabilisée</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000000"/>
                <w:sz w:val="17"/>
              </w:rPr>
              <w:t>limsup requis; aucun fit unique</w:t>
            </w:r>
          </w:p>
        </w:tc>
      </w:tr>
    </w:tbl>
    <w:p>
      <w:pPr>
        <w:keepLines w:val="0"/>
        <w:spacing w:before="0" w:after="4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Une pente instantanée bornée sur quelques volumes ne prouve pas s_+&lt;∞. Le verdict porte sur la moyenne cumulée et son limsup à fenêtres croissantes.</w:t>
      </w:r>
    </w:p>
    <w:p>
      <w:pPr>
        <w:pStyle w:val="Heading1"/>
        <w:keepNext/>
      </w:pPr>
      <w:r>
        <w:t>Axiomes A26-A31 à geler</w:t>
      </w:r>
    </w:p>
    <w:tbl>
      <w:tblPr>
        <w:tblW w:type="dxa" w:w="9360"/>
        <w:tblLayout w:type="fixed"/>
        <w:tblLook w:firstColumn="1" w:firstRow="1" w:lastColumn="0" w:lastRow="0" w:noHBand="0" w:noVBand="1" w:val="04A0"/>
        <w:jc w:val="left"/>
        <w:tblInd w:w="120" w:type="dxa"/>
      </w:tblPr>
      <w:tblGrid>
        <w:gridCol w:w="900"/>
        <w:gridCol w:w="1800"/>
        <w:gridCol w:w="6660"/>
      </w:tblGrid>
      <w:tr>
        <w:trPr>
          <w:tblHeader w:val="true"/>
        </w:trPr>
        <w:tc>
          <w:tcPr>
            <w:tcW w:type="dxa" w:w="900"/>
            <w:tcMar>
              <w:top w:w="80" w:type="dxa"/>
              <w:start w:w="120" w:type="dxa"/>
              <w:bottom w:w="80" w:type="dxa"/>
              <w:end w:w="120" w:type="dxa"/>
            </w:tcMar>
            <w:vAlign w:val="center"/>
            <w:shd w:fill="E8EEF5"/>
          </w:tcPr>
          <w:p>
            <w:pPr>
              <w:spacing w:after="0"/>
              <w:jc w:val="left"/>
            </w:pPr>
            <w:r>
              <w:rPr>
                <w:rFonts w:ascii="Calibri" w:hAnsi="Calibri"/>
                <w:b/>
                <w:color w:val="0B2545"/>
                <w:sz w:val="18"/>
              </w:rPr>
              <w:t>Axiome</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0B2545"/>
                <w:sz w:val="18"/>
              </w:rPr>
              <w:t>Objet</w:t>
            </w:r>
          </w:p>
        </w:tc>
        <w:tc>
          <w:tcPr>
            <w:tcW w:type="dxa" w:w="6660"/>
            <w:tcMar>
              <w:top w:w="80" w:type="dxa"/>
              <w:start w:w="120" w:type="dxa"/>
              <w:bottom w:w="80" w:type="dxa"/>
              <w:end w:w="120" w:type="dxa"/>
            </w:tcMar>
            <w:vAlign w:val="center"/>
            <w:shd w:fill="E8EEF5"/>
          </w:tcPr>
          <w:p>
            <w:pPr>
              <w:spacing w:after="0"/>
              <w:jc w:val="left"/>
            </w:pPr>
            <w:r>
              <w:rPr>
                <w:rFonts w:ascii="Calibri" w:hAnsi="Calibri"/>
                <w:b/>
                <w:color w:val="0B2545"/>
                <w:sz w:val="18"/>
              </w:rPr>
              <w:t>Prescription non négociable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A26</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Poids</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W contient αL-bD complet; A_N inclut 1/|Aut|.</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A27</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Canaux</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Conserver chaque embedding marqué jusqu'à la somme de flux.</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A28</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Balance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Taux appariés; AUT-LIFT complet pour les naissances 1↔4.</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A29</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Biais</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g_N&gt;0 arbitraire mais gelé pendant toute production.</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A30</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Horloge</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Temps de séjour, rejets, ou correction 1/q_out; jamais jump-only brut.</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color w:val="000000"/>
                <w:sz w:val="17"/>
              </w:rPr>
              <w:t>A31</w:t>
            </w:r>
          </w:p>
        </w:tc>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Support</w:t>
            </w:r>
          </w:p>
        </w:tc>
        <w:tc>
          <w:tcPr>
            <w:tcW w:type="dxa" w:w="6660"/>
            <w:vAlign w:val="center"/>
            <w:tcMar>
              <w:top w:w="80" w:type="dxa"/>
              <w:start w:w="120" w:type="dxa"/>
              <w:bottom w:w="80" w:type="dxa"/>
              <w:end w:w="120" w:type="dxa"/>
            </w:tcMar>
          </w:tcPr>
          <w:p>
            <w:pPr>
              <w:spacing w:after="0" w:line="252" w:lineRule="auto"/>
              <w:jc w:val="left"/>
            </w:pPr>
            <w:r>
              <w:rPr>
                <w:rFonts w:ascii="Calibri" w:hAnsi="Calibri"/>
                <w:color w:val="000000"/>
                <w:sz w:val="17"/>
              </w:rPr>
              <w:t>Déclarer composante, fenêtre et flux positifs; ne pas supposer le mélange.</w:t>
            </w:r>
          </w:p>
        </w:tc>
      </w:tr>
    </w:tbl>
    <w:p>
      <w:pPr>
        <w:keepLines w:val="0"/>
        <w:spacing w:before="0" w:after="40" w:line="264" w:lineRule="auto"/>
        <w:jc w:val="left"/>
      </w:pPr>
      <w:r>
        <w:rPr>
          <w:rFonts w:ascii="Calibri" w:hAnsi="Calibri"/>
          <w:b w:val="0"/>
          <w:i w:val="0"/>
          <w:color w:val="000000"/>
          <w:sz w:val="22"/>
        </w:rPr>
      </w:r>
    </w:p>
    <w:p>
      <w:pPr>
        <w:pStyle w:val="Heading1"/>
        <w:keepNext/>
      </w:pPr>
      <w:r>
        <w:t>Protocole de production et critères de mort</w:t>
      </w:r>
    </w:p>
    <w:tbl>
      <w:tblPr>
        <w:tblW w:type="dxa" w:w="9360"/>
        <w:tblLayout w:type="fixed"/>
        <w:tblLook w:firstColumn="1" w:firstRow="1" w:lastColumn="0" w:lastRow="0" w:noHBand="0" w:noVBand="1" w:val="04A0"/>
        <w:jc w:val="left"/>
        <w:tblInd w:w="120" w:type="dxa"/>
      </w:tblPr>
      <w:tblGrid>
        <w:gridCol w:w="1500"/>
        <w:gridCol w:w="4660"/>
        <w:gridCol w:w="3200"/>
      </w:tblGrid>
      <w:tr>
        <w:trPr>
          <w:tblHeader w:val="true"/>
        </w:trPr>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8"/>
              </w:rPr>
              <w:t>Phase</w:t>
            </w:r>
          </w:p>
        </w:tc>
        <w:tc>
          <w:tcPr>
            <w:tcW w:type="dxa" w:w="4660"/>
            <w:tcMar>
              <w:top w:w="80" w:type="dxa"/>
              <w:start w:w="120" w:type="dxa"/>
              <w:bottom w:w="80" w:type="dxa"/>
              <w:end w:w="120" w:type="dxa"/>
            </w:tcMar>
            <w:vAlign w:val="center"/>
            <w:shd w:fill="E8EEF5"/>
          </w:tcPr>
          <w:p>
            <w:pPr>
              <w:spacing w:after="0"/>
              <w:jc w:val="left"/>
            </w:pPr>
            <w:r>
              <w:rPr>
                <w:rFonts w:ascii="Calibri" w:hAnsi="Calibri"/>
                <w:b/>
                <w:color w:val="0B2545"/>
                <w:sz w:val="18"/>
              </w:rPr>
              <w:t>Mesure</w:t>
            </w:r>
          </w:p>
        </w:tc>
        <w:tc>
          <w:tcPr>
            <w:tcW w:type="dxa" w:w="3200"/>
            <w:tcMar>
              <w:top w:w="80" w:type="dxa"/>
              <w:start w:w="120" w:type="dxa"/>
              <w:bottom w:w="80" w:type="dxa"/>
              <w:end w:w="120" w:type="dxa"/>
            </w:tcMar>
            <w:vAlign w:val="center"/>
            <w:shd w:fill="E8EEF5"/>
          </w:tcPr>
          <w:p>
            <w:pPr>
              <w:spacing w:after="0"/>
              <w:jc w:val="left"/>
            </w:pPr>
            <w:r>
              <w:rPr>
                <w:rFonts w:ascii="Calibri" w:hAnsi="Calibri"/>
                <w:b/>
                <w:color w:val="0B2545"/>
                <w:sz w:val="18"/>
              </w:rPr>
              <w:t>Décision</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1. Calibration</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Adapter g_N pour visiter la fenêtre, puis le geler.</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Aucune donnée avant gel.</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2. Flux</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Accumuler temps, Q_(N,±1), Q_(N,±3), q_out et canaux.</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Appliquer (9) séparément.</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3. Réplication</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Deux biais gelés et plusieurs triangulations initiales.</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Rapports compatibles requis.</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4. Curl</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Calculer C_N et un cycle basis si des ponts manquent.</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Défaut persistant : FAIL pipeline.</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5. Entropie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Reconstruire log A_N puis s_N=log A_N/N.</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Tester fenêtres croissantes.</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color w:val="000000"/>
                <w:sz w:val="17"/>
              </w:rPr>
              <w:t>6. Verdict</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Comparer croissance constante et c log N.</w:t>
            </w:r>
          </w:p>
        </w:tc>
        <w:tc>
          <w:tcPr>
            <w:tcW w:type="dxa" w:w="3200"/>
            <w:vAlign w:val="center"/>
            <w:tcMar>
              <w:top w:w="80" w:type="dxa"/>
              <w:start w:w="120" w:type="dxa"/>
              <w:bottom w:w="80" w:type="dxa"/>
              <w:end w:w="120" w:type="dxa"/>
            </w:tcMar>
          </w:tcPr>
          <w:p>
            <w:pPr>
              <w:spacing w:after="0" w:line="252" w:lineRule="auto"/>
              <w:jc w:val="left"/>
            </w:pPr>
            <w:r>
              <w:rPr>
                <w:rFonts w:ascii="Calibri" w:hAnsi="Calibri"/>
                <w:color w:val="000000"/>
                <w:sz w:val="17"/>
              </w:rPr>
              <w:t>c&gt;0 stable : NORM-M2W FAIL.</w:t>
            </w:r>
          </w:p>
        </w:tc>
      </w:tr>
    </w:tbl>
    <w:p>
      <w:pPr>
        <w:keepLines w:val="0"/>
        <w:spacing w:before="0" w:after="40" w:line="264" w:lineRule="auto"/>
        <w:jc w:val="left"/>
      </w:pPr>
      <w:r>
        <w:rPr>
          <w:rFonts w:ascii="Calibri" w:hAnsi="Calibri"/>
          <w:b w:val="0"/>
          <w:i w:val="0"/>
          <w:color w:val="000000"/>
          <w:sz w:val="22"/>
        </w:rPr>
      </w:r>
    </w:p>
    <w:p>
      <w:pPr>
        <w:spacing w:before="0" w:after="120" w:line="264" w:lineRule="auto"/>
      </w:pPr>
      <w:r>
        <w:rPr>
          <w:rFonts w:ascii="Calibri" w:hAnsi="Calibri"/>
          <w:b/>
          <w:color w:val="000000"/>
          <w:sz w:val="22"/>
        </w:rPr>
        <w:t xml:space="preserve">FAIL pipeline. </w:t>
      </w:r>
      <w:r>
        <w:rPr>
          <w:rFonts w:ascii="Calibri" w:hAnsi="Calibri"/>
          <w:color w:val="000000"/>
          <w:sz w:val="22"/>
        </w:rPr>
        <w:t>Dépendance au biais après correction, curl non nul au-delà des incertitudes corrélées, ou désaccord durable entre initialisations.</w:t>
      </w:r>
    </w:p>
    <w:p>
      <w:pPr>
        <w:spacing w:before="0" w:after="120" w:line="264" w:lineRule="auto"/>
      </w:pPr>
      <w:r>
        <w:rPr>
          <w:rFonts w:ascii="Calibri" w:hAnsi="Calibri"/>
          <w:b/>
          <w:color w:val="000000"/>
          <w:sz w:val="22"/>
        </w:rPr>
        <w:t xml:space="preserve">FAIL modèle. </w:t>
      </w:r>
      <w:r>
        <w:rPr>
          <w:rFonts w:ascii="Calibri" w:hAnsi="Calibri"/>
          <w:color w:val="000000"/>
          <w:sz w:val="22"/>
        </w:rPr>
        <w:t>Après pipeline validé et volumes croissants, s_N∼c log N avec c&gt;0 : aucun μ linéaire ne normalise M2-W.</w:t>
      </w:r>
    </w:p>
    <w:p>
      <w:pPr>
        <w:spacing w:before="0" w:after="120" w:line="264" w:lineRule="auto"/>
      </w:pPr>
      <w:r>
        <w:rPr>
          <w:rFonts w:ascii="Calibri" w:hAnsi="Calibri"/>
          <w:b/>
          <w:color w:val="000000"/>
          <w:sz w:val="22"/>
        </w:rPr>
        <w:t xml:space="preserve">PASS existence. </w:t>
      </w:r>
      <w:r>
        <w:rPr>
          <w:rFonts w:ascii="Calibri" w:hAnsi="Calibri"/>
          <w:color w:val="000000"/>
          <w:sz w:val="22"/>
        </w:rPr>
        <w:t>s_N et les moyennes cumulées des log R_N restent bornés et convergent vers un s_+ fini; le bord μ_c=τs_+ devient mesurable.</w:t>
      </w:r>
    </w:p>
    <w:p>
      <w:pPr>
        <w:pStyle w:val="Heading1"/>
        <w:keepNext/>
      </w:pPr>
      <w:r>
        <w:t>Certificat indépendant exact</w:t>
      </w:r>
    </w:p>
    <w:p>
      <w:pPr>
        <w:keepLines w:val="0"/>
        <w:spacing w:before="0" w:after="120" w:line="264" w:lineRule="auto"/>
        <w:jc w:val="left"/>
      </w:pPr>
      <w:r>
        <w:rPr>
          <w:rFonts w:ascii="Calibri" w:hAnsi="Calibri"/>
          <w:b w:val="0"/>
          <w:i w:val="0"/>
          <w:color w:val="000000"/>
          <w:sz w:val="22"/>
        </w:rPr>
        <w:t>Le script verify_m2w_vol_ratio.py ne réutilise aucune triangulation M2-W. Il énumère exactement les 34 classes de graphes simples à cinq sommets, leurs automorphismes et des canaux marqués ajoutant une ou trois arêtes. Tous les calculs sont rationnels.</w:t>
      </w:r>
    </w:p>
    <w:tbl>
      <w:tblPr>
        <w:tblW w:type="dxa" w:w="9360"/>
        <w:tblLayout w:type="fixed"/>
        <w:tblLook w:firstColumn="1" w:firstRow="1" w:lastColumn="0" w:lastRow="0" w:noHBand="0" w:noVBand="1" w:val="04A0"/>
        <w:jc w:val="left"/>
        <w:tblInd w:w="120" w:type="dxa"/>
      </w:tblPr>
      <w:tblGrid>
        <w:gridCol w:w="5900"/>
        <w:gridCol w:w="3460"/>
      </w:tblGrid>
      <w:tr>
        <w:trPr>
          <w:tblHeader w:val="true"/>
        </w:trPr>
        <w:tc>
          <w:tcPr>
            <w:tcW w:type="dxa" w:w="5900"/>
            <w:tcMar>
              <w:top w:w="80" w:type="dxa"/>
              <w:start w:w="120" w:type="dxa"/>
              <w:bottom w:w="80" w:type="dxa"/>
              <w:end w:w="120" w:type="dxa"/>
            </w:tcMar>
            <w:vAlign w:val="center"/>
            <w:shd w:fill="E8EEF5"/>
          </w:tcPr>
          <w:p>
            <w:pPr>
              <w:spacing w:after="0"/>
              <w:jc w:val="left"/>
            </w:pPr>
            <w:r>
              <w:rPr>
                <w:rFonts w:ascii="Calibri" w:hAnsi="Calibri"/>
                <w:b/>
                <w:color w:val="0B2545"/>
                <w:sz w:val="18"/>
              </w:rPr>
              <w:t>Contrôle</w:t>
            </w:r>
          </w:p>
        </w:tc>
        <w:tc>
          <w:tcPr>
            <w:tcW w:type="dxa" w:w="3460"/>
            <w:tcMar>
              <w:top w:w="80" w:type="dxa"/>
              <w:start w:w="120" w:type="dxa"/>
              <w:bottom w:w="80" w:type="dxa"/>
              <w:end w:w="120" w:type="dxa"/>
            </w:tcMar>
            <w:vAlign w:val="center"/>
            <w:shd w:fill="E8EEF5"/>
          </w:tcPr>
          <w:p>
            <w:pPr>
              <w:spacing w:after="0"/>
              <w:jc w:val="left"/>
            </w:pPr>
            <w:r>
              <w:rPr>
                <w:rFonts w:ascii="Calibri" w:hAnsi="Calibri"/>
                <w:b/>
                <w:color w:val="0B2545"/>
                <w:sz w:val="18"/>
              </w:rPr>
              <w:t>Valeur certifiée</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Classes non étiquetées</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34</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Classes à automorphismes non triviaux</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34</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Résidu exact de flux pointé</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Résidu exact du rapport reconstruit</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Résidu d'invariance entre deux biais</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Résidu du cycle Δ=3</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0</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Erreur sans 1/|Aut|</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9,0·10^-1</w:t>
            </w:r>
          </w:p>
        </w:tc>
      </w:tr>
      <w:tr>
        <w:tc>
          <w:tcPr>
            <w:tcW w:type="dxa" w:w="5900"/>
            <w:vAlign w:val="center"/>
            <w:tcMar>
              <w:top w:w="80" w:type="dxa"/>
              <w:start w:w="120" w:type="dxa"/>
              <w:bottom w:w="80" w:type="dxa"/>
              <w:end w:w="120" w:type="dxa"/>
            </w:tcMar>
          </w:tcPr>
          <w:p>
            <w:pPr>
              <w:spacing w:after="0" w:line="252" w:lineRule="auto"/>
              <w:jc w:val="left"/>
            </w:pPr>
            <w:r>
              <w:rPr>
                <w:rFonts w:ascii="Calibri" w:hAnsi="Calibri"/>
                <w:color w:val="000000"/>
                <w:sz w:val="18"/>
              </w:rPr>
              <w:t>Erreur après fusion des canaux</w:t>
            </w:r>
          </w:p>
        </w:tc>
        <w:tc>
          <w:tcPr>
            <w:tcW w:type="dxa" w:w="3460"/>
            <w:vAlign w:val="center"/>
            <w:tcMar>
              <w:top w:w="80" w:type="dxa"/>
              <w:start w:w="120" w:type="dxa"/>
              <w:bottom w:w="80" w:type="dxa"/>
              <w:end w:w="120" w:type="dxa"/>
            </w:tcMar>
          </w:tcPr>
          <w:p>
            <w:pPr>
              <w:spacing w:after="0" w:line="252" w:lineRule="auto"/>
              <w:jc w:val="left"/>
            </w:pPr>
            <w:r>
              <w:rPr>
                <w:rFonts w:ascii="Calibri" w:hAnsi="Calibri"/>
                <w:color w:val="000000"/>
                <w:sz w:val="18"/>
              </w:rPr>
              <w:t>9,0·10^-1</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Sortie exigée : ALL CHECKS PASSED.</w:t>
      </w:r>
    </w:p>
    <w:p>
      <w:pPr>
        <w:pStyle w:val="Heading1"/>
        <w:keepNext/>
      </w:pPr>
      <w:r>
        <w:t>Registre mis à jour</w:t>
      </w:r>
    </w:p>
    <w:tbl>
      <w:tblPr>
        <w:tblW w:type="dxa" w:w="9360"/>
        <w:tblLayout w:type="fixed"/>
        <w:tblLook w:firstColumn="1" w:firstRow="1" w:lastColumn="0" w:lastRow="0" w:noHBand="0" w:noVBand="1" w:val="04A0"/>
        <w:jc w:val="left"/>
        <w:tblInd w:w="120" w:type="dxa"/>
      </w:tblPr>
      <w:tblGrid>
        <w:gridCol w:w="2400"/>
        <w:gridCol w:w="2400"/>
        <w:gridCol w:w="4560"/>
      </w:tblGrid>
      <w:tr>
        <w:trPr>
          <w:tblHeader w:val="true"/>
        </w:trPr>
        <w:tc>
          <w:tcPr>
            <w:tcW w:type="dxa" w:w="240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240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560"/>
            <w:tcMar>
              <w:top w:w="80" w:type="dxa"/>
              <w:start w:w="120" w:type="dxa"/>
              <w:bottom w:w="80" w:type="dxa"/>
              <w:end w:w="120" w:type="dxa"/>
            </w:tcMar>
            <w:vAlign w:val="center"/>
            <w:shd w:fill="E8EEF5"/>
          </w:tcPr>
          <w:p>
            <w:pPr>
              <w:spacing w:after="0"/>
              <w:jc w:val="left"/>
            </w:pPr>
            <w:r>
              <w:rPr>
                <w:rFonts w:ascii="Calibri" w:hAnsi="Calibri"/>
                <w:b/>
                <w:color w:val="0B2545"/>
                <w:sz w:val="18"/>
              </w:rPr>
              <w:t>Portée exacte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[T-C]</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A20-A25 et s_+&lt;∞</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VOL-FLUX</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groupoïde des canaux pointés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VOL-BIAS</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tout biais positif gelé</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VOL-CLOCK</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occupation continue / rejets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VOL-CURL</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reconstruction sur composante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VOL-RATIO</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[T-C]</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pont positif et A26-A31</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VOL-COVER</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OUVERTE</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mélange sous fenêtre finie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VOL-CTRL</w:t>
            </w:r>
          </w:p>
        </w:tc>
        <w:tc>
          <w:tcPr>
            <w:tcW w:type="dxa" w:w="2400"/>
            <w:vAlign w:val="center"/>
            <w:tcMar>
              <w:top w:w="80" w:type="dxa"/>
              <w:start w:w="120" w:type="dxa"/>
              <w:bottom w:w="80" w:type="dxa"/>
              <w:end w:w="120" w:type="dxa"/>
            </w:tcMar>
          </w:tcPr>
          <w:p>
            <w:pPr>
              <w:spacing w:after="0" w:line="252" w:lineRule="auto"/>
              <w:jc w:val="left"/>
            </w:pPr>
            <w:r>
              <w:rPr>
                <w:rFonts w:ascii="Calibri" w:hAnsi="Calibri"/>
                <w:color w:val="000000"/>
                <w:sz w:val="17"/>
              </w:rPr>
              <w:t>PROCHAINE</w:t>
            </w:r>
          </w:p>
        </w:tc>
        <w:tc>
          <w:tcPr>
            <w:tcW w:type="dxa" w:w="4560"/>
            <w:vAlign w:val="center"/>
            <w:tcMar>
              <w:top w:w="80" w:type="dxa"/>
              <w:start w:w="120" w:type="dxa"/>
              <w:bottom w:w="80" w:type="dxa"/>
              <w:end w:w="120" w:type="dxa"/>
            </w:tcMar>
          </w:tcPr>
          <w:p>
            <w:pPr>
              <w:spacing w:after="0" w:line="252" w:lineRule="auto"/>
              <w:jc w:val="left"/>
            </w:pPr>
            <w:r>
              <w:rPr>
                <w:rFonts w:ascii="Calibri" w:hAnsi="Calibri"/>
                <w:color w:val="000000"/>
                <w:sz w:val="17"/>
              </w:rPr>
              <w:t>mesurer le limsup de s_N</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w:t>
      </w:r>
    </w:p>
    <w:p>
      <w:pPr>
        <w:keepLines/>
        <w:spacing w:after="20" w:line="240" w:lineRule="auto"/>
        <w:ind w:left="360" w:hanging="360"/>
      </w:pPr>
      <w:r>
        <w:rPr>
          <w:rFonts w:ascii="Calibri" w:hAnsi="Calibri"/>
          <w:color w:val="000000"/>
          <w:sz w:val="16"/>
        </w:rPr>
        <w:t xml:space="preserve">1. P. M. C. de Oliveira. </w:t>
      </w:r>
      <w:r>
        <w:rPr>
          <w:rFonts w:ascii="Calibri" w:hAnsi="Calibri"/>
          <w:i/>
          <w:color w:val="000000"/>
          <w:sz w:val="16"/>
        </w:rPr>
        <w:t>Broad Histogram Relation Is Exact</w:t>
      </w:r>
      <w:r>
        <w:rPr>
          <w:rFonts w:ascii="Calibri" w:hAnsi="Calibri"/>
          <w:color w:val="5F6B78"/>
          <w:sz w:val="16"/>
        </w:rPr>
        <w:t>. Eur. Phys. J. B (1998). https://arxiv.org/abs/cond-mat/9807354</w:t>
      </w:r>
    </w:p>
    <w:p>
      <w:pPr>
        <w:keepLines/>
        <w:spacing w:after="20" w:line="240" w:lineRule="auto"/>
        <w:ind w:left="360" w:hanging="360"/>
      </w:pPr>
      <w:r>
        <w:rPr>
          <w:rFonts w:ascii="Calibri" w:hAnsi="Calibri"/>
          <w:color w:val="000000"/>
          <w:sz w:val="16"/>
        </w:rPr>
        <w:t xml:space="preserve">2. J.-S. Wang et R. H. Swendsen. </w:t>
      </w:r>
      <w:r>
        <w:rPr>
          <w:rFonts w:ascii="Calibri" w:hAnsi="Calibri"/>
          <w:i/>
          <w:color w:val="000000"/>
          <w:sz w:val="16"/>
        </w:rPr>
        <w:t>Transition Matrix Monte Carlo Method</w:t>
      </w:r>
      <w:r>
        <w:rPr>
          <w:rFonts w:ascii="Calibri" w:hAnsi="Calibri"/>
          <w:color w:val="5F6B78"/>
          <w:sz w:val="16"/>
        </w:rPr>
        <w:t>. J. Stat. Phys. 106 (2002), 245-285. https://arxiv.org/abs/cond-mat/0104418</w:t>
      </w:r>
    </w:p>
    <w:p>
      <w:pPr>
        <w:keepLines/>
        <w:spacing w:after="20" w:line="240" w:lineRule="auto"/>
        <w:ind w:left="360" w:hanging="360"/>
      </w:pPr>
      <w:r>
        <w:rPr>
          <w:rFonts w:ascii="Calibri" w:hAnsi="Calibri"/>
          <w:color w:val="000000"/>
          <w:sz w:val="16"/>
        </w:rPr>
        <w:t xml:space="preserve">3. J. C. Baez, A. E. Hoffnung et C. D. Walker. </w:t>
      </w:r>
      <w:r>
        <w:rPr>
          <w:rFonts w:ascii="Calibri" w:hAnsi="Calibri"/>
          <w:i/>
          <w:color w:val="000000"/>
          <w:sz w:val="16"/>
        </w:rPr>
        <w:t>Higher-Dimensional Algebra VII: Groupoidification</w:t>
      </w:r>
      <w:r>
        <w:rPr>
          <w:rFonts w:ascii="Calibri" w:hAnsi="Calibri"/>
          <w:color w:val="5F6B78"/>
          <w:sz w:val="16"/>
        </w:rPr>
        <w:t>. Theory Appl. Categ. 24 (2010). https://arxiv.org/abs/0908.4305</w:t>
      </w:r>
    </w:p>
    <w:p>
      <w:pPr>
        <w:keepLines/>
        <w:spacing w:after="20" w:line="240" w:lineRule="auto"/>
        <w:ind w:left="360" w:hanging="360"/>
      </w:pPr>
      <w:r>
        <w:rPr>
          <w:rFonts w:ascii="Calibri" w:hAnsi="Calibri"/>
          <w:color w:val="000000"/>
          <w:sz w:val="16"/>
        </w:rPr>
        <w:t xml:space="preserve">4. U. Pachner. </w:t>
      </w:r>
      <w:r>
        <w:rPr>
          <w:rFonts w:ascii="Calibri" w:hAnsi="Calibri"/>
          <w:i/>
          <w:color w:val="000000"/>
          <w:sz w:val="16"/>
        </w:rPr>
        <w:t>P.L. Homeomorphic Manifolds are Equivalent by Elementary Shellings</w:t>
      </w:r>
      <w:r>
        <w:rPr>
          <w:rFonts w:ascii="Calibri" w:hAnsi="Calibri"/>
          <w:color w:val="5F6B78"/>
          <w:sz w:val="16"/>
        </w:rPr>
        <w:t>. European J. Combin. 12 (1991), 129-145. https://doi.org/10.1016/S0195-6698(13)80080-7</w:t>
      </w:r>
    </w:p>
    <w:p>
      <w:pPr>
        <w:keepLines/>
        <w:spacing w:after="20" w:line="240" w:lineRule="auto"/>
        <w:ind w:left="360" w:hanging="360"/>
      </w:pPr>
      <w:r>
        <w:rPr>
          <w:rFonts w:ascii="Calibri" w:hAnsi="Calibri"/>
          <w:color w:val="000000"/>
          <w:sz w:val="16"/>
        </w:rPr>
        <w:t xml:space="preserve">5. E. G. Altmann et J. Spreer. </w:t>
      </w:r>
      <w:r>
        <w:rPr>
          <w:rFonts w:ascii="Calibri" w:hAnsi="Calibri"/>
          <w:i/>
          <w:color w:val="000000"/>
          <w:sz w:val="16"/>
        </w:rPr>
        <w:t>Sampling Triangulations of Manifolds Using Monte Carlo Methods</w:t>
      </w:r>
      <w:r>
        <w:rPr>
          <w:rFonts w:ascii="Calibri" w:hAnsi="Calibri"/>
          <w:color w:val="5F6B78"/>
          <w:sz w:val="16"/>
        </w:rPr>
        <w:t>. Experimental Mathematics (2024). https://arxiv.org/abs/2310.07372</w:t>
      </w:r>
    </w:p>
    <w:sectPr w:rsidR="00FC693F" w:rsidRPr="0006063C" w:rsidSect="00034616">
      <w:footerReference w:type="default" r:id="rId9"/>
      <w:pgSz w:w="12240" w:h="15840"/>
      <w:pgMar w:top="1238" w:right="1267" w:bottom="1238"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