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60"/>
      </w:pPr>
      <w:r>
        <w:rPr>
          <w:rFonts w:ascii="Calibri" w:hAnsi="Calibri"/>
          <w:b/>
          <w:color w:val="0B2545"/>
          <w:sz w:val="48"/>
        </w:rPr>
        <w:t>M2-W - Théorème de positivité au cutoff</w:t>
      </w:r>
    </w:p>
    <w:p>
      <w:pPr>
        <w:keepNext/>
        <w:spacing w:before="0" w:after="280"/>
      </w:pPr>
      <w:r>
        <w:rPr>
          <w:rFonts w:ascii="Calibri" w:hAnsi="Calibri"/>
          <w:i/>
          <w:color w:val="5F6B78"/>
          <w:sz w:val="27"/>
        </w:rPr>
        <w:t>Fermeture rigoureuse de la porte RP-cutoff</w:t>
      </w:r>
    </w:p>
    <w:tbl>
      <w:tblPr>
        <w:tblW w:type="dxa" w:w="9360"/>
        <w:jc w:val="left"/>
        <w:tblLayout w:type="fixed"/>
        <w:tblLook w:firstColumn="1" w:firstRow="1" w:lastColumn="0" w:lastRow="0" w:noHBand="0" w:noVBand="1" w:val="04A0"/>
        <w:tblInd w:w="120" w:type="dxa"/>
      </w:tblPr>
      <w:tblGrid>
        <w:gridCol w:w="1800"/>
        <w:gridCol w:w="7560"/>
      </w:tblGrid>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Programme</w:t>
            </w:r>
          </w:p>
        </w:tc>
        <w:tc>
          <w:tcPr>
            <w:tcW w:type="dxa" w:w="7560"/>
            <w:tcMar>
              <w:top w:w="80" w:type="dxa"/>
              <w:start w:w="120" w:type="dxa"/>
              <w:bottom w:w="80" w:type="dxa"/>
              <w:end w:w="120" w:type="dxa"/>
            </w:tcMar>
            <w:vAlign w:val="center"/>
          </w:tcPr>
          <w:p>
            <w:pPr>
              <w:spacing w:after="0"/>
            </w:pPr>
            <w:r>
              <w:rPr>
                <w:rFonts w:ascii="Calibri" w:hAnsi="Calibri"/>
                <w:color w:val="000000"/>
                <w:sz w:val="18"/>
              </w:rPr>
              <w:t>Blob Principle - Modèle M2-W</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Statut</w:t>
            </w:r>
          </w:p>
        </w:tc>
        <w:tc>
          <w:tcPr>
            <w:tcW w:type="dxa" w:w="7560"/>
            <w:tcMar>
              <w:top w:w="80" w:type="dxa"/>
              <w:start w:w="120" w:type="dxa"/>
              <w:bottom w:w="80" w:type="dxa"/>
              <w:end w:w="120" w:type="dxa"/>
            </w:tcMar>
            <w:vAlign w:val="center"/>
          </w:tcPr>
          <w:p>
            <w:pPr>
              <w:spacing w:after="0"/>
            </w:pPr>
            <w:r>
              <w:rPr>
                <w:rFonts w:ascii="Calibri" w:hAnsi="Calibri"/>
                <w:color w:val="000000"/>
                <w:sz w:val="18"/>
              </w:rPr>
              <w:t>[T] conditionnel aux hypothèses A0-A7 explicitées ci-dessous</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Portée</w:t>
            </w:r>
          </w:p>
        </w:tc>
        <w:tc>
          <w:tcPr>
            <w:tcW w:type="dxa" w:w="7560"/>
            <w:tcMar>
              <w:top w:w="80" w:type="dxa"/>
              <w:start w:w="120" w:type="dxa"/>
              <w:bottom w:w="80" w:type="dxa"/>
              <w:end w:w="120" w:type="dxa"/>
            </w:tcMar>
            <w:vAlign w:val="center"/>
          </w:tcPr>
          <w:p>
            <w:pPr>
              <w:spacing w:after="0"/>
            </w:pPr>
            <w:r>
              <w:rPr>
                <w:rFonts w:ascii="Calibri" w:hAnsi="Calibri"/>
                <w:color w:val="000000"/>
                <w:sz w:val="18"/>
              </w:rPr>
              <w:t>Toute régularisation finie; tout choix des couplages; toute longueur de cylindre</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Hors portée</w:t>
            </w:r>
          </w:p>
        </w:tc>
        <w:tc>
          <w:tcPr>
            <w:tcW w:type="dxa" w:w="7560"/>
            <w:tcMar>
              <w:top w:w="80" w:type="dxa"/>
              <w:start w:w="120" w:type="dxa"/>
              <w:bottom w:w="80" w:type="dxa"/>
              <w:end w:w="120" w:type="dxa"/>
            </w:tcMar>
            <w:vAlign w:val="center"/>
          </w:tcPr>
          <w:p>
            <w:pPr>
              <w:spacing w:after="0"/>
            </w:pPr>
            <w:r>
              <w:rPr>
                <w:rFonts w:ascii="Calibri" w:hAnsi="Calibri"/>
                <w:color w:val="000000"/>
                <w:sz w:val="18"/>
              </w:rPr>
              <w:t>Localité de -log T, limite continue, invariance de Lorentz et spectre physique</w:t>
            </w:r>
          </w:p>
        </w:tc>
      </w:tr>
      <w:tr>
        <w:tc>
          <w:tcPr>
            <w:tcW w:type="dxa" w:w="1800"/>
            <w:tcMar>
              <w:top w:w="80" w:type="dxa"/>
              <w:start w:w="120" w:type="dxa"/>
              <w:bottom w:w="80" w:type="dxa"/>
              <w:end w:w="120" w:type="dxa"/>
            </w:tcMar>
            <w:vAlign w:val="center"/>
            <w:shd w:fill="F2F4F7"/>
          </w:tcPr>
          <w:p>
            <w:pPr>
              <w:spacing w:after="0"/>
            </w:pPr>
            <w:r>
              <w:rPr>
                <w:rFonts w:ascii="Calibri" w:hAnsi="Calibri"/>
                <w:b/>
                <w:color w:val="0B2545"/>
                <w:sz w:val="18"/>
              </w:rPr>
              <w:t>Date</w:t>
            </w:r>
          </w:p>
        </w:tc>
        <w:tc>
          <w:tcPr>
            <w:tcW w:type="dxa" w:w="7560"/>
            <w:tcMar>
              <w:top w:w="80" w:type="dxa"/>
              <w:start w:w="120" w:type="dxa"/>
              <w:bottom w:w="80" w:type="dxa"/>
              <w:end w:w="120" w:type="dxa"/>
            </w:tcMar>
            <w:vAlign w:val="center"/>
          </w:tcPr>
          <w:p>
            <w:pPr>
              <w:spacing w:after="0"/>
            </w:pPr>
            <w:r>
              <w:rPr>
                <w:rFonts w:ascii="Calibri" w:hAnsi="Calibri"/>
                <w:color w:val="000000"/>
                <w:sz w:val="18"/>
              </w:rPr>
              <w:t>27 juillet 2026</w:t>
            </w:r>
          </w:p>
        </w:tc>
      </w:tr>
    </w:tbl>
    <w:p>
      <w:pPr>
        <w:keepLines w:val="0"/>
        <w:spacing w:before="0" w:after="40" w:line="264" w:lineRule="auto"/>
        <w:jc w:val="left"/>
      </w:pPr>
      <w:r>
        <w:rPr>
          <w:rFonts w:ascii="Calibri" w:hAnsi="Calibri"/>
          <w:b w:val="0"/>
          <w:i w:val="0"/>
          <w:color w:val="000000"/>
          <w:sz w:val="22"/>
        </w:rPr>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before="60" w:after="60" w:line="264" w:lineRule="auto"/>
            </w:pPr>
            <w:r>
              <w:rPr>
                <w:rFonts w:ascii="Calibri" w:hAnsi="Calibri"/>
                <w:b/>
                <w:color w:val="0B2545"/>
                <w:sz w:val="22"/>
              </w:rPr>
              <w:t xml:space="preserve">Décision. </w:t>
            </w:r>
            <w:r>
              <w:rPr>
                <w:rFonts w:ascii="Calibri" w:hAnsi="Calibri"/>
                <w:color w:val="0B2545"/>
                <w:sz w:val="22"/>
              </w:rPr>
              <w:t>La porte « positivité de transfert et de réflexion au cutoff fini » est fermée par construction. Le résultat est un théorème d'algèbre linéaire pondérée; il ne dépend d'aucun ajustement numérique. L'obstruction V311 - un noyau de croisement non positif - ne peut pas réapparaître dans la classe définie ici.</w:t>
            </w:r>
          </w:p>
        </w:tc>
      </w:tr>
    </w:tbl>
    <w:p>
      <w:pPr>
        <w:keepLines w:val="0"/>
        <w:spacing w:before="0" w:after="40" w:line="264" w:lineRule="auto"/>
        <w:jc w:val="left"/>
      </w:pPr>
      <w:r>
        <w:rPr>
          <w:rFonts w:ascii="Calibri" w:hAnsi="Calibri"/>
          <w:b w:val="0"/>
          <w:i w:val="0"/>
          <w:color w:val="000000"/>
          <w:sz w:val="22"/>
        </w:rPr>
      </w:r>
    </w:p>
    <w:p>
      <w:pPr>
        <w:pStyle w:val="Heading1"/>
        <w:keepNext/>
      </w:pPr>
      <w:r>
        <w:t>Objet exact de la fermeture</w:t>
      </w:r>
    </w:p>
    <w:p>
      <w:pPr>
        <w:keepLines w:val="0"/>
        <w:spacing w:before="0" w:after="120" w:line="264" w:lineRule="auto"/>
        <w:jc w:val="left"/>
      </w:pPr>
      <w:r>
        <w:rPr>
          <w:rFonts w:ascii="Calibri" w:hAnsi="Calibri"/>
          <w:b w:val="0"/>
          <w:i w:val="0"/>
          <w:color w:val="000000"/>
          <w:sz w:val="22"/>
        </w:rPr>
        <w:t>On ferme une porte volontairement plus étroite que la reconstruction d'Osterwalder-Schrader complète. Pour chaque cutoff fini Λ, on exige que le transfert entre deux moitiés temporelles définisse une forme positive pour tout fonctionnel F supporté dans la moitié positive. Après quotient des vecteurs nuls, le transfert normalisé doit engendrer un Hamiltonien auto-adjoint positif.</w:t>
      </w:r>
    </w:p>
    <w:p>
      <w:pPr>
        <w:keepLines/>
        <w:spacing w:before="60" w:after="140" w:line="240" w:lineRule="auto"/>
        <w:jc w:val="center"/>
      </w:pPr>
      <w:r>
        <w:rPr>
          <w:rFonts w:ascii="Cambria Math" w:hAnsi="Cambria Math"/>
          <w:color w:val="0B2545"/>
          <w:sz w:val="22"/>
        </w:rPr>
        <w:t>RPΛ(F) := ⟨ΘF · F⟩Λ ≥ 0     pour tout F et tout Λ &lt; ∞.</w:t>
      </w:r>
    </w:p>
    <w:p>
      <w:pPr>
        <w:keepLines w:val="0"/>
        <w:spacing w:before="0" w:after="120" w:line="264" w:lineRule="auto"/>
        <w:jc w:val="left"/>
      </w:pPr>
      <w:r>
        <w:rPr>
          <w:rFonts w:ascii="Calibri" w:hAnsi="Calibri"/>
          <w:b w:val="0"/>
          <w:i w:val="0"/>
          <w:color w:val="000000"/>
          <w:sz w:val="22"/>
        </w:rPr>
        <w:t>La réflexion Θ échange les deux demi-histoires et conjugue les coefficients complexes. La réflexion considérée dans le théorème principal est une réflexion de lien, dont le plan passe entre deux tranches. Une réflexion de site est obtenue en corollaire lorsque les poids élémentaires sont réels et non négatifs.</w:t>
      </w:r>
    </w:p>
    <w:p>
      <w:pPr>
        <w:pStyle w:val="Heading1"/>
        <w:keepNext/>
      </w:pPr>
      <w:r>
        <w:t>Hypothèses gelées</w:t>
      </w:r>
    </w:p>
    <w:p>
      <w:pPr>
        <w:spacing w:before="0" w:after="120" w:line="264" w:lineRule="auto"/>
      </w:pPr>
      <w:r>
        <w:rPr>
          <w:rFonts w:ascii="Calibri" w:hAnsi="Calibri"/>
          <w:b/>
          <w:color w:val="000000"/>
          <w:sz w:val="22"/>
        </w:rPr>
        <w:t xml:space="preserve">A0 - Espace fini. </w:t>
      </w:r>
      <w:r>
        <w:rPr>
          <w:rFonts w:ascii="Calibri" w:hAnsi="Calibri"/>
          <w:color w:val="000000"/>
          <w:sz w:val="22"/>
        </w:rPr>
        <w:t>SΛ est l'ensemble fini des classes d'isomorphisme de triangulations combinatoires orientées de T³ satisfaisant le cutoff choisi, par exemple N3(Σ) ≤ Λ.</w:t>
      </w:r>
    </w:p>
    <w:p>
      <w:pPr>
        <w:spacing w:before="0" w:after="120" w:line="264" w:lineRule="auto"/>
      </w:pPr>
      <w:r>
        <w:rPr>
          <w:rFonts w:ascii="Calibri" w:hAnsi="Calibri"/>
          <w:b/>
          <w:color w:val="000000"/>
          <w:sz w:val="22"/>
        </w:rPr>
        <w:t xml:space="preserve">A1 - Mesure des états. </w:t>
      </w:r>
      <w:r>
        <w:rPr>
          <w:rFonts w:ascii="Calibri" w:hAnsi="Calibri"/>
          <w:color w:val="000000"/>
          <w:sz w:val="22"/>
        </w:rPr>
        <w:t>Chaque état Σ porte la mesure strictement positive μΣ = 1/CΣ, avec CΣ = |Aut(Σ)|. On travaille donc sur HΛ = ℓ²(SΛ, μ).</w:t>
      </w:r>
    </w:p>
    <w:p>
      <w:pPr>
        <w:spacing w:before="0" w:after="120" w:line="264" w:lineRule="auto"/>
      </w:pPr>
      <w:r>
        <w:rPr>
          <w:rFonts w:ascii="Calibri" w:hAnsi="Calibri"/>
          <w:b/>
          <w:color w:val="000000"/>
          <w:sz w:val="22"/>
        </w:rPr>
        <w:t xml:space="preserve">A2 - Canaux intermédiaires. </w:t>
      </w:r>
      <w:r>
        <w:rPr>
          <w:rFonts w:ascii="Calibri" w:hAnsi="Calibri"/>
          <w:color w:val="000000"/>
          <w:sz w:val="22"/>
        </w:rPr>
        <w:t>MΛ est un ensemble fini de canaux m = (M, γ), où M est une géométrie intermédiaire et γ marque, si nécessaire, le type et le plongement du mouvement local. Deux plongements distincts ne sont pas fusionnés avant la factorisation.</w:t>
      </w:r>
    </w:p>
    <w:p>
      <w:pPr>
        <w:spacing w:before="0" w:after="120" w:line="264" w:lineRule="auto"/>
      </w:pPr>
      <w:r>
        <w:rPr>
          <w:rFonts w:ascii="Calibri" w:hAnsi="Calibri"/>
          <w:b/>
          <w:color w:val="000000"/>
          <w:sz w:val="22"/>
        </w:rPr>
        <w:t xml:space="preserve">A3 - Mesure des canaux. </w:t>
      </w:r>
      <w:r>
        <w:rPr>
          <w:rFonts w:ascii="Calibri" w:hAnsi="Calibri"/>
          <w:color w:val="000000"/>
          <w:sz w:val="22"/>
        </w:rPr>
        <w:t>Chaque canal porte νm &gt; 0. Pour un canal marqué, le choix canonique de quotient est νm = 1/|Aut(M, γ)|; pour un état intermédiaire non marqué, νM = 1/|Aut(M)|.</w:t>
      </w:r>
    </w:p>
    <w:p>
      <w:pPr>
        <w:spacing w:before="0" w:after="120" w:line="264" w:lineRule="auto"/>
      </w:pPr>
      <w:r>
        <w:rPr>
          <w:rFonts w:ascii="Calibri" w:hAnsi="Calibri"/>
          <w:b/>
          <w:color w:val="000000"/>
          <w:sz w:val="22"/>
        </w:rPr>
        <w:t xml:space="preserve">A4 - Poids de tranche. </w:t>
      </w:r>
      <w:r>
        <w:rPr>
          <w:rFonts w:ascii="Calibri" w:hAnsi="Calibri"/>
          <w:color w:val="000000"/>
          <w:sz w:val="22"/>
        </w:rPr>
        <w:t>w(Σ) est fini et strictement positif pour tout Σ ∈ SΛ. Sa forme détaillée, notamment le potentiel local en coordinations d'arêtes, n'intervient pas dans la preuve. Pour m = (M, γ), on pose w(m) = w(M).</w:t>
      </w:r>
    </w:p>
    <w:p>
      <w:pPr>
        <w:spacing w:before="0" w:after="120" w:line="264" w:lineRule="auto"/>
      </w:pPr>
      <w:r>
        <w:rPr>
          <w:rFonts w:ascii="Calibri" w:hAnsi="Calibri"/>
          <w:b/>
          <w:color w:val="000000"/>
          <w:sz w:val="22"/>
        </w:rPr>
        <w:t xml:space="preserve">A5 - Noyau local. </w:t>
      </w:r>
      <w:r>
        <w:rPr>
          <w:rFonts w:ascii="Calibri" w:hAnsi="Calibri"/>
          <w:color w:val="000000"/>
          <w:sz w:val="22"/>
        </w:rPr>
        <w:t>K(m, Σ) est fini et nul hors des demi-mouvements autorisés: identité ou mouvements de Pachner légaux respectant la topologie, l'orientation et le cutoff.</w:t>
      </w:r>
    </w:p>
    <w:p>
      <w:pPr>
        <w:spacing w:before="0" w:after="120" w:line="264" w:lineRule="auto"/>
      </w:pPr>
      <w:r>
        <w:rPr>
          <w:rFonts w:ascii="Calibri" w:hAnsi="Calibri"/>
          <w:b/>
          <w:color w:val="000000"/>
          <w:sz w:val="22"/>
        </w:rPr>
        <w:t xml:space="preserve">A6 - Positivité probabiliste. </w:t>
      </w:r>
      <w:r>
        <w:rPr>
          <w:rFonts w:ascii="Calibri" w:hAnsi="Calibri"/>
          <w:color w:val="000000"/>
          <w:sz w:val="22"/>
        </w:rPr>
        <w:t>Pour que le produit de transferts soit une mesure euclidienne ordinaire, K est réel et non négatif. Si des phases complexes sont introduites ultérieurement, la positivité opératorielle de B†B subsiste, mais l'interprétation comme mesure positive doit être réexaminée.</w:t>
      </w:r>
    </w:p>
    <w:p>
      <w:pPr>
        <w:spacing w:before="0" w:after="120" w:line="264" w:lineRule="auto"/>
      </w:pPr>
      <w:r>
        <w:rPr>
          <w:rFonts w:ascii="Calibri" w:hAnsi="Calibri"/>
          <w:b/>
          <w:color w:val="000000"/>
          <w:sz w:val="22"/>
        </w:rPr>
        <w:t xml:space="preserve">A7 - Réflexion. </w:t>
      </w:r>
      <w:r>
        <w:rPr>
          <w:rFonts w:ascii="Calibri" w:hAnsi="Calibri"/>
          <w:color w:val="000000"/>
          <w:sz w:val="22"/>
        </w:rPr>
        <w:t>Les deux moitiés du cylindre utilisent les mêmes amplitudes, les mêmes mesures et des conditions aux bords reliées par conjugaison. Au moins un canal possède une amplitude non nulle.</w:t>
      </w:r>
    </w:p>
    <w:p>
      <w:pPr>
        <w:pStyle w:val="Heading1"/>
        <w:keepNext/>
      </w:pPr>
      <w:r>
        <w:t>Construction sans ambiguïté</w:t>
      </w:r>
    </w:p>
    <w:p>
      <w:pPr>
        <w:keepLines w:val="0"/>
        <w:spacing w:before="0" w:after="120" w:line="264" w:lineRule="auto"/>
        <w:jc w:val="left"/>
      </w:pPr>
      <w:r>
        <w:rPr>
          <w:rFonts w:ascii="Calibri" w:hAnsi="Calibri"/>
          <w:b w:val="0"/>
          <w:i w:val="0"/>
          <w:color w:val="000000"/>
          <w:sz w:val="22"/>
        </w:rPr>
        <w:t>On définit les espaces de Hilbert pondérés HΛ = ℓ²(SΛ, μ) et KΛ = ℓ²(MΛ, ν), avec les produits scalaires</w:t>
      </w:r>
    </w:p>
    <w:p>
      <w:pPr>
        <w:keepLines/>
        <w:spacing w:before="60" w:after="140" w:line="240" w:lineRule="auto"/>
        <w:jc w:val="center"/>
      </w:pPr>
      <w:r>
        <w:rPr>
          <w:rFonts w:ascii="Cambria Math" w:hAnsi="Cambria Math"/>
          <w:color w:val="0B2545"/>
          <w:sz w:val="22"/>
        </w:rPr>
        <w:t>⟨f,g⟩H = ΣΣ μΣ · conj(fΣ) · gΣ,      ⟨u,v⟩K = Σm νm · conj(um) · vm.</w:t>
      </w:r>
    </w:p>
    <w:p>
      <w:pPr>
        <w:keepLines w:val="0"/>
        <w:spacing w:before="0" w:after="120" w:line="264" w:lineRule="auto"/>
        <w:jc w:val="left"/>
      </w:pPr>
      <w:r>
        <w:rPr>
          <w:rFonts w:ascii="Calibri" w:hAnsi="Calibri"/>
          <w:b w:val="0"/>
          <w:i w:val="0"/>
          <w:color w:val="000000"/>
          <w:sz w:val="22"/>
        </w:rPr>
        <w:t>Le noyau de demi-transfert et l'opérateur BΛ : HΛ → KΛ sont posés par</w:t>
      </w:r>
    </w:p>
    <w:p>
      <w:pPr>
        <w:keepLines/>
        <w:spacing w:before="60" w:after="140" w:line="240" w:lineRule="auto"/>
        <w:jc w:val="center"/>
      </w:pPr>
      <w:r>
        <w:rPr>
          <w:rFonts w:ascii="Cambria Math" w:hAnsi="Cambria Math"/>
          <w:color w:val="0B2545"/>
          <w:sz w:val="22"/>
        </w:rPr>
        <w:t>b(m,Σ) = sqrt(w(m)) · K(m,Σ) · sqrt(w(Σ)),      (BΛ f)(m) = ΣΣ μΣ · b(m,Σ) · f(Σ).</w:t>
      </w:r>
    </w:p>
    <w:p>
      <w:pPr>
        <w:keepLines w:val="0"/>
        <w:spacing w:before="0" w:after="120" w:line="264" w:lineRule="auto"/>
        <w:jc w:val="left"/>
      </w:pPr>
      <w:r>
        <w:rPr>
          <w:rFonts w:ascii="Calibri" w:hAnsi="Calibri"/>
          <w:b w:val="0"/>
          <w:i w:val="0"/>
          <w:color w:val="000000"/>
          <w:sz w:val="22"/>
        </w:rPr>
        <w:t>L'adjoint imposé par ces produits scalaires est</w:t>
      </w:r>
    </w:p>
    <w:p>
      <w:pPr>
        <w:keepLines/>
        <w:spacing w:before="60" w:after="140" w:line="240" w:lineRule="auto"/>
        <w:jc w:val="center"/>
      </w:pPr>
      <w:r>
        <w:rPr>
          <w:rFonts w:ascii="Cambria Math" w:hAnsi="Cambria Math"/>
          <w:color w:val="0B2545"/>
          <w:sz w:val="22"/>
        </w:rPr>
        <w:t>(BΛ†u)(Σ) = Σm νm · conj(b(m,Σ)) · u(m).</w:t>
      </w:r>
    </w:p>
    <w:p>
      <w:pPr>
        <w:keepLines w:val="0"/>
        <w:spacing w:before="0" w:after="120" w:line="264" w:lineRule="auto"/>
        <w:jc w:val="left"/>
      </w:pPr>
      <w:r>
        <w:rPr>
          <w:rFonts w:ascii="Calibri" w:hAnsi="Calibri"/>
          <w:b w:val="0"/>
          <w:i w:val="0"/>
          <w:color w:val="000000"/>
          <w:sz w:val="22"/>
        </w:rPr>
        <w:t>Le transfert complet est défini, et non testé a posteriori, par</w:t>
      </w:r>
    </w:p>
    <w:p>
      <w:pPr>
        <w:keepLines/>
        <w:spacing w:before="60" w:after="140" w:line="240" w:lineRule="auto"/>
        <w:jc w:val="center"/>
      </w:pPr>
      <w:r>
        <w:rPr>
          <w:rFonts w:ascii="Cambria Math" w:hAnsi="Cambria Math"/>
          <w:color w:val="0B2545"/>
          <w:sz w:val="22"/>
        </w:rPr>
        <w:t>TΛ := BΛ†BΛ.</w:t>
      </w:r>
    </w:p>
    <w:p>
      <w:pPr>
        <w:keepLines w:val="0"/>
        <w:spacing w:before="0" w:after="120" w:line="264" w:lineRule="auto"/>
        <w:jc w:val="left"/>
      </w:pPr>
      <w:r>
        <w:rPr>
          <w:rFonts w:ascii="Calibri" w:hAnsi="Calibri"/>
          <w:b w:val="0"/>
          <w:i w:val="0"/>
          <w:color w:val="000000"/>
          <w:sz w:val="22"/>
        </w:rPr>
        <w:t>Son noyau intégral pondéré est donc</w:t>
      </w:r>
    </w:p>
    <w:p>
      <w:pPr>
        <w:keepLines/>
        <w:spacing w:before="60" w:after="140" w:line="240" w:lineRule="auto"/>
        <w:jc w:val="center"/>
      </w:pPr>
      <w:r>
        <w:rPr>
          <w:rFonts w:ascii="Cambria Math" w:hAnsi="Cambria Math"/>
          <w:color w:val="0B2545"/>
          <w:sz w:val="22"/>
        </w:rPr>
        <w:t>tΛ(Σ,Σ′) = Σm νm · conj(b(m,Σ)) · b(m,Σ′),      (TΛf)(Σ) = ΣΣ′ μΣ′ · tΛ(Σ,Σ′) · f(Σ′).</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before="60" w:after="60" w:line="264" w:lineRule="auto"/>
            </w:pPr>
            <w:r>
              <w:rPr>
                <w:rFonts w:ascii="Calibri" w:hAnsi="Calibri"/>
                <w:b/>
                <w:color w:val="0B2545"/>
                <w:sz w:val="22"/>
              </w:rPr>
              <w:t xml:space="preserve">Orientation vérifiée. </w:t>
            </w:r>
            <w:r>
              <w:rPr>
                <w:rFonts w:ascii="Calibri" w:hAnsi="Calibri"/>
                <w:color w:val="0B2545"/>
                <w:sz w:val="22"/>
              </w:rPr>
              <w:t>L'indice m est l'indice de ligne de B et Σ son indice de colonne. Avec cette convention, la formule précédente est bien B†B, et non BB†.</w:t>
            </w:r>
          </w:p>
        </w:tc>
      </w:tr>
    </w:tbl>
    <w:p>
      <w:pPr>
        <w:keepLines w:val="0"/>
        <w:spacing w:before="0" w:after="40" w:line="264" w:lineRule="auto"/>
        <w:jc w:val="left"/>
      </w:pPr>
      <w:r>
        <w:rPr>
          <w:rFonts w:ascii="Calibri" w:hAnsi="Calibri"/>
          <w:b w:val="0"/>
          <w:i w:val="0"/>
          <w:color w:val="000000"/>
          <w:sz w:val="22"/>
        </w:rPr>
      </w:r>
    </w:p>
    <w:p>
      <w:pPr>
        <w:pStyle w:val="Heading1"/>
        <w:keepNext/>
      </w:pPr>
      <w:r>
        <w:t>Théorème RP-cutoff</w:t>
      </w:r>
    </w:p>
    <w:p>
      <w:pPr>
        <w:keepLines/>
        <w:spacing w:before="0" w:after="120" w:line="264" w:lineRule="auto"/>
        <w:jc w:val="left"/>
      </w:pPr>
      <w:r>
        <w:rPr>
          <w:rFonts w:ascii="Calibri" w:hAnsi="Calibri"/>
          <w:b/>
          <w:i w:val="0"/>
          <w:color w:val="0B2545"/>
          <w:sz w:val="22"/>
        </w:rPr>
        <w:t>Théorème. Sous A0-A7, pour tout cutoff fini Λ:</w:t>
      </w:r>
    </w:p>
    <w:p>
      <w:pPr>
        <w:spacing w:before="0" w:after="120" w:line="264" w:lineRule="auto"/>
      </w:pPr>
      <w:r>
        <w:rPr>
          <w:rFonts w:ascii="Calibri" w:hAnsi="Calibri"/>
          <w:b/>
          <w:color w:val="0B2545"/>
          <w:sz w:val="22"/>
        </w:rPr>
        <w:t xml:space="preserve">(i) </w:t>
      </w:r>
      <w:r>
        <w:rPr>
          <w:rFonts w:ascii="Calibri" w:hAnsi="Calibri"/>
          <w:color w:val="0B2545"/>
          <w:sz w:val="22"/>
        </w:rPr>
        <w:t>TΛ est borné, auto-adjoint et positif semi-défini sur HΛ.</w:t>
      </w:r>
    </w:p>
    <w:p>
      <w:pPr>
        <w:spacing w:before="0" w:after="120" w:line="264" w:lineRule="auto"/>
      </w:pPr>
      <w:r>
        <w:rPr>
          <w:rFonts w:ascii="Calibri" w:hAnsi="Calibri"/>
          <w:b/>
          <w:color w:val="0B2545"/>
          <w:sz w:val="22"/>
        </w:rPr>
        <w:t xml:space="preserve">(ii) </w:t>
      </w:r>
      <w:r>
        <w:rPr>
          <w:rFonts w:ascii="Calibri" w:hAnsi="Calibri"/>
          <w:color w:val="0B2545"/>
          <w:sz w:val="22"/>
        </w:rPr>
        <w:t>ker(TΛ) = ker(BΛ). Sur Hphys,Λ := ker(BΛ)⊥, TΛ est strictement positif.</w:t>
      </w:r>
    </w:p>
    <w:p>
      <w:pPr>
        <w:spacing w:before="0" w:after="120" w:line="264" w:lineRule="auto"/>
      </w:pPr>
      <w:r>
        <w:rPr>
          <w:rFonts w:ascii="Calibri" w:hAnsi="Calibri"/>
          <w:b/>
          <w:color w:val="0B2545"/>
          <w:sz w:val="22"/>
        </w:rPr>
        <w:t xml:space="preserve">(iii) </w:t>
      </w:r>
      <w:r>
        <w:rPr>
          <w:rFonts w:ascii="Calibri" w:hAnsi="Calibri"/>
          <w:color w:val="0B2545"/>
          <w:sz w:val="22"/>
        </w:rPr>
        <w:t>Si λ0,Λ est la plus grande valeur propre de TΛ sur Hphys,Λ, alors T-hatΛ = TΛ/λ0,Λ vérifie 0 &lt; T-hatΛ ≤ I et HΛ = -(1/at) log(T-hatΛ) est auto-adjoint et positif.</w:t>
      </w:r>
    </w:p>
    <w:p>
      <w:pPr>
        <w:spacing w:before="0" w:after="120" w:line="264" w:lineRule="auto"/>
      </w:pPr>
      <w:r>
        <w:rPr>
          <w:rFonts w:ascii="Calibri" w:hAnsi="Calibri"/>
          <w:b/>
          <w:color w:val="0B2545"/>
          <w:sz w:val="22"/>
        </w:rPr>
        <w:t xml:space="preserve">(iv) </w:t>
      </w:r>
      <w:r>
        <w:rPr>
          <w:rFonts w:ascii="Calibri" w:hAnsi="Calibri"/>
          <w:color w:val="0B2545"/>
          <w:sz w:val="22"/>
        </w:rPr>
        <w:t>Pour toute longueur temporelle L, toute condition au bord réfléchie et tout fonctionnel F de la demi-histoire positive, la forme de réflexion de lien est positive.</w:t>
      </w:r>
    </w:p>
    <w:p>
      <w:pPr>
        <w:keepLines/>
        <w:spacing w:before="60" w:after="140" w:line="240" w:lineRule="auto"/>
        <w:jc w:val="center"/>
      </w:pPr>
      <w:r>
        <w:rPr>
          <w:rFonts w:ascii="Cambria Math" w:hAnsi="Cambria Math"/>
          <w:color w:val="0B2545"/>
          <w:sz w:val="22"/>
        </w:rPr>
        <w:t>⟨ΘF · F⟩Λ = ‖BΛ vF‖²K ≥ 0.</w:t>
      </w:r>
    </w:p>
    <w:p>
      <w:pPr>
        <w:spacing w:before="0" w:after="120" w:line="264" w:lineRule="auto"/>
      </w:pPr>
      <w:r>
        <w:rPr>
          <w:rFonts w:ascii="Calibri" w:hAnsi="Calibri"/>
          <w:b/>
          <w:color w:val="0B2545"/>
          <w:sz w:val="22"/>
        </w:rPr>
        <w:t xml:space="preserve">(v) </w:t>
      </w:r>
      <w:r>
        <w:rPr>
          <w:rFonts w:ascii="Calibri" w:hAnsi="Calibri"/>
          <w:color w:val="0B2545"/>
          <w:sz w:val="22"/>
        </w:rPr>
        <w:t>Si b(m,Σ) ≥ 0, les poids de chemins sont non négatifs et la réflexion de site est également positive.</w:t>
      </w:r>
    </w:p>
    <w:p>
      <w:pPr>
        <w:pStyle w:val="Heading1"/>
        <w:keepNext/>
      </w:pPr>
      <w:r>
        <w:t>Preuve</w:t>
      </w:r>
    </w:p>
    <w:p>
      <w:pPr>
        <w:pStyle w:val="Heading2"/>
        <w:keepNext/>
      </w:pPr>
      <w:r>
        <w:t>Adjoint et noyau de Gram</w:t>
      </w:r>
    </w:p>
    <w:p>
      <w:pPr>
        <w:keepLines w:val="0"/>
        <w:spacing w:before="0" w:after="120" w:line="264" w:lineRule="auto"/>
        <w:jc w:val="left"/>
      </w:pPr>
      <w:r>
        <w:rPr>
          <w:rFonts w:ascii="Calibri" w:hAnsi="Calibri"/>
          <w:b w:val="0"/>
          <w:i w:val="0"/>
          <w:color w:val="000000"/>
          <w:sz w:val="22"/>
        </w:rPr>
        <w:t>Pour f ∈ HΛ et u ∈ KΛ, les sommes sont finies. En développant le produit scalaire puis en échangeant les deux sommes, on obtient</w:t>
      </w:r>
    </w:p>
    <w:p>
      <w:pPr>
        <w:keepLines/>
        <w:spacing w:before="60" w:after="140" w:line="240" w:lineRule="auto"/>
        <w:jc w:val="center"/>
      </w:pPr>
      <w:r>
        <w:rPr>
          <w:rFonts w:ascii="Cambria Math" w:hAnsi="Cambria Math"/>
          <w:color w:val="0B2545"/>
          <w:sz w:val="22"/>
        </w:rPr>
        <w:t>⟨u,BΛf⟩K = Σm,Σ νm μΣ · conj(u(m)) · b(m,Σ) · f(Σ) = ⟨BΛ†u,f⟩H.</w:t>
      </w:r>
    </w:p>
    <w:p>
      <w:pPr>
        <w:keepLines w:val="0"/>
        <w:spacing w:before="0" w:after="120" w:line="264" w:lineRule="auto"/>
        <w:jc w:val="left"/>
      </w:pPr>
      <w:r>
        <w:rPr>
          <w:rFonts w:ascii="Calibri" w:hAnsi="Calibri"/>
          <w:b w:val="0"/>
          <w:i w:val="0"/>
          <w:color w:val="000000"/>
          <w:sz w:val="22"/>
        </w:rPr>
        <w:t>La formule annoncée pour BΛ† est donc l'adjoint exact relativement aux mesures d'automorphismes. Il s'ensuit immédiatement que TΛ† = (BΛ†BΛ)† = BΛ†BΛ = TΛ.</w:t>
      </w:r>
    </w:p>
    <w:p>
      <w:pPr>
        <w:pStyle w:val="Heading2"/>
        <w:keepNext/>
      </w:pPr>
      <w:r>
        <w:t>Positivité sans condition spectrale supplémentaire</w:t>
      </w:r>
    </w:p>
    <w:p>
      <w:pPr>
        <w:keepLines w:val="0"/>
        <w:spacing w:before="0" w:after="120" w:line="264" w:lineRule="auto"/>
        <w:jc w:val="left"/>
      </w:pPr>
      <w:r>
        <w:rPr>
          <w:rFonts w:ascii="Calibri" w:hAnsi="Calibri"/>
          <w:b w:val="0"/>
          <w:i w:val="0"/>
          <w:color w:val="000000"/>
          <w:sz w:val="22"/>
        </w:rPr>
        <w:t>Pour tout f ∈ HΛ,</w:t>
      </w:r>
    </w:p>
    <w:p>
      <w:pPr>
        <w:keepLines/>
        <w:spacing w:before="60" w:after="140" w:line="240" w:lineRule="auto"/>
        <w:jc w:val="center"/>
      </w:pPr>
      <w:r>
        <w:rPr>
          <w:rFonts w:ascii="Cambria Math" w:hAnsi="Cambria Math"/>
          <w:color w:val="0B2545"/>
          <w:sz w:val="22"/>
        </w:rPr>
        <w:t>⟨f,TΛf⟩H = ⟨f,BΛ†BΛf⟩H = ⟨BΛf,BΛf⟩K = ‖BΛf‖²K ≥ 0.</w:t>
      </w:r>
    </w:p>
    <w:p>
      <w:pPr>
        <w:keepLines w:val="0"/>
        <w:spacing w:before="0" w:after="120" w:line="264" w:lineRule="auto"/>
        <w:jc w:val="left"/>
      </w:pPr>
      <w:r>
        <w:rPr>
          <w:rFonts w:ascii="Calibri" w:hAnsi="Calibri"/>
          <w:b w:val="0"/>
          <w:i w:val="0"/>
          <w:color w:val="000000"/>
          <w:sz w:val="22"/>
        </w:rPr>
        <w:t>Ainsi TΛ est positif semi-défini. Comme HΛ est de dimension finie, tout opérateur y est borné. Aucune propriété de mélange, aucun point critique et aucune valeur particulière des couplages ne sont utilisés.</w:t>
      </w:r>
    </w:p>
    <w:p>
      <w:pPr>
        <w:pStyle w:val="Heading2"/>
        <w:keepNext/>
      </w:pPr>
      <w:r>
        <w:t>États nuls et Hamiltonien</w:t>
      </w:r>
    </w:p>
    <w:p>
      <w:pPr>
        <w:keepLines w:val="0"/>
        <w:spacing w:before="0" w:after="120" w:line="264" w:lineRule="auto"/>
        <w:jc w:val="left"/>
      </w:pPr>
      <w:r>
        <w:rPr>
          <w:rFonts w:ascii="Calibri" w:hAnsi="Calibri"/>
          <w:b w:val="0"/>
          <w:i w:val="0"/>
          <w:color w:val="000000"/>
          <w:sz w:val="22"/>
        </w:rPr>
        <w:t>Si BΛf = 0, alors TΛf = 0. Réciproquement, si TΛf = 0, l'identité précédente donne ‖BΛf‖²K = 0, donc BΛf = 0. Par conséquent ker(TΛ) = ker(BΛ). Le quotient par ce sous-espace nul est isométrique à Hphys,Λ = ker(BΛ)⊥.</w:t>
      </w:r>
    </w:p>
    <w:p>
      <w:pPr>
        <w:keepLines w:val="0"/>
        <w:spacing w:before="0" w:after="120" w:line="264" w:lineRule="auto"/>
        <w:jc w:val="left"/>
      </w:pPr>
      <w:r>
        <w:rPr>
          <w:rFonts w:ascii="Calibri" w:hAnsi="Calibri"/>
          <w:b w:val="0"/>
          <w:i w:val="0"/>
          <w:color w:val="000000"/>
          <w:sz w:val="22"/>
        </w:rPr>
        <w:t>Sur cet espace fini, toutes les valeurs propres de TΛ sont strictement positives. Après division par λ0,Λ, elles appartiennent à l'intervalle (0,1]. Le calcul fonctionnel spectral définit alors sans ambiguïté</w:t>
      </w:r>
    </w:p>
    <w:p>
      <w:pPr>
        <w:keepLines/>
        <w:spacing w:before="60" w:after="140" w:line="240" w:lineRule="auto"/>
        <w:jc w:val="center"/>
      </w:pPr>
      <w:r>
        <w:rPr>
          <w:rFonts w:ascii="Cambria Math" w:hAnsi="Cambria Math"/>
          <w:color w:val="0B2545"/>
          <w:sz w:val="22"/>
        </w:rPr>
        <w:t>HΛ = -(1/at) log(T-hatΛ) ≥ 0.</w:t>
      </w:r>
    </w:p>
    <w:p>
      <w:pPr>
        <w:keepLines w:val="0"/>
        <w:spacing w:before="0" w:after="120" w:line="264" w:lineRule="auto"/>
        <w:jc w:val="left"/>
      </w:pPr>
      <w:r>
        <w:rPr>
          <w:rFonts w:ascii="Calibri" w:hAnsi="Calibri"/>
          <w:b w:val="0"/>
          <w:i w:val="0"/>
          <w:color w:val="000000"/>
          <w:sz w:val="22"/>
        </w:rPr>
        <w:t>Le logarithme peut être non borné dans une limite de cutoff; il est néanmoins un opérateur auto-adjoint parfaitement défini à chaque Λ fini sur l'espace physique.</w:t>
      </w:r>
    </w:p>
    <w:p>
      <w:pPr>
        <w:pStyle w:val="Heading2"/>
        <w:keepNext/>
      </w:pPr>
      <w:r>
        <w:t>Réflexion de lien pour toute demi-histoire</w:t>
      </w:r>
    </w:p>
    <w:p>
      <w:pPr>
        <w:keepLines w:val="0"/>
        <w:spacing w:before="0" w:after="120" w:line="264" w:lineRule="auto"/>
        <w:jc w:val="left"/>
      </w:pPr>
      <w:r>
        <w:rPr>
          <w:rFonts w:ascii="Calibri" w:hAnsi="Calibri"/>
          <w:b w:val="0"/>
          <w:i w:val="0"/>
          <w:color w:val="000000"/>
          <w:sz w:val="22"/>
        </w:rPr>
        <w:t>Considérons un cylindre réfléchi autour du lien séparant les tranches 0 et 1. Après contraction de tous les indices de la moitié positive - insertions de F, transferts internes et condition au bord - il reste un unique vecteur frontière vF ∈ HΛ porté par la tranche 1. La moitié négative réfléchie fournit le vecteur conjugué porté par la tranche 0.</w:t>
      </w:r>
    </w:p>
    <w:p>
      <w:pPr>
        <w:keepLines w:val="0"/>
        <w:spacing w:before="0" w:after="120" w:line="264" w:lineRule="auto"/>
        <w:jc w:val="left"/>
      </w:pPr>
      <w:r>
        <w:rPr>
          <w:rFonts w:ascii="Calibri" w:hAnsi="Calibri"/>
          <w:b w:val="0"/>
          <w:i w:val="0"/>
          <w:color w:val="000000"/>
          <w:sz w:val="22"/>
        </w:rPr>
        <w:t>Le seul objet traversant le plan de réflexion est tΛ. Par définition de la contraction de chemins, la forme non normalisée vaut donc</w:t>
      </w:r>
    </w:p>
    <w:p>
      <w:pPr>
        <w:keepLines/>
        <w:spacing w:before="60" w:after="140" w:line="240" w:lineRule="auto"/>
        <w:jc w:val="center"/>
      </w:pPr>
      <w:r>
        <w:rPr>
          <w:rFonts w:ascii="Cambria Math" w:hAnsi="Cambria Math"/>
          <w:color w:val="0B2545"/>
          <w:sz w:val="22"/>
        </w:rPr>
        <w:t>⟨ΘF · F⟩Λ = ΣΣ,Σ′ μΣ μΣ′ · conj(vF(Σ)) · tΛ(Σ,Σ′) · vF(Σ′) = ⟨vF,TΛvF⟩H.</w:t>
      </w:r>
    </w:p>
    <w:p>
      <w:pPr>
        <w:keepLines w:val="0"/>
        <w:spacing w:before="0" w:after="120" w:line="264" w:lineRule="auto"/>
        <w:jc w:val="left"/>
      </w:pPr>
      <w:r>
        <w:rPr>
          <w:rFonts w:ascii="Calibri" w:hAnsi="Calibri"/>
          <w:b w:val="0"/>
          <w:i w:val="0"/>
          <w:color w:val="000000"/>
          <w:sz w:val="22"/>
        </w:rPr>
        <w:t>En substituant la représentation de Gram de tΛ,</w:t>
      </w:r>
    </w:p>
    <w:p>
      <w:pPr>
        <w:keepLines/>
        <w:spacing w:before="60" w:after="140" w:line="240" w:lineRule="auto"/>
        <w:jc w:val="center"/>
      </w:pPr>
      <w:r>
        <w:rPr>
          <w:rFonts w:ascii="Cambria Math" w:hAnsi="Cambria Math"/>
          <w:color w:val="0B2545"/>
          <w:sz w:val="22"/>
        </w:rPr>
        <w:t>⟨ΘF · F⟩Λ = Σm νm · |ΣΣ μΣ b(m,Σ)vF(Σ)|² = ‖BΛvF‖²K ≥ 0.</w:t>
      </w:r>
    </w:p>
    <w:p>
      <w:pPr>
        <w:keepLines w:val="0"/>
        <w:spacing w:before="0" w:after="120" w:line="264" w:lineRule="auto"/>
        <w:jc w:val="left"/>
      </w:pPr>
      <w:r>
        <w:rPr>
          <w:rFonts w:ascii="Calibri" w:hAnsi="Calibri"/>
          <w:b w:val="0"/>
          <w:i w:val="0"/>
          <w:color w:val="000000"/>
          <w:sz w:val="22"/>
        </w:rPr>
        <w:t>La preuve vaut pour tout F et toute longueur L, car la dépendance en F et en L est entièrement absorbée dans vF. Une normalisation par une fonction de partition strictement positive ne change pas le signe.</w:t>
      </w:r>
    </w:p>
    <w:p>
      <w:pPr>
        <w:pStyle w:val="Heading2"/>
        <w:keepNext/>
      </w:pPr>
      <w:r>
        <w:t>Réflexion de site</w:t>
      </w:r>
    </w:p>
    <w:p>
      <w:pPr>
        <w:keepLines w:val="0"/>
        <w:spacing w:before="0" w:after="120" w:line="264" w:lineRule="auto"/>
        <w:jc w:val="left"/>
      </w:pPr>
      <w:r>
        <w:rPr>
          <w:rFonts w:ascii="Calibri" w:hAnsi="Calibri"/>
          <w:b w:val="0"/>
          <w:i w:val="0"/>
          <w:color w:val="000000"/>
          <w:sz w:val="22"/>
        </w:rPr>
        <w:t>Lorsque b est réel et non négatif, tΛ est lui-même réel et entrée par entrée non négatif. Pour une réflexion passant par une tranche centrale Σ0, la contraction conditionnelle des deux moitiés donne directement</w:t>
      </w:r>
    </w:p>
    <w:p>
      <w:pPr>
        <w:keepLines/>
        <w:spacing w:before="60" w:after="140" w:line="240" w:lineRule="auto"/>
        <w:jc w:val="center"/>
      </w:pPr>
      <w:r>
        <w:rPr>
          <w:rFonts w:ascii="Cambria Math" w:hAnsi="Cambria Math"/>
          <w:color w:val="0B2545"/>
          <w:sz w:val="22"/>
        </w:rPr>
        <w:t>⟨ΘF · F⟩site,Λ = ΣΣ0 μΣ0 · |AF(Σ0)|² ≥ 0.</w:t>
      </w:r>
    </w:p>
    <w:p>
      <w:pPr>
        <w:keepLines w:val="0"/>
        <w:spacing w:before="0" w:after="120" w:line="264" w:lineRule="auto"/>
        <w:jc w:val="left"/>
      </w:pPr>
      <w:r>
        <w:rPr>
          <w:rFonts w:ascii="Calibri" w:hAnsi="Calibri"/>
          <w:b w:val="0"/>
          <w:i w:val="0"/>
          <w:color w:val="000000"/>
          <w:sz w:val="22"/>
        </w:rPr>
        <w:t>Les réflexions de lien et de site sont donc toutes deux positives. Ceci achève la preuve. □</w:t>
      </w:r>
    </w:p>
    <w:p>
      <w:pPr>
        <w:pStyle w:val="Heading1"/>
        <w:keepNext/>
      </w:pPr>
      <w:r>
        <w:t>Représentation orthonormée pour le code</w:t>
      </w:r>
    </w:p>
    <w:p>
      <w:pPr>
        <w:keepLines w:val="0"/>
        <w:spacing w:before="0" w:after="120" w:line="264" w:lineRule="auto"/>
        <w:jc w:val="left"/>
      </w:pPr>
      <w:r>
        <w:rPr>
          <w:rFonts w:ascii="Calibri" w:hAnsi="Calibri"/>
          <w:b w:val="0"/>
          <w:i w:val="0"/>
          <w:color w:val="000000"/>
          <w:sz w:val="22"/>
        </w:rPr>
        <w:t>Afin d'éviter toute erreur de facteurs d'automorphismes, poser Dμ = diag(μΣ) et Dν = diag(νm). La matrice de B dans les bases orthonormées est</w:t>
      </w:r>
    </w:p>
    <w:p>
      <w:pPr>
        <w:keepLines/>
        <w:spacing w:before="60" w:after="140" w:line="240" w:lineRule="auto"/>
        <w:jc w:val="center"/>
      </w:pPr>
      <w:r>
        <w:rPr>
          <w:rFonts w:ascii="Cambria Math" w:hAnsi="Cambria Math"/>
          <w:color w:val="0B2545"/>
          <w:sz w:val="22"/>
        </w:rPr>
        <w:t>B̃ = sqrt(Dν) · b · sqrt(Dμ).</w:t>
      </w:r>
    </w:p>
    <w:p>
      <w:pPr>
        <w:keepLines w:val="0"/>
        <w:spacing w:before="0" w:after="120" w:line="264" w:lineRule="auto"/>
        <w:jc w:val="left"/>
      </w:pPr>
      <w:r>
        <w:rPr>
          <w:rFonts w:ascii="Calibri" w:hAnsi="Calibri"/>
          <w:b w:val="0"/>
          <w:i w:val="0"/>
          <w:color w:val="000000"/>
          <w:sz w:val="22"/>
        </w:rPr>
        <w:t>La matrice ordinaire du transfert est alors exactement</w:t>
      </w:r>
    </w:p>
    <w:p>
      <w:pPr>
        <w:keepLines/>
        <w:spacing w:before="60" w:after="140" w:line="240" w:lineRule="auto"/>
        <w:jc w:val="center"/>
      </w:pPr>
      <w:r>
        <w:rPr>
          <w:rFonts w:ascii="Cambria Math" w:hAnsi="Cambria Math"/>
          <w:color w:val="0B2545"/>
          <w:sz w:val="22"/>
        </w:rPr>
        <w:t>T̃ = B̃†B̃ = sqrt(Dμ) · tΛ · sqrt(Dμ).</w:t>
      </w:r>
    </w:p>
    <w:p>
      <w:pPr>
        <w:keepLines w:val="0"/>
        <w:spacing w:before="0" w:after="120" w:line="264" w:lineRule="auto"/>
        <w:jc w:val="left"/>
      </w:pPr>
      <w:r>
        <w:rPr>
          <w:rFonts w:ascii="Calibri" w:hAnsi="Calibri"/>
          <w:b w:val="0"/>
          <w:i w:val="0"/>
          <w:color w:val="000000"/>
          <w:sz w:val="22"/>
        </w:rPr>
        <w:t>C'est T̃, et non le tableau brut tΛ privé de ses mesures, dont les valeurs propres doivent être utilisées pour le spectre physique.</w:t>
      </w:r>
    </w:p>
    <w:p>
      <w:pPr>
        <w:pStyle w:val="Heading1"/>
        <w:keepNext/>
      </w:pPr>
      <w:r>
        <w:t>Certificat d'implémentation</w:t>
      </w:r>
    </w:p>
    <w:p>
      <w:pPr>
        <w:keepLines w:val="0"/>
        <w:spacing w:before="0" w:after="120" w:line="264" w:lineRule="auto"/>
        <w:jc w:val="left"/>
      </w:pPr>
      <w:r>
        <w:rPr>
          <w:rFonts w:ascii="Calibri" w:hAnsi="Calibri"/>
          <w:b w:val="0"/>
          <w:i w:val="0"/>
          <w:color w:val="000000"/>
          <w:sz w:val="22"/>
        </w:rPr>
        <w:t>La preuve ferme la porte mathématique; les contrôles suivants certifient que le code implémente bien la construction prouvée. Ils ne constituent pas une seconde preuve.</w:t>
      </w:r>
    </w:p>
    <w:p>
      <w:pPr>
        <w:spacing w:before="0" w:after="80" w:line="264" w:lineRule="auto"/>
      </w:pPr>
      <w:r>
        <w:rPr>
          <w:rFonts w:ascii="Calibri" w:hAnsi="Calibri"/>
          <w:b/>
          <w:color w:val="000000"/>
          <w:sz w:val="22"/>
        </w:rPr>
        <w:t xml:space="preserve">C1 - Mesures. </w:t>
      </w:r>
      <w:r>
        <w:rPr>
          <w:rFonts w:ascii="Calibri" w:hAnsi="Calibri"/>
          <w:color w:val="000000"/>
          <w:sz w:val="22"/>
        </w:rPr>
        <w:t>Construire μΣ, νm, Dμ et Dν; ne jamais diagonaliser le noyau brut sans conjugaison par sqrt(Dμ).</w:t>
      </w:r>
    </w:p>
    <w:p>
      <w:pPr>
        <w:spacing w:before="0" w:after="80" w:line="264" w:lineRule="auto"/>
      </w:pPr>
      <w:r>
        <w:rPr>
          <w:rFonts w:ascii="Calibri" w:hAnsi="Calibri"/>
          <w:b/>
          <w:color w:val="000000"/>
          <w:sz w:val="22"/>
        </w:rPr>
        <w:t xml:space="preserve">C2 - Gram. </w:t>
      </w:r>
      <w:r>
        <w:rPr>
          <w:rFonts w:ascii="Calibri" w:hAnsi="Calibri"/>
          <w:color w:val="000000"/>
          <w:sz w:val="22"/>
        </w:rPr>
        <w:t>Former exclusivement T̃ = B̃†B̃ et enregistrer rGram = ‖T̃ - B̃†B̃‖F / max(1, ‖T̃‖F).</w:t>
      </w:r>
    </w:p>
    <w:p>
      <w:pPr>
        <w:spacing w:before="0" w:after="80" w:line="264" w:lineRule="auto"/>
      </w:pPr>
      <w:r>
        <w:rPr>
          <w:rFonts w:ascii="Calibri" w:hAnsi="Calibri"/>
          <w:b/>
          <w:color w:val="000000"/>
          <w:sz w:val="22"/>
        </w:rPr>
        <w:t xml:space="preserve">C3 - Hermiticité. </w:t>
      </w:r>
      <w:r>
        <w:rPr>
          <w:rFonts w:ascii="Calibri" w:hAnsi="Calibri"/>
          <w:color w:val="000000"/>
          <w:sz w:val="22"/>
        </w:rPr>
        <w:t>Exiger rHerm = ‖T̃ - T̃†‖F / max(1, ‖T̃‖F) au niveau de l'arrondi machine.</w:t>
      </w:r>
    </w:p>
    <w:p>
      <w:pPr>
        <w:spacing w:before="0" w:after="80" w:line="264" w:lineRule="auto"/>
      </w:pPr>
      <w:r>
        <w:rPr>
          <w:rFonts w:ascii="Calibri" w:hAnsi="Calibri"/>
          <w:b/>
          <w:color w:val="000000"/>
          <w:sz w:val="22"/>
        </w:rPr>
        <w:t xml:space="preserve">C4 - Spectre. </w:t>
      </w:r>
      <w:r>
        <w:rPr>
          <w:rFonts w:ascii="Calibri" w:hAnsi="Calibri"/>
          <w:color w:val="000000"/>
          <w:sz w:val="22"/>
        </w:rPr>
        <w:t>Toute valeur propre λ &lt; -100 εmach ‖T̃‖2 constitue une erreur d'implémentation, pas une réfutation physique de M2-W.</w:t>
      </w:r>
    </w:p>
    <w:p>
      <w:pPr>
        <w:spacing w:before="0" w:after="80" w:line="264" w:lineRule="auto"/>
      </w:pPr>
      <w:r>
        <w:rPr>
          <w:rFonts w:ascii="Calibri" w:hAnsi="Calibri"/>
          <w:b/>
          <w:color w:val="000000"/>
          <w:sz w:val="22"/>
        </w:rPr>
        <w:t xml:space="preserve">C5 - Noyau. </w:t>
      </w:r>
      <w:r>
        <w:rPr>
          <w:rFonts w:ascii="Calibri" w:hAnsi="Calibri"/>
          <w:color w:val="000000"/>
          <w:sz w:val="22"/>
        </w:rPr>
        <w:t>Identifier ker(B̃), vérifier ker(T̃) = ker(B̃), puis calculer le logarithme uniquement sur le complément physique.</w:t>
      </w:r>
    </w:p>
    <w:p>
      <w:pPr>
        <w:spacing w:before="0" w:after="80" w:line="264" w:lineRule="auto"/>
      </w:pPr>
      <w:r>
        <w:rPr>
          <w:rFonts w:ascii="Calibri" w:hAnsi="Calibri"/>
          <w:b/>
          <w:color w:val="000000"/>
          <w:sz w:val="22"/>
        </w:rPr>
        <w:t xml:space="preserve">C6 - Réflexion. </w:t>
      </w:r>
      <w:r>
        <w:rPr>
          <w:rFonts w:ascii="Calibri" w:hAnsi="Calibri"/>
          <w:color w:val="000000"/>
          <w:sz w:val="22"/>
        </w:rPr>
        <w:t>Pour des vecteurs frontières v, comparer v†T̃v et ‖B̃v‖²; leur différence relative doit rester au niveau de l'arrondi.</w:t>
      </w:r>
    </w:p>
    <w:p>
      <w:pPr>
        <w:spacing w:before="0" w:after="80" w:line="264" w:lineRule="auto"/>
      </w:pPr>
      <w:r>
        <w:rPr>
          <w:rFonts w:ascii="Calibri" w:hAnsi="Calibri"/>
          <w:b/>
          <w:color w:val="000000"/>
          <w:sz w:val="22"/>
        </w:rPr>
        <w:t xml:space="preserve">C7 - Multiplicités. </w:t>
      </w:r>
      <w:r>
        <w:rPr>
          <w:rFonts w:ascii="Calibri" w:hAnsi="Calibri"/>
          <w:color w:val="000000"/>
          <w:sz w:val="22"/>
        </w:rPr>
        <w:t>Vérifier qu'un mouvement local distinct possède un canal distinct ou le facteur d'orbite équivalent; aucune multiplicité ne doit être mise au carré involontairement avant B†B.</w:t>
      </w:r>
    </w:p>
    <w:p>
      <w:pPr>
        <w:pStyle w:val="Heading1"/>
        <w:keepNext/>
      </w:pPr>
      <w:r>
        <w:t>Ce qui est fermé et ce qui reste ouvert</w:t>
      </w:r>
    </w:p>
    <w:tbl>
      <w:tblPr>
        <w:tblW w:type="dxa" w:w="9360"/>
        <w:tblLayout w:type="fixed"/>
        <w:tblLook w:firstColumn="1" w:firstRow="1" w:lastColumn="0" w:lastRow="0" w:noHBand="0" w:noVBand="1" w:val="04A0"/>
        <w:jc w:val="left"/>
        <w:tblInd w:w="120" w:type="dxa"/>
      </w:tblPr>
      <w:tblGrid>
        <w:gridCol w:w="1200"/>
        <w:gridCol w:w="3660"/>
        <w:gridCol w:w="4500"/>
      </w:tblGrid>
      <w:tr>
        <w:trPr>
          <w:tblHeader w:val="true"/>
        </w:trPr>
        <w:tc>
          <w:tcPr>
            <w:tcW w:type="dxa" w:w="1200"/>
            <w:tcMar>
              <w:top w:w="80" w:type="dxa"/>
              <w:start w:w="120" w:type="dxa"/>
              <w:bottom w:w="80" w:type="dxa"/>
              <w:end w:w="120" w:type="dxa"/>
            </w:tcMar>
            <w:vAlign w:val="center"/>
            <w:shd w:fill="E8EEF5"/>
          </w:tcPr>
          <w:p>
            <w:pPr>
              <w:spacing w:after="0"/>
              <w:jc w:val="center"/>
            </w:pPr>
            <w:r>
              <w:rPr>
                <w:rFonts w:ascii="Calibri" w:hAnsi="Calibri"/>
                <w:b/>
                <w:color w:val="0B2545"/>
                <w:sz w:val="20"/>
              </w:rPr>
              <w:t>Statut</w:t>
            </w:r>
          </w:p>
        </w:tc>
        <w:tc>
          <w:tcPr>
            <w:tcW w:type="dxa" w:w="3660"/>
            <w:tcMar>
              <w:top w:w="80" w:type="dxa"/>
              <w:start w:w="120" w:type="dxa"/>
              <w:bottom w:w="80" w:type="dxa"/>
              <w:end w:w="120" w:type="dxa"/>
            </w:tcMar>
            <w:vAlign w:val="center"/>
            <w:shd w:fill="E8EEF5"/>
          </w:tcPr>
          <w:p>
            <w:pPr>
              <w:spacing w:after="0"/>
              <w:jc w:val="left"/>
            </w:pPr>
            <w:r>
              <w:rPr>
                <w:rFonts w:ascii="Calibri" w:hAnsi="Calibri"/>
                <w:b/>
                <w:color w:val="0B2545"/>
                <w:sz w:val="20"/>
              </w:rPr>
              <w:t>Objet</w:t>
            </w:r>
          </w:p>
        </w:tc>
        <w:tc>
          <w:tcPr>
            <w:tcW w:type="dxa" w:w="4500"/>
            <w:tcMar>
              <w:top w:w="80" w:type="dxa"/>
              <w:start w:w="120" w:type="dxa"/>
              <w:bottom w:w="80" w:type="dxa"/>
              <w:end w:w="120" w:type="dxa"/>
            </w:tcMar>
            <w:vAlign w:val="center"/>
            <w:shd w:fill="E8EEF5"/>
          </w:tcPr>
          <w:p>
            <w:pPr>
              <w:spacing w:after="0"/>
              <w:jc w:val="left"/>
            </w:pPr>
            <w:r>
              <w:rPr>
                <w:rFonts w:ascii="Calibri" w:hAnsi="Calibri"/>
                <w:b/>
                <w:color w:val="0B2545"/>
                <w:sz w:val="20"/>
              </w:rPr>
              <w:t>Conclusion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Hermiticité de TΛ</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Exacte à tout cutoff fini.</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Positivité de TΛ</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Identité de Gram, indépendante des couplages.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RP de lien</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Valable pour tout F, toute longueur L et toute condition au bord réfléchie.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RP de site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Valable si les amplitudes élémentaires sont réelles et non négatives.</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1F5E46"/>
                <w:sz w:val="18"/>
              </w:rPr>
              <w:t>[T]</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Hamiltonien au cutoff</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Défini après quotient de ker(BΛ) et normalisation par λ0,Λ.</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[Q]</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Injectivité avant quotient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Propriété supplémentaire de BΛ; non nécessaire à la RP.</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[Q]</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Localité de -log T</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Non impliquée par la factorisation.</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[Q]</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Limite Λ → ∞</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Exige des bornes uniformes et un contrôle thermodynamique.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[Q]</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OS / Wightman continu</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Exige les autres axiomes et la limite continue.</w:t>
            </w:r>
          </w:p>
        </w:tc>
      </w:tr>
      <w:tr>
        <w:tc>
          <w:tcPr>
            <w:tcW w:type="dxa" w:w="1200"/>
            <w:tcMar>
              <w:top w:w="80" w:type="dxa"/>
              <w:start w:w="120" w:type="dxa"/>
              <w:bottom w:w="80" w:type="dxa"/>
              <w:end w:w="120" w:type="dxa"/>
            </w:tcMar>
            <w:vAlign w:val="center"/>
          </w:tcPr>
          <w:p>
            <w:pPr>
              <w:spacing w:after="0" w:line="252" w:lineRule="auto"/>
              <w:jc w:val="center"/>
            </w:pPr>
            <w:r>
              <w:rPr>
                <w:rFonts w:ascii="Calibri" w:hAnsi="Calibri"/>
                <w:b/>
                <w:color w:val="7A5A00"/>
                <w:sz w:val="18"/>
              </w:rPr>
              <w:t>[Q]</w:t>
            </w:r>
          </w:p>
        </w:tc>
        <w:tc>
          <w:tcPr>
            <w:tcW w:type="dxa" w:w="3660"/>
            <w:tcMar>
              <w:top w:w="80" w:type="dxa"/>
              <w:start w:w="120" w:type="dxa"/>
              <w:bottom w:w="80" w:type="dxa"/>
              <w:end w:w="120" w:type="dxa"/>
            </w:tcMar>
            <w:vAlign w:val="center"/>
          </w:tcPr>
          <w:p>
            <w:pPr>
              <w:spacing w:after="0" w:line="252" w:lineRule="auto"/>
              <w:jc w:val="left"/>
            </w:pPr>
            <w:r>
              <w:rPr>
                <w:rFonts w:ascii="Calibri" w:hAnsi="Calibri"/>
                <w:b w:val="0"/>
                <w:color w:val="000000"/>
                <w:sz w:val="18"/>
              </w:rPr>
              <w:t>Point critique et spectre</w:t>
            </w:r>
          </w:p>
        </w:tc>
        <w:tc>
          <w:tcPr>
            <w:tcW w:type="dxa" w:w="4500"/>
            <w:tcMar>
              <w:top w:w="80" w:type="dxa"/>
              <w:start w:w="120" w:type="dxa"/>
              <w:bottom w:w="80" w:type="dxa"/>
              <w:end w:w="120" w:type="dxa"/>
            </w:tcMar>
            <w:vAlign w:val="center"/>
          </w:tcPr>
          <w:p>
            <w:pPr>
              <w:spacing w:after="0" w:line="252" w:lineRule="auto"/>
              <w:jc w:val="left"/>
            </w:pPr>
            <w:r>
              <w:rPr>
                <w:rFonts w:ascii="Calibri" w:hAnsi="Calibri"/>
                <w:b w:val="0"/>
                <w:color w:val="000000"/>
                <w:sz w:val="18"/>
              </w:rPr>
              <w:t>Aucunement déterminés par ce théorème.</w:t>
            </w:r>
          </w:p>
        </w:tc>
      </w:tr>
    </w:tbl>
    <w:p>
      <w:pPr>
        <w:keepLines w:val="0"/>
        <w:spacing w:before="0" w:after="40" w:line="264" w:lineRule="auto"/>
        <w:jc w:val="left"/>
      </w:pPr>
      <w:r>
        <w:rPr>
          <w:rFonts w:ascii="Calibri" w:hAnsi="Calibri"/>
          <w:b w:val="0"/>
          <w:i w:val="0"/>
          <w:color w:val="000000"/>
          <w:sz w:val="22"/>
        </w:rPr>
      </w:r>
    </w:p>
    <w:p>
      <w:pPr>
        <w:pStyle w:val="Heading1"/>
        <w:keepNext/>
      </w:pPr>
      <w:r>
        <w:t>Verdict de porte</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7F2ED"/>
          </w:tcPr>
          <w:p>
            <w:pPr>
              <w:spacing w:before="60" w:after="60" w:line="264" w:lineRule="auto"/>
            </w:pPr>
            <w:r>
              <w:rPr>
                <w:rFonts w:ascii="Calibri" w:hAnsi="Calibri"/>
                <w:b/>
                <w:color w:val="1F5E46"/>
                <w:sz w:val="22"/>
              </w:rPr>
              <w:t xml:space="preserve">PORTE RP-CUTOFF : FERMÉE [T]. </w:t>
            </w:r>
            <w:r>
              <w:rPr>
                <w:rFonts w:ascii="Calibri" w:hAnsi="Calibri"/>
                <w:color w:val="1F5E46"/>
                <w:sz w:val="22"/>
              </w:rPr>
              <w:t>Dans la classe M2-W définie par A0-A7, aucune norme négative et aucun noyau de croisement non PSD ne peuvent apparaître à taille finie. Un résultat numérique contraire signale nécessairement une violation de la spécification ou une erreur de calcul. La porte OS-continuum demeure séparée et ouverte.</w:t>
            </w:r>
          </w:p>
        </w:tc>
      </w:tr>
    </w:tbl>
    <w:p>
      <w:pPr>
        <w:keepLines w:val="0"/>
        <w:spacing w:before="0" w:after="40" w:line="264" w:lineRule="auto"/>
        <w:jc w:val="left"/>
      </w:pPr>
      <w:r>
        <w:rPr>
          <w:rFonts w:ascii="Calibri" w:hAnsi="Calibri"/>
          <w:b w:val="0"/>
          <w:i w:val="0"/>
          <w:color w:val="000000"/>
          <w:sz w:val="22"/>
        </w:rPr>
      </w:r>
    </w:p>
    <w:p>
      <w:pPr>
        <w:pStyle w:val="Heading1"/>
        <w:keepNext/>
      </w:pPr>
      <w:r>
        <w:t>Références primaires</w:t>
      </w:r>
    </w:p>
    <w:p>
      <w:pPr>
        <w:keepLines/>
        <w:spacing w:after="40" w:line="252" w:lineRule="auto"/>
        <w:ind w:left="403" w:hanging="403"/>
      </w:pPr>
      <w:r>
        <w:rPr>
          <w:rFonts w:ascii="Calibri" w:hAnsi="Calibri"/>
          <w:color w:val="000000"/>
          <w:sz w:val="17"/>
        </w:rPr>
        <w:t xml:space="preserve">1. K. Osterwalder et R. Schrader. </w:t>
      </w:r>
      <w:r>
        <w:rPr>
          <w:rFonts w:ascii="Calibri" w:hAnsi="Calibri"/>
          <w:i/>
          <w:color w:val="000000"/>
          <w:sz w:val="17"/>
        </w:rPr>
        <w:t>Axioms for Euclidean Green's functions</w:t>
      </w:r>
      <w:r>
        <w:rPr>
          <w:rFonts w:ascii="Calibri" w:hAnsi="Calibri"/>
          <w:color w:val="5F6B78"/>
          <w:sz w:val="17"/>
        </w:rPr>
        <w:t>. Communications in Mathematical Physics 31, 83-112 (1973). https://doi.org/10.1007/BF01645738</w:t>
      </w:r>
    </w:p>
    <w:p>
      <w:pPr>
        <w:keepLines/>
        <w:spacing w:after="40" w:line="252" w:lineRule="auto"/>
        <w:ind w:left="403" w:hanging="403"/>
      </w:pPr>
      <w:r>
        <w:rPr>
          <w:rFonts w:ascii="Calibri" w:hAnsi="Calibri"/>
          <w:color w:val="000000"/>
          <w:sz w:val="17"/>
        </w:rPr>
        <w:t xml:space="preserve">2. K. Osterwalder et R. Schrader. </w:t>
      </w:r>
      <w:r>
        <w:rPr>
          <w:rFonts w:ascii="Calibri" w:hAnsi="Calibri"/>
          <w:i/>
          <w:color w:val="000000"/>
          <w:sz w:val="17"/>
        </w:rPr>
        <w:t>Axioms for Euclidean Green's functions II</w:t>
      </w:r>
      <w:r>
        <w:rPr>
          <w:rFonts w:ascii="Calibri" w:hAnsi="Calibri"/>
          <w:color w:val="5F6B78"/>
          <w:sz w:val="17"/>
        </w:rPr>
        <w:t>. Communications in Mathematical Physics 42, 281-305 (1975). https://doi.org/10.1007/BF01608978</w:t>
      </w:r>
    </w:p>
    <w:p>
      <w:pPr>
        <w:keepLines/>
        <w:spacing w:after="40" w:line="252" w:lineRule="auto"/>
        <w:ind w:left="403" w:hanging="403"/>
      </w:pPr>
      <w:r>
        <w:rPr>
          <w:rFonts w:ascii="Calibri" w:hAnsi="Calibri"/>
          <w:color w:val="000000"/>
          <w:sz w:val="17"/>
        </w:rPr>
        <w:t xml:space="preserve">3. M. Lüscher. </w:t>
      </w:r>
      <w:r>
        <w:rPr>
          <w:rFonts w:ascii="Calibri" w:hAnsi="Calibri"/>
          <w:i/>
          <w:color w:val="000000"/>
          <w:sz w:val="17"/>
        </w:rPr>
        <w:t>Construction of a selfadjoint, strictly positive transfer matrix for Euclidean lattice gauge theories</w:t>
      </w:r>
      <w:r>
        <w:rPr>
          <w:rFonts w:ascii="Calibri" w:hAnsi="Calibri"/>
          <w:color w:val="5F6B78"/>
          <w:sz w:val="17"/>
        </w:rPr>
        <w:t>. Communications in Mathematical Physics 54, 283-292 (1977). https://doi.org/10.1007/BF01614090</w:t>
      </w:r>
    </w:p>
    <w:p>
      <w:pPr>
        <w:keepLines/>
        <w:spacing w:after="40" w:line="252" w:lineRule="auto"/>
        <w:ind w:left="403" w:hanging="403"/>
      </w:pPr>
      <w:r>
        <w:rPr>
          <w:rFonts w:ascii="Calibri" w:hAnsi="Calibri"/>
          <w:color w:val="000000"/>
          <w:sz w:val="17"/>
        </w:rPr>
        <w:t xml:space="preserve">4. J. Ambjørn, J. Jurkiewicz et R. Loll. </w:t>
      </w:r>
      <w:r>
        <w:rPr>
          <w:rFonts w:ascii="Calibri" w:hAnsi="Calibri"/>
          <w:i/>
          <w:color w:val="000000"/>
          <w:sz w:val="17"/>
        </w:rPr>
        <w:t>A non-perturbative Lorentzian path integral for gravity</w:t>
      </w:r>
      <w:r>
        <w:rPr>
          <w:rFonts w:ascii="Calibri" w:hAnsi="Calibri"/>
          <w:color w:val="5F6B78"/>
          <w:sz w:val="17"/>
        </w:rPr>
        <w:t>. Physical Review Letters 85, 924-927 (2000). https://doi.org/10.1103/PhysRevLett.85.924</w:t>
      </w:r>
    </w:p>
    <w:p>
      <w:pPr>
        <w:keepLines/>
        <w:spacing w:after="40" w:line="252" w:lineRule="auto"/>
        <w:ind w:left="403" w:hanging="403"/>
      </w:pPr>
      <w:r>
        <w:rPr>
          <w:rFonts w:ascii="Calibri" w:hAnsi="Calibri"/>
          <w:color w:val="000000"/>
          <w:sz w:val="17"/>
        </w:rPr>
        <w:t xml:space="preserve">5. J. Ambjørn, A. Görlich, J. Jurkiewicz et R. Loll. </w:t>
      </w:r>
      <w:r>
        <w:rPr>
          <w:rFonts w:ascii="Calibri" w:hAnsi="Calibri"/>
          <w:i/>
          <w:color w:val="000000"/>
          <w:sz w:val="17"/>
        </w:rPr>
        <w:t>The transfer matrix in four-dimensional CDT</w:t>
      </w:r>
      <w:r>
        <w:rPr>
          <w:rFonts w:ascii="Calibri" w:hAnsi="Calibri"/>
          <w:color w:val="5F6B78"/>
          <w:sz w:val="17"/>
        </w:rPr>
        <w:t>. arXiv:1302.2210 (2013). https://arxiv.org/abs/1302.2210</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F6B78"/>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F6B78"/>
        <w:sz w:val="17"/>
      </w:rPr>
      <w:t>BLOB PRINCIPLE / M2-W   |   NOTE DE FERMETURE MATHEMATIQUE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M2-W - Théorème de positivité au cutoff</dc:title>
  <dc:subject>Fermeture rigoureuse de la porte RP-cutoff</dc:subject>
  <dc:creator>Rudolphe Mirante - formalisation assistée</dc:creator>
  <cp:keywords>M2-W, Blob Principle, transfer matrix, reflection positivity, B dagger B</cp:keywords>
  <dc:description>Version 1.0 - 27 juillet 2026</dc:description>
  <cp:lastModifiedBy/>
  <cp:revision>1</cp:revision>
  <dcterms:created xsi:type="dcterms:W3CDTF">2013-12-23T23:15:00Z</dcterms:created>
  <dcterms:modified xsi:type="dcterms:W3CDTF">2013-12-23T23:15:00Z</dcterms:modified>
  <cp:category/>
</cp:coreProperties>
</file>