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/>
      </w:pPr>
      <w:r>
        <w:rPr>
          <w:rFonts w:ascii="Calibri" w:hAnsi="Calibri"/>
          <w:b/>
          <w:color w:val="0B2545"/>
          <w:sz w:val="48"/>
        </w:rPr>
        <w:t>M2-W - Théorème TOP-KIN</w:t>
      </w:r>
    </w:p>
    <w:p>
      <w:pPr>
        <w:keepNext/>
        <w:spacing w:before="0" w:after="280"/>
      </w:pPr>
      <w:r>
        <w:rPr>
          <w:rFonts w:ascii="Calibri" w:hAnsi="Calibri"/>
          <w:i/>
          <w:color w:val="5F6B78"/>
          <w:sz w:val="26"/>
        </w:rPr>
        <w:t>Topologie T³ conservée et courbure moyenne nulle cinématiquement accessible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Programme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Blob Principle - Modèle M2-W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Porte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D-3 / TOP-KIN - topologie et obstruction du f-vecteur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Statut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[T] sous les hypothèses A0-A4 explicitées ci-dessous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Portée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Triangulations combinatoires fermées, équilatérales, de topologie T³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Hors portée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Platitude locale, localité de -log T, ergodicité sous cutoff, point critique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27 juillet 2026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Décision. </w:t>
            </w:r>
            <w:r>
              <w:rPr>
                <w:rFonts w:ascii="Calibri" w:hAnsi="Calibri"/>
                <w:color w:val="0B2545"/>
                <w:sz w:val="22"/>
              </w:rPr>
              <w:t>La porte TOP-KIN est fermée. Un noyau soutenu uniquement sur des mouvements de Pachner 3D légaux ne peut pas quitter T³. En outre, il existe une suite constructive de triangulations de T³, reliées exclusivement par ces mouvements, dont la densité de courbure de Regge intégrée tend vers zéro. Ainsi, un échec dynamique de ⟨n_e⟩ → d* ne pourra pas être attribué à la topologie, à l'arithmétique du f-vecteur ou à l'absence de configurations admissibles.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Verdict en une page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60"/>
        <w:gridCol w:w="45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Statut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Objet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Conclusion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FERMÉ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Conservation de T³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Chaque mouvement légal remplace une 3-boule PL par une autre 3-boule ayant la même frontière; le type PL est inchangé.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FERMÉ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Connexité sans cutoff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 théorème de Pachner relie deux triangulations quelconques du même T³ si les quatre directions 1↔4 et 2↔3 sont autorisées.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FERMÉ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Accessibilité de la moyenne plate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Une suite légale explicite satisfait Σδ_e = O(1), N3 → infini, donc Σδ_e/N3 → 0 et ⟨n_e⟩ → d*.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CORRIGÉ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Prédiction du f-vecteur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Les ratios annoncés sont exacts comme limites nécessaires de courbure intégrée nulle; les deux routes vers 22,794665 sont la même identité.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OUVERT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Platitude locale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moyenne peut s'annuler avec de fortes fluctuations 5/6. Un test bloqué de la courbure reste indispensable.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OUVERT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Ergodicité au cutoff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connexité du graphe complet n'implique pas celle d'une fenêtre de volume tronquée.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Hypothèses et notations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A0 - Objet. </w:t>
      </w:r>
      <w:r>
        <w:rPr>
          <w:rFonts w:ascii="Calibri" w:hAnsi="Calibri"/>
          <w:color w:val="000000"/>
          <w:sz w:val="22"/>
        </w:rPr>
        <w:t>K est une triangulation simpliciale finie d'une 3-variété combinatoire fermée et connexe, de type PL T³.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A1 - Géométrie. </w:t>
      </w:r>
      <w:r>
        <w:rPr>
          <w:rFonts w:ascii="Calibri" w:hAnsi="Calibri"/>
          <w:color w:val="000000"/>
          <w:sz w:val="22"/>
        </w:rPr>
        <w:t>Tous les tétraèdres sont équilatéraux de même longueur d'arête a. Leur angle dièdre intérieur est θ = arccos(1/3).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A2 - Coordinations. </w:t>
      </w:r>
      <w:r>
        <w:rPr>
          <w:rFonts w:ascii="Calibri" w:hAnsi="Calibri"/>
          <w:color w:val="000000"/>
          <w:sz w:val="22"/>
        </w:rPr>
        <w:t>n_e est le nombre de tétraèdres incidents à l'arête e. On note N_i le nombre de i-simplexes et n-bar = N1^-1 Σ_e n_e.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A3 - Courbure. </w:t>
      </w:r>
      <w:r>
        <w:rPr>
          <w:rFonts w:ascii="Calibri" w:hAnsi="Calibri"/>
          <w:color w:val="000000"/>
          <w:sz w:val="22"/>
        </w:rPr>
        <w:t>δ_e = 2π - n_e θ et C(K) = Σ_e δ_e. À longueur d'arête uniforme, l'action de Regge scalaire intégrée est proportionnelle à a C(K).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A4 - Dynamique cinématique. </w:t>
      </w:r>
      <w:r>
        <w:rPr>
          <w:rFonts w:ascii="Calibri" w:hAnsi="Calibri"/>
          <w:color w:val="000000"/>
          <w:sz w:val="22"/>
        </w:rPr>
        <w:t>Le support du noyau K(M,Σ) contient seulement l'identité et des mouvements bistellaires 1↔4, 2↔3 dont les conditions de légalité combinatoire sont vérifiées.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θ = arccos(1/3),     d* = 2π/θ = 5,104299312119540...</w:t>
      </w:r>
    </w:p>
    <w:p>
      <w:pPr>
        <w:pStyle w:val="Heading1"/>
        <w:keepNext/>
      </w:pPr>
      <w:r>
        <w:t>Audit exact des identités proposées</w:t>
      </w:r>
    </w:p>
    <w:p>
      <w:pPr>
        <w:pStyle w:val="Heading2"/>
        <w:keepNext/>
      </w:pPr>
      <w:r>
        <w:t>Incidences d'une 3-variété fermée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Chaque triangle appartient à exactement deux tétraèdres, chaque tétraèdre possède quatre triangles et six arêtes, et toute 3-variété fermée a caractéristique d'Euler nulle. Par double comptage: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N2 = 2N3,     N0 - N1 + N2 - N3 = 0,     Σ_e n_e = 6N3.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Donc     N1 = N0 + N3     et     n-bar = 6N3/N1.</w:t>
      </w:r>
    </w:p>
    <w:p>
      <w:pPr>
        <w:pStyle w:val="Heading2"/>
        <w:keepNext/>
      </w:pPr>
      <w:r>
        <w:t>La condition réellement obtenue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condition C(K)/N3 → 0 est une condition de courbure intégrée moyenne nulle. Elle est nécessaire à une limite plate équilatérale, mais elle ne suffit pas à établir la platitude locale. Elle impose: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N1/N3 → r* := 3θ/π = 6/d* = 1,175479656091822...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n-bar → d*,     N0/N3 → r* - 1,     N3/N0 → 5,698666285718827...</w:t>
      </w:r>
    </w:p>
    <w:p>
      <w:pPr>
        <w:pStyle w:val="Heading2"/>
        <w:keepNext/>
      </w:pPr>
      <w:r>
        <w:t>Pourquoi les deux routes coïncident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L'angle solide Ω d'un tétraèdre régulier en un sommet vaut Ω = 3θ - π. Or r* - 1 = (3θ - π)/π = Ω/π. Par conséquent: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4N3/N0 → 4/(r* - 1) = 4π/Ω = 22,794665142875310...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Correction de statut. </w:t>
            </w:r>
            <w:r>
              <w:rPr>
                <w:rFonts w:ascii="Calibri" w:hAnsi="Calibri"/>
                <w:color w:val="0B2545"/>
                <w:sz w:val="22"/>
              </w:rPr>
              <w:t>Les voies « arêtes » et « angle solide » ne sont pas deux validations indépendantes. Elles sont exactement la même identité, écrite une fois avec θ et une fois avec Ω = 3θ - π. L'égalité à la précision machine est donc attendue et constitue un contrôle de cohérence, pas une réplication.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Aucune égalité exacte à volume fini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Si C(K)=0 à volume fini, alors θ/π = N1/(3N3) serait rationnel. Mais cos θ = 1/3 et le théorème de Niven exclut une valeur rationnelle de θ/π, car 1/3 n'appartient pas à {0, ±1/2, ±1}. Donc C(K) ne peut jamais être exactement nul pour une triangulation équilatérale finie.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À volume fini:     C(K) ≠ 0     et     n-bar ≠ d*.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 bon énoncé est nécessairement asymptotique: C(K)/N3 → 0, et non C(K)=0 configuration par configuration.</w:t>
      </w:r>
    </w:p>
    <w:p>
      <w:pPr>
        <w:pStyle w:val="Heading1"/>
        <w:keepNext/>
      </w:pPr>
      <w:r>
        <w:t>Théorème I - La topologie ne peut pas fuir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0B2545"/>
          <w:sz w:val="22"/>
        </w:rPr>
        <w:t>Théorème I. Sous A0 et A4, toute histoire de M2-W partant d'une tranche T³ reste de type PL T³. Si tous les mouvements légaux et leurs inverses ont une amplitude non nulle et qu'aucun cutoff n'est imposé, le graphe des triangulations de T³ est connexe.</w:t>
      </w:r>
    </w:p>
    <w:p>
      <w:pPr>
        <w:pStyle w:val="Heading2"/>
        <w:keepNext/>
      </w:pPr>
      <w:r>
        <w:t>Preuve de la conservation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Un mouvement bistellaire en dimension 3 sélectionne un sous-complexe qui est une 3-boule et le remplace par la 3-boule complémentaire dans le bord d'un 4-simplexe. Les deux boules ont la même 2-sphère frontière et le recollement au complément de K est inchangé. Le résultat est donc PL homéomorphe à K. Une composition finie de tels remplacements conserve le type PL; l'identité le conserve trivialement. Ainsi T³ est invariant. □</w:t>
      </w:r>
    </w:p>
    <w:p>
      <w:pPr>
        <w:pStyle w:val="Heading2"/>
        <w:keepNext/>
      </w:pPr>
      <w:r>
        <w:t>Preuve de la connexité sans cutoff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 théorème de Pachner affirme que deux triangulations finies d'une même variété PL fermée sont reliées par une suite finie de mouvements bistellaires. En dimension 3, ce sont précisément 1↔4 et 2↔3. Si le support du noyau attribue une amplitude strictement non nulle à chaque mouvement légal dans les deux directions, le graphe de support est donc connexe. 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Limite exacte. </w:t>
            </w:r>
            <w:r>
              <w:rPr>
                <w:rFonts w:ascii="Calibri" w:hAnsi="Calibri"/>
                <w:color w:val="0B2545"/>
                <w:sz w:val="22"/>
              </w:rPr>
              <w:t>Un cutoff N3 ≤ Λ peut supprimer une étape nécessaire d'un chemin de Pachner. Le théorème ne garantit donc pas l'irréductibilité du graphe tronqué. D-3 « conservation de la topologie » devient un théorème; l'ergodicité au cutoff reste un certificat distinct à produire pour chaque Λ.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Théorème II - La cible moyenne est constructible dans T³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0B2545"/>
          <w:sz w:val="22"/>
        </w:rPr>
        <w:t>Théorème II. Il existe une suite explicite K_j de triangulations de T³, obtenues uniquement par mouvements 1↔4 et 2↔3 légaux, telle que N3(K_j) → infini tandis que |C(K_j)| reste uniformément borné. En particulier C(K_j)/N3(K_j) → 0 et tous les ratios du f-vecteur annoncés convergent vers leurs valeurs cibles.</w:t>
      </w:r>
    </w:p>
    <w:p>
      <w:pPr>
        <w:pStyle w:val="Heading2"/>
        <w:keepNext/>
      </w:pPr>
      <w:r>
        <w:t>Lemme de subdivision d'une arête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Soit e=[a,b] une arête de coordination q, dont le lien est le cycle (v1,...,vq). Sa subdivision stellaire insère c sur e et remplace chaque tétraèdre [a,b,vi,v(i+1)] par les deux tétraèdres [a,c,vi,v(i+1)] et [c,b,vi,v(i+1)]. Elle se réalise légalement par: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un 1→4, puis (q-2) mouvements 2→3, puis un mouvement 3→2.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Après le 1→4, le tétraèdre propagateur [a,b,c,vi] absorbe successivement les tétraèdres suivants par 2→3. À la fermeture du cycle, les trois derniers tétraèdres entourant [a,b] subissent le 3→2. Les incréments nets sont: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Δ_q(N0,N1,N2,N3) = (1, q+1, 2q, q).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Les deux arêtes descendantes [a,c] et [c,b] ont encore coordination q. La même opération peut donc être itérée indéfiniment le long d'une chaîne descendante, sans changer q.</w:t>
      </w:r>
    </w:p>
    <w:p>
      <w:pPr>
        <w:pStyle w:val="Heading2"/>
        <w:keepNext/>
      </w:pPr>
      <w:r>
        <w:t>Un tore initial entièrement explicite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Prendre V=(Z/3Z)^3. Pour chaque x ∈ V et chaque permutation σ des trois axes, introduire le tétraèdre de sommets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[x, x+eσ1, x+eσ1+eσ2, x+(1,1,1)]     (coordonnées modulo 3).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C'est le quotient périodique de la triangulation de Freudenthal-Kuhn de R³, donc une triangulation de T³. Un comptage exact donne: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Objet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Valeur exacte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Contrôle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f-vecteur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(27, 189, 324, 162)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χ=0, N2=2N3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arêtes q=4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81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81×4 = 324 incidences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arêtes q=6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108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108×6 = 648 incidences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total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189 arêtes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324+648 = 6×162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témoins disjoints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e4=[(0,2,0),(1,2,1)] ; e6=[(1,1,0),(2,1,0)]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étoiles fermées disjointes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On peut donc subdiviser indéfiniment un descendant de e4 et un descendant de e6 dans deux régions disjointes.</w:t>
      </w:r>
    </w:p>
    <w:p>
      <w:pPr>
        <w:pStyle w:val="Heading2"/>
        <w:keepNext/>
      </w:pPr>
      <w:r>
        <w:t>Mélange des deux chaînes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Après A subdivisions d'arêtes q=4 et B subdivisions d'arêtes q=6: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N0=N0⁰+A+B,   N1=N1⁰+5A+7B,   N2=N2⁰+8A+12B,   N3=N3⁰+4A+6B.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L'incrément de C=2πN1-6θN3 associé à une subdivision de coordination q est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ΔC_q = 2π(q+1) - 6θq.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800"/>
        <w:gridCol w:w="18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Chaîne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ΔN1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ΔN3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ΔC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q=4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+1,872900519719337...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q=6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-0,332241874010787...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Les signes sont opposés. Pour chaque entier A assez grand, choisir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B_A = entier le plus proche de -(C(K0)+A ΔC_4)/ΔC_6.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Alors |C(K_A)| ≤ |ΔC_6|/2 = 0,1661209370... pour tout A, tandis que N3(K_A) croît linéairement. De plus: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B_A/A → -ΔC_4/ΔC_6 = 5,637159750846236...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Les subdivisions sont légales, leurs régions sont disjointes et chacune est une suite finie de mouvements de Pachner. La suite K_A annoncée est donc constructive dans T³. En divisant l'identité C=2πN1-6θN3 par N3, on obtient les limites de n-bar et du f-vecteur. 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Conséquence falsifiable. </w:t>
            </w:r>
            <w:r>
              <w:rPr>
                <w:rFonts w:ascii="Calibri" w:hAnsi="Calibri"/>
                <w:color w:val="0B2545"/>
                <w:sz w:val="22"/>
              </w:rPr>
              <w:t>La cible d*=5,104299... n'est pas interdite par T³. Si M2-W converge vers une autre moyenne, la cause réside dans les poids, l'entropie, le contrôle du volume ou la phase dynamique. La cinématique ne pourra plus servir d'explication de secours.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Théorème III - Plancher de frustration microscopique</w:t>
      </w:r>
    </w:p>
    <w:p>
      <w:pPr>
        <w:keepLines/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0B2545"/>
          <w:sz w:val="22"/>
        </w:rPr>
        <w:t>Théorème III. Pour toute suite de triangulations telle que n-bar → d*,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lim inf [D_edge/N1] ≥ (d*-5)(6-d*) = 0,093420965610931...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où     D_edge = Σ_e (n_e-d*)².</w:t>
      </w:r>
    </w:p>
    <w:p>
      <w:pPr>
        <w:pStyle w:val="Heading2"/>
        <w:keepNext/>
      </w:pPr>
      <w:r>
        <w:t>Preuve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tout entier n, (n-5)(n-6) ≥ 0. En moyennant sur les arêtes,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⟨n²⟩ - 11 n-bar + 30 ≥ 0.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Or D_edge/N1 = ⟨n²⟩ - 2d* n-bar + d*². En utilisant l'inégalité précédente puis n-bar → d*,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lim inf D_edge/N1 ≥ 11d* - 30 - d*² = (d*-5)(6-d*).     □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L'égalité exige asymptotiquement que seules les coordinations 5 et 6 subsistent, avec les fractions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P(6) → d*-5 = 10,4299312 %,     P(5) → 6-d* = 89,5700688 %.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Même dans ce cas optimal, la moyenne de δ_e² est minorée par θ²(d*-5)(6-d*) = 0,141557153913282... rad². La courbure intégrée peut donc s'annuler par compensation sans que les déficits locaux deviennent petits.</w:t>
      </w:r>
    </w:p>
    <w:p>
      <w:pPr>
        <w:pStyle w:val="Heading1"/>
        <w:keepNext/>
      </w:pPr>
      <w:r>
        <w:t>Correction du passage sur la 600-cellule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1900"/>
        <w:gridCol w:w="51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Énoncé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Verdict rigoureux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Remplacement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f=(120,720,1200,600), n_e=5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Exact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La frontière de la 600-cellule est un exemple régulier de S³ à coordination 5.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χ=0 prouve S³ plutôt que T³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Faux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Toute 3-variété fermée a χ=0; ce nombre ne distingue pas S³ et T³.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n_e=5 partout est la 600-cellule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Non démontré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Dire: « la 600-cellule est la réalisation canonique connue »; ne pas revendiquer l'unicité.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D_edge pousse le tore vers la sphère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Faux dans l'espace fixé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Les mouvements légaux interdisent le changement de topologie. D_edge favorise l'ordre local q=5.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coût q=6 / coût q=5 = 73,75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Exact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7"/>
              </w:rPr>
              <w:t>Rapport ponctuel ((6-d*)/(d*-5))² = 73,750153...; il n'inclut pas l'entropie.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Lecture correcte. </w:t>
            </w:r>
            <w:r>
              <w:rPr>
                <w:rFonts w:ascii="Calibri" w:hAnsi="Calibri"/>
                <w:color w:val="0B2545"/>
                <w:sz w:val="22"/>
              </w:rPr>
              <w:t>Dans T³, la 600-cellule n'est pas un état accessible. Le danger réel est une phase frustrée: domaines riches en q=5, compensés par des défauts négatifs q≥6, éventuellement localisés. La moyenne seule ne détecte ni les domaines ni la localisation.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Critères pré-enregistrés corrigés</w:t>
      </w:r>
    </w:p>
    <w:p>
      <w:pPr>
        <w:pStyle w:val="Heading2"/>
        <w:keepNext/>
      </w:pPr>
      <w:r>
        <w:t>Gate C-MEAN - courbure intégrée moyenne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PASS. </w:t>
      </w:r>
      <w:r>
        <w:rPr>
          <w:rFonts w:ascii="Calibri" w:hAnsi="Calibri"/>
          <w:color w:val="000000"/>
          <w:sz w:val="22"/>
        </w:rPr>
        <w:t>Sur au moins trois tailles et plusieurs graines, un ajustement contrôlé donne C/N3 → 0. Les formes n-bar → d* et N1/N3 → r* sont enregistrées comme identités redondantes de contrôle, pas comme deux tests indépendants.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FAIL. </w:t>
      </w:r>
      <w:r>
        <w:rPr>
          <w:rFonts w:ascii="Calibri" w:hAnsi="Calibri"/>
          <w:color w:val="000000"/>
          <w:sz w:val="22"/>
        </w:rPr>
        <w:t>Toute limite non nulle de C/N3, toute limite n-bar ≠ d*, ou l'absence de convergence contrôlée. Une limite non entière échoue autant qu'une limite entière.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INTERDIT. </w:t>
      </w:r>
      <w:r>
        <w:rPr>
          <w:rFonts w:ascii="Calibri" w:hAnsi="Calibri"/>
          <w:color w:val="000000"/>
          <w:sz w:val="22"/>
        </w:rPr>
        <w:t>Déclarer la tranche plate à partir de la seule moyenne, ou exiger C=0 à volume fini, ce qui est arithmétiquement impossible.</w:t>
      </w:r>
    </w:p>
    <w:p>
      <w:pPr>
        <w:pStyle w:val="Heading2"/>
        <w:keepNext/>
      </w:pPr>
      <w:r>
        <w:t>Gate C-LOCAL - fluctuations et domaines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Cette porte reste ouverte. Le premier calcul doit enregistrer P(n_e), D_edge/N1, la corrélation des déficits sur le graphe dual et une observable bloquée de courbure. Il faut distinguer au minimum: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22"/>
        </w:rPr>
        <w:t xml:space="preserve">L1 - mélange homogène. </w:t>
      </w:r>
      <w:r>
        <w:rPr>
          <w:rFonts w:ascii="Calibri" w:hAnsi="Calibri"/>
          <w:color w:val="000000"/>
          <w:sz w:val="22"/>
        </w:rPr>
        <w:t>Les défauts positifs et négatifs se compensent sans longueur de domaine croissante.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22"/>
        </w:rPr>
        <w:t xml:space="preserve">L2 - phase séparée. </w:t>
      </w:r>
      <w:r>
        <w:rPr>
          <w:rFonts w:ascii="Calibri" w:hAnsi="Calibri"/>
          <w:color w:val="000000"/>
          <w:sz w:val="22"/>
        </w:rPr>
        <w:t>Des domaines q=5 coexistent avec des amas q≥6; la moyenne passe mais le mode de courbure à petit moment diverge.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L3 - continuum critique. </w:t>
      </w:r>
      <w:r>
        <w:rPr>
          <w:rFonts w:ascii="Calibri" w:hAnsi="Calibri"/>
          <w:color w:val="000000"/>
          <w:sz w:val="22"/>
        </w:rPr>
        <w:t>La loi de blocage de la courbure et sa longueur de corrélation présentent une mise à l'échelle reproductible. Seul ce cas peut promouvoir C-MEAN vers une affirmation géométrique continue.</w:t>
      </w:r>
    </w:p>
    <w:p>
      <w:pPr>
        <w:pStyle w:val="Heading1"/>
        <w:keepNext/>
      </w:pPr>
      <w:r>
        <w:t>Certificat d'implémentation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Les contrôles ci-dessous ne remplacent pas les preuves; ils vérifient que le code simule bien leur domaine d'application.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22"/>
        </w:rPr>
        <w:t xml:space="preserve">I1 - Légalité locale. </w:t>
      </w:r>
      <w:r>
        <w:rPr>
          <w:rFonts w:ascii="Calibri" w:hAnsi="Calibri"/>
          <w:color w:val="000000"/>
          <w:sz w:val="22"/>
        </w:rPr>
        <w:t>Avant chaque mouvement, vérifier le lien requis, l'absence du nouvel simplexe et la multiplicité deux de chaque triangle affecté.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22"/>
        </w:rPr>
        <w:t xml:space="preserve">I2 - Invariants. </w:t>
      </w:r>
      <w:r>
        <w:rPr>
          <w:rFonts w:ascii="Calibri" w:hAnsi="Calibri"/>
          <w:color w:val="000000"/>
          <w:sz w:val="22"/>
        </w:rPr>
        <w:t>Après chaque mouvement accepté, exiger χ=0, N2=2N3, N1=N0+N3 et Σn_e=6N3 exactement en arithmétique entière.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22"/>
        </w:rPr>
        <w:t xml:space="preserve">I3 - Topologie. </w:t>
      </w:r>
      <w:r>
        <w:rPr>
          <w:rFonts w:ascii="Calibri" w:hAnsi="Calibri"/>
          <w:color w:val="000000"/>
          <w:sz w:val="22"/>
        </w:rPr>
        <w:t>Le contrôle local suffit au théorème si l'état initial est certifié T³. Conserver néanmoins H1(K;Z)=Z³ comme test sentinelle de corruption du code.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22"/>
        </w:rPr>
        <w:t xml:space="preserve">I4 - Support. </w:t>
      </w:r>
      <w:r>
        <w:rPr>
          <w:rFonts w:ascii="Calibri" w:hAnsi="Calibri"/>
          <w:color w:val="000000"/>
          <w:sz w:val="22"/>
        </w:rPr>
        <w:t>Si l'ergodicité est revendiquée, chaque mouvement légal et son inverse doivent avoir une amplitude strictement positive; journaliser les zéros imposés.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22"/>
        </w:rPr>
        <w:t xml:space="preserve">I5 - Cutoff. </w:t>
      </w:r>
      <w:r>
        <w:rPr>
          <w:rFonts w:ascii="Calibri" w:hAnsi="Calibri"/>
          <w:color w:val="000000"/>
          <w:sz w:val="22"/>
        </w:rPr>
        <w:t>Construire le graphe des états pour les petits Λ et compter ses composantes. Ne jamais déduire sa connexité du seul théorème de Pachner.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I6 - Régression exacte. </w:t>
      </w:r>
      <w:r>
        <w:rPr>
          <w:rFonts w:ascii="Calibri" w:hAnsi="Calibri"/>
          <w:color w:val="000000"/>
          <w:sz w:val="22"/>
        </w:rPr>
        <w:t>Le témoin périodique L=3 doit rendre f=(27,189,324,162), P(4)=81, P(6)=108 et 324 faces légales pour 2→3 avant perturbation.</w:t>
      </w:r>
    </w:p>
    <w:p>
      <w:pPr>
        <w:pStyle w:val="Heading1"/>
        <w:keepNext/>
      </w:pPr>
      <w:r>
        <w:t>Conclusion de fermeture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F5E46"/>
                <w:sz w:val="22"/>
              </w:rPr>
              <w:t xml:space="preserve">Porte TOP-KIN: FERMÉE. </w:t>
            </w:r>
            <w:r>
              <w:rPr>
                <w:rFonts w:ascii="Calibri" w:hAnsi="Calibri"/>
                <w:color w:val="1F5E46"/>
                <w:sz w:val="22"/>
              </w:rPr>
              <w:t>La topologie T³ est un invariant exact du support de Pachner, et la cible C/N3 → 0 possède une réalisation constructive dans cette même topologie. La nouvelle frontière n'est plus « le tore peut-il porter la moyenne plate ? » mais « les poids M2-W sélectionnent-ils cette région et ses fluctuations ont-elles une loi d'échelle continue ? »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0B2545"/>
          <w:sz w:val="22"/>
        </w:rPr>
        <w:t>Cette fermeture ne franchit pas à elle seule une porte globale G0-G6 du programme. Elle transforme toutefois D-3 en théorème et retire définitivement une classe entière d'explications alternatives avant le test de criticalité.</w:t>
      </w:r>
    </w:p>
    <w:p>
      <w:pPr>
        <w:pStyle w:val="Heading1"/>
        <w:keepNext/>
      </w:pPr>
      <w:r>
        <w:t>Références primaires</w:t>
      </w:r>
    </w:p>
    <w:p>
      <w:pPr>
        <w:keepLines/>
        <w:spacing w:after="40" w:line="252" w:lineRule="auto"/>
        <w:ind w:left="403" w:hanging="403"/>
      </w:pPr>
      <w:r>
        <w:rPr>
          <w:rFonts w:ascii="Calibri" w:hAnsi="Calibri"/>
          <w:color w:val="000000"/>
          <w:sz w:val="17"/>
        </w:rPr>
        <w:t xml:space="preserve">1. U. Pachner. </w:t>
      </w:r>
      <w:r>
        <w:rPr>
          <w:rFonts w:ascii="Calibri" w:hAnsi="Calibri"/>
          <w:i/>
          <w:color w:val="000000"/>
          <w:sz w:val="17"/>
        </w:rPr>
        <w:t>P.L. homeomorphic manifolds are equivalent by elementary shellings</w:t>
      </w:r>
      <w:r>
        <w:rPr>
          <w:rFonts w:ascii="Calibri" w:hAnsi="Calibri"/>
          <w:color w:val="5F6B78"/>
          <w:sz w:val="17"/>
        </w:rPr>
        <w:t>. European Journal of Combinatorics 12, 129-145 (1991). https://doi.org/10.1016/S0195-6698(13)80080-7</w:t>
      </w:r>
    </w:p>
    <w:p>
      <w:pPr>
        <w:keepLines/>
        <w:spacing w:after="40" w:line="252" w:lineRule="auto"/>
        <w:ind w:left="403" w:hanging="403"/>
      </w:pPr>
      <w:r>
        <w:rPr>
          <w:rFonts w:ascii="Calibri" w:hAnsi="Calibri"/>
          <w:color w:val="000000"/>
          <w:sz w:val="17"/>
        </w:rPr>
        <w:t xml:space="preserve">2. T. Regge. </w:t>
      </w:r>
      <w:r>
        <w:rPr>
          <w:rFonts w:ascii="Calibri" w:hAnsi="Calibri"/>
          <w:i/>
          <w:color w:val="000000"/>
          <w:sz w:val="17"/>
        </w:rPr>
        <w:t>General relativity without coordinates</w:t>
      </w:r>
      <w:r>
        <w:rPr>
          <w:rFonts w:ascii="Calibri" w:hAnsi="Calibri"/>
          <w:color w:val="5F6B78"/>
          <w:sz w:val="17"/>
        </w:rPr>
        <w:t>. Il Nuovo Cimento 19, 558-571 (1961). https://doi.org/10.1007/BF02733251</w:t>
      </w:r>
    </w:p>
    <w:p>
      <w:pPr>
        <w:keepLines/>
        <w:spacing w:after="40" w:line="252" w:lineRule="auto"/>
        <w:ind w:left="403" w:hanging="403"/>
      </w:pPr>
      <w:r>
        <w:rPr>
          <w:rFonts w:ascii="Calibri" w:hAnsi="Calibri"/>
          <w:color w:val="000000"/>
          <w:sz w:val="17"/>
        </w:rPr>
        <w:t xml:space="preserve">3. I. Niven. </w:t>
      </w:r>
      <w:r>
        <w:rPr>
          <w:rFonts w:ascii="Calibri" w:hAnsi="Calibri"/>
          <w:i/>
          <w:color w:val="000000"/>
          <w:sz w:val="17"/>
        </w:rPr>
        <w:t>Irrational Numbers</w:t>
      </w:r>
      <w:r>
        <w:rPr>
          <w:rFonts w:ascii="Calibri" w:hAnsi="Calibri"/>
          <w:color w:val="5F6B78"/>
          <w:sz w:val="17"/>
        </w:rPr>
        <w:t>. Carus Mathematical Monographs 11, MAA (1956), corollaire 3.12. https://books.google.com/books?id=EwI4AAAAIAAJ</w:t>
      </w:r>
    </w:p>
    <w:p>
      <w:pPr>
        <w:keepLines/>
        <w:spacing w:after="40" w:line="252" w:lineRule="auto"/>
        <w:ind w:left="403" w:hanging="403"/>
      </w:pPr>
      <w:r>
        <w:rPr>
          <w:rFonts w:ascii="Calibri" w:hAnsi="Calibri"/>
          <w:color w:val="000000"/>
          <w:sz w:val="17"/>
        </w:rPr>
        <w:t xml:space="preserve">4. B. A. Burton et A. He. </w:t>
      </w:r>
      <w:r>
        <w:rPr>
          <w:rFonts w:ascii="Calibri" w:hAnsi="Calibri"/>
          <w:i/>
          <w:color w:val="000000"/>
          <w:sz w:val="17"/>
        </w:rPr>
        <w:t>Connecting 3-manifold triangulations with monotonic sequences of elementary moves</w:t>
      </w:r>
      <w:r>
        <w:rPr>
          <w:rFonts w:ascii="Calibri" w:hAnsi="Calibri"/>
          <w:color w:val="5F6B78"/>
          <w:sz w:val="17"/>
        </w:rPr>
        <w:t>. arXiv:2012.02398 (2020). https://arxiv.org/abs/2012.02398</w:t>
      </w:r>
    </w:p>
    <w:p>
      <w:pPr>
        <w:keepLines/>
        <w:spacing w:after="40" w:line="252" w:lineRule="auto"/>
        <w:ind w:left="403" w:hanging="403"/>
      </w:pPr>
      <w:r>
        <w:rPr>
          <w:rFonts w:ascii="Calibri" w:hAnsi="Calibri"/>
          <w:color w:val="000000"/>
          <w:sz w:val="17"/>
        </w:rPr>
        <w:t xml:space="preserve">5. J. R. McDonald et W. A. Miller. </w:t>
      </w:r>
      <w:r>
        <w:rPr>
          <w:rFonts w:ascii="Calibri" w:hAnsi="Calibri"/>
          <w:i/>
          <w:color w:val="000000"/>
          <w:sz w:val="17"/>
        </w:rPr>
        <w:t>A geometric construction of the Riemann scalar curvature in Regge calculus</w:t>
      </w:r>
      <w:r>
        <w:rPr>
          <w:rFonts w:ascii="Calibri" w:hAnsi="Calibri"/>
          <w:color w:val="5F6B78"/>
          <w:sz w:val="17"/>
        </w:rPr>
        <w:t>. Classical and Quantum Gravity 25, 195017 (2008). https://doi.org/10.1088/0264-9381/25/19/195017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8"/>
        <w:sz w:val="17"/>
      </w:rPr>
      <w:t>BLOB PRINCIPLE / M2-W   |   NOTE DE FERMETURE MATHEMATIQUE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M2-W - Théorème TOP-KIN</dc:title>
  <dc:subject>Conservation de T3 et accessibilité du f-vecteur à courbure moyenne nulle</dc:subject>
  <dc:creator>Rudolphe Mirante - formalisation assistée</dc:creator>
  <cp:keywords>M2-W, Blob Principle, Pachner, T3, f-vector, Regge curvature, edge coordination, topology</cp:keywords>
  <dc:description>Version 1.0 - 27 juillet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