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Triangle enrichment in viability-driven random graphs: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a robust signature at 13-17x above null baseline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Rudolphe Mirante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Independent researcher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contact: @Blob_Principle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Preprint, 24 April 2026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Abstract</w:t>
      </w:r>
    </w:p>
    <w:p>
      <w:pPr>
        <w:spacing w:after="60" w:before="60" w:line="320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We report a robust combinatorial signature in random graphs evolved under a Gibbs measure with viability score S_sim = log(1 + n_tri) - beta * D, where n_tri is the triangle count and D is the normalized degree dispersion. Direct comparison with null graphs at identical edge density reveals a triangle enrichment factor of 13.1x (N=3000) to 16.6x (N=25000), with signal-to-noise ratios between 68 and 388 standard deviations across 5 independent seeds per size. The enrichment is driven entirely by the Metropolis-Hastings selection of S_sim, as the null reference uses the identical proposal kernel with acceptance probability 1. The effect is stable and slowly amplified with N. We also report a methodological finding: the scaling law S_sim/N propto N^(-1) which had been conjectured as distinctive of the viability dynamics is found to hold identically in the null model (exponents 0.991 vs 1.006), and is therefore a mathematical consequence of the intensivity of S_sim rather than a physical signature. The enrichment ratio itself emerges as the robust distinguishing observable. All simulation code and raw data are available for independent replication.</w:t>
      </w:r>
    </w:p>
    <w:p>
      <w:pPr>
        <w:pageBreakBefore/>
      </w:pPr>
    </w:p>
    <w:p>
      <w:pPr>
        <w:pStyle w:val="Heading1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I. Introduction</w:t>
      </w:r>
    </w:p>
    <w:p>
      <w:pPr>
        <w:spacing w:after="60" w:before="60" w:line="3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Random graph models with structural selection rules have attracted renewed attention in the context of emergent geometry and combinatorial quantum gravity. A central question is whether a combinatorial dynamics on graphs can produce, at large sizes, topological features that are absent from unstructured null models. This paper reports a clean positive answer for one specific class of such models.</w:t>
      </w:r>
    </w:p>
    <w:p>
      <w:pPr>
        <w:spacing w:after="60" w:before="60" w:line="3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We study random graphs on N vertices with fixed edge count |E| = kappa_0 N / 2, kappa_0 = 8, where vertices are i.i.d. uniform in [0,1]^3 and the graph evolves via Metropolis-Hastings edge swaps under the Gibbs measure:</w:t>
      </w:r>
    </w:p>
    <w:p>
      <w:pPr>
        <w:spacing w:after="120" w:before="120"/>
        <w:ind w:left="400" w:right="400"/>
        <w:jc w:val="center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pi_N(C) propto exp(N * S_sim(C) / tau)</w:t>
      </w:r>
    </w:p>
    <w:p>
      <w:pPr>
        <w:spacing w:after="120" w:before="120"/>
        <w:ind w:left="400" w:right="400"/>
        <w:jc w:val="center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S_sim(C) = log(1 + n_tri(C)) - beta * D(C),</w:t>
      </w:r>
    </w:p>
    <w:p>
      <w:pPr>
        <w:spacing w:after="60" w:before="60" w:line="3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with tau = 0.50, beta = 0.30. Here n_tri is the number of closed triangles and D = sigma(degrees) / mu(degrees) measures dispersion. The key question is: does this dynamics produce significantly more triangles than a null graph at identical edge density?</w:t>
      </w:r>
    </w:p>
    <w:p>
      <w:pPr>
        <w:spacing w:after="60" w:before="60" w:line="3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Our main finding is a clean quantitative answer:</w:t>
      </w:r>
    </w:p>
    <w:p>
      <w:pPr>
        <w:spacing w:after="120" w:before="120"/>
        <w:ind w:left="400" w:right="400"/>
        <w:jc w:val="center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ratio = n_tri(Blob) / n_tri(Null) ∈ [13.1, 16.6]  for N ∈ [3000, 25000]</w:t>
      </w:r>
    </w:p>
    <w:p>
      <w:pPr>
        <w:spacing w:after="60" w:before="60" w:line="3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with SNR between 68 and 388 sigma. This establishes the viability dynamics as genuinely ordering, in a sense that is mathematically sharper than scaling-law arguments alone can provide.</w:t>
      </w:r>
    </w:p>
    <w:p>
      <w:pPr>
        <w:pStyle w:val="Heading2"/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I.1 Contributions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We establish the triangle enrichment ratio as a robust, size-stable observable distinguishing viability-driven graphs from null models.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We invalidate a previously conjectured scaling signature (S_sim/N propto N^(-1)) by demonstrating that null models share the same law.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We provide all code and raw data for independent verification.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We frame the resulting questions (ratio limit, D decay rate) as well-posed programs for future work.</w:t>
      </w:r>
    </w:p>
    <w:p>
      <w:pPr>
        <w:pageBreakBefore/>
      </w:pPr>
    </w:p>
    <w:p>
      <w:pPr>
        <w:pStyle w:val="Heading1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II. Methods</w:t>
      </w:r>
    </w:p>
    <w:p>
      <w:pPr>
        <w:pStyle w:val="Heading2"/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II.1 Graph model</w:t>
      </w:r>
    </w:p>
    <w:p>
      <w:pPr>
        <w:spacing w:after="60" w:before="60" w:line="3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configuration C is a simple connected graph on N vertices with exactly |E| = kappa_0 N / 2 = 4N edges. Vertices carry i.i.d. uniform positions in [0,1]^3 (used only for initialization). The initial graph is built by adding the Hamiltonian cycle (u, u+1 mod N) for connectivity, then completing with uniformly random non-edges until |E| = 4N is reached.</w:t>
      </w:r>
    </w:p>
    <w:p>
      <w:pPr>
        <w:pStyle w:val="Heading2"/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II.2 Dynamics</w:t>
      </w:r>
    </w:p>
    <w:p>
      <w:pPr>
        <w:spacing w:after="60" w:before="60" w:line="3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Each MCMC step proposes an edge swap: remove a uniformly chosen existing edge (u_rm, v_rm) and add a uniformly chosen non-edge (u_add, v_add). Two dynamical variants are compared: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Blob: the proposed swap is accepted with probability min(1, exp(N * (S_new - S_old) / tau)) where S_sim is defined above. Triangle counts are maintained incrementally via Delta_tri = |N(u_add) ∩ N(v_add)| - |N(u_rm) ∩ N(v_rm)|.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Null (null_rand): the proposed swap is always accepted. This produces uniform random graphs with fixed |E|, at stationarity.</w:t>
      </w:r>
    </w:p>
    <w:p>
      <w:pPr>
        <w:pStyle w:val="Heading2"/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II.3 Protocol</w:t>
      </w:r>
    </w:p>
    <w:tbl>
      <w:tblPr>
        <w:tblW w:type="dxa" w:w="8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226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Network sizes 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3000, 5000, 10000, 25000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Seeds per size per variant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 independent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Burn-in steps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 x N (30000 to 250000 steps)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Production steps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 x 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Sampling stride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production / 200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Reference parameters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kappa_0 = 8, beta = 0.30, tau = 0.50</w:t>
            </w:r>
          </w:p>
        </w:tc>
      </w:tr>
    </w:tbl>
    <w:p>
      <w:pPr>
        <w:pStyle w:val="Heading2"/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II.4 Convergence diagnostics</w:t>
      </w:r>
    </w:p>
    <w:p>
      <w:pPr>
        <w:spacing w:after="60" w:before="60" w:line="3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For each seed, we record the mean of S_sim over the first and second halves of production, and compute the relative drift. A drift below 10% is taken as evidence that the chain has reached a stationary regime. All Blob seeds reported here have drift in [4.1%, 4.7%]; all null seeds have drift in [0.1%, 2.6%].</w:t>
      </w:r>
    </w:p>
    <w:p>
      <w:pPr>
        <w:pageBreakBefore/>
      </w:pPr>
    </w:p>
    <w:p>
      <w:pPr>
        <w:pStyle w:val="Heading1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III. Results</w:t>
      </w:r>
    </w:p>
    <w:p>
      <w:pPr>
        <w:pStyle w:val="Heading2"/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III.1 Triangle enrichment</w:t>
      </w:r>
    </w:p>
    <w:p>
      <w:pPr>
        <w:spacing w:after="60" w:before="60" w:line="3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central result is Table I:</w:t>
      </w:r>
    </w:p>
    <w:p>
      <w:pPr>
        <w:spacing w:after="40" w:before="40"/>
      </w:pP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600"/>
        <w:gridCol w:w="1600"/>
        <w:gridCol w:w="1800"/>
        <w:gridCol w:w="1226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n_tri(Blob)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n_tri(Null)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Ratio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SNR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p-value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3000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1108 +/- 11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85 +/- 15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13.1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68.5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&lt; 10^-100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5000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1223 +/- 29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82 +/- 3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14.8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388.2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&lt; 10^-100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10000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1257 +/- 30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84 +/- 9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14.9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128.9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&lt; 10^-100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25000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1311 +/- 25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79 +/- 11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16.6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108.4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&lt; 10^-100</w:t>
            </w:r>
          </w:p>
        </w:tc>
      </w:tr>
    </w:tbl>
    <w:p>
      <w:pPr>
        <w:spacing w:after="40" w:before="40"/>
      </w:pPr>
    </w:p>
    <w:p>
      <w:pPr>
        <w:spacing w:after="60" w:before="60" w:line="3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enrichment ratio is stable in the range 13-17 and grows mildly with N. The signal-to-noise ratio is well beyond any threshold that could be attributed to statistical fluctuation. The p-value, computed assuming Gaussian fluctuations at scale sigma_Null, is astronomically small in all cases.</w:t>
      </w:r>
    </w:p>
    <w:p>
      <w:pPr>
        <w:pStyle w:val="Heading2"/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III.2 Size dependence of n_tri</w:t>
      </w:r>
    </w:p>
    <w:p>
      <w:pPr>
        <w:spacing w:after="60" w:before="60" w:line="3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Notably, n_tri(Blob) grows from 1108 at N=3000 to 1311 at N=25000, a factor 1.18 while N grows by 8.3. The Blob dynamics does not produce a triangle density proportional to |E|; instead, n_tri appears to approach a saturation. The null n_tri fluctuates around a constant ~80, consistent with the Poisson expectation for random graphs at this density.</w:t>
      </w:r>
    </w:p>
    <w:p>
      <w:pPr>
        <w:pStyle w:val="Heading2"/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III.3 Invariance of the scaling exponent</w:t>
      </w:r>
    </w:p>
    <w:p>
      <w:pPr>
        <w:spacing w:after="60" w:before="60" w:line="3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Fitting the log-log scaling of S_sim/N across the four sizes yields:</w:t>
      </w:r>
    </w:p>
    <w:p>
      <w:pPr>
        <w:spacing w:after="120" w:before="120"/>
        <w:ind w:left="400" w:right="400"/>
        <w:jc w:val="center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Blob : S_sim/N = 6.21 * N^(-0.991)    R^2 = 1.0000</w:t>
      </w:r>
    </w:p>
    <w:p>
      <w:pPr>
        <w:spacing w:after="120" w:before="120"/>
        <w:ind w:left="400" w:right="400"/>
        <w:jc w:val="center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Null : S_sim/N = 4.59 * N^(-1.006)    R^2 = 1.0000</w:t>
      </w:r>
    </w:p>
    <w:p>
      <w:pPr>
        <w:spacing w:after="60" w:before="60" w:line="3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exponents differ by 0.015, within any reasonable measurement uncertainty. This demonstrates that the near-1/N scaling of S_sim/N is not a dynamical signature of the Blob: it is a mathematical consequence of S_sim being an intensive observable (bounded by log(1 + n_tri)). Any dynamics preserving boundedness of n_tri produces the same scaling.</w:t>
      </w:r>
    </w:p>
    <w:p>
      <w:pPr>
        <w:pStyle w:val="Heading2"/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III.4 Acceptance rate behavior</w:t>
      </w:r>
    </w:p>
    <w:p>
      <w:pPr>
        <w:spacing w:after="60" w:before="60" w:line="3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Blob acceptance rate increases with N: 0.75 at N=3000 to 0.91 at N=25000. This is the expected signature of a thermodynamic system whose score function is intensive. For an intensive S, typical fluctuations dS scale as 1/N, so the effective argument of the Metropolis exponential N * dS / tau remains O(1) and the acceptance tends to a finite limit. In contrast, the null rate is essentially 1 by construction.</w:t>
      </w:r>
    </w:p>
    <w:p>
      <w:pPr>
        <w:pStyle w:val="Heading2"/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III.5 Dissipation D</w:t>
      </w:r>
    </w:p>
    <w:p>
      <w:pPr>
        <w:spacing w:after="60" w:before="60" w:line="3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mean normalized degree dispersion D varies as follows:</w:t>
      </w:r>
    </w:p>
    <w:tbl>
      <w:tblPr>
        <w:tblW w:type="dxa" w:w="87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1726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D(Blob)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D(Null)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Diff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3000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0.349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0.353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-0.004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5000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0.338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0.354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-0.016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10000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0.328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0.353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-0.025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25000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0.322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0.354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-0.031</w:t>
            </w:r>
          </w:p>
        </w:tc>
      </w:tr>
    </w:tbl>
    <w:p>
      <w:pPr>
        <w:spacing w:after="60" w:before="60" w:line="3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Blob produces a slightly lower dispersion than the null, with the difference growing with N. This is a secondary but consistent signature of the selection pressure against degree heterogeneity in S_sim.</w:t>
      </w:r>
    </w:p>
    <w:p>
      <w:pPr>
        <w:pageBreakBefore/>
      </w:pPr>
    </w:p>
    <w:p>
      <w:pPr>
        <w:pStyle w:val="Heading1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IV. Discussion</w:t>
      </w:r>
    </w:p>
    <w:p>
      <w:pPr>
        <w:pStyle w:val="Heading2"/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IV.1 Why the ratio is not trivial</w:t>
      </w:r>
    </w:p>
    <w:p>
      <w:pPr>
        <w:spacing w:after="60" w:before="60" w:line="3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One might expect that any graph dynamics maximizing log(1 + n_tri) would produce much more than 13-17x enrichment. The observed saturation of n_tri(Blob) at values around 1100-1300 for N up to 25000 reflects the competition between triangle gain and degree dispersion cost in S_sim. The coefficient beta = 0.30 controls this balance, and the specific equilibrium depends on combinatorial constraints at fixed |E| = 4N.</w:t>
      </w:r>
    </w:p>
    <w:p>
      <w:pPr>
        <w:pStyle w:val="Heading2"/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IV.2 Relation to spectral dimension results</w:t>
      </w:r>
    </w:p>
    <w:p>
      <w:pPr>
        <w:spacing w:after="60" w:before="60" w:line="3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Prior work on the same framework has established, for N = 3000 with 20 seeds, a spectral dimension d_s = 3.045 +/- 0.026 (p-value 3.7e-22), confirmed by four independent estimators. The triangle enrichment reported here is consistent with the observation that the Blob produces a three-dimensional emergent geometry rather than a high-dimensional random expander. The precise mechanistic link between triangle count and emergent dimension is a topic for further work.</w:t>
      </w:r>
    </w:p>
    <w:p>
      <w:pPr>
        <w:pStyle w:val="Heading2"/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IV.3 What this does not show</w:t>
      </w:r>
    </w:p>
    <w:p>
      <w:pPr>
        <w:spacing w:after="60" w:before="60" w:line="3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present results do not prove that the Blob dynamics is thermodynamically complete in the sense of a rigorous mixing theorem: Blob acceptance rates above 0.75 indicate that the chain explores the configuration space efficiently but may not be sampling Gibbs-optimal configurations in the strict acceptance-in-[0.20,0.60] regime. However, the Blob vs Null comparison is robust to this caveat: both dynamics are run with identical protocols, and the enrichment factor emerges from the difference in acceptance criterion alone.</w:t>
      </w:r>
    </w:p>
    <w:p>
      <w:pPr>
        <w:pStyle w:val="Heading2"/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IV.4 Open questions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Asymptotic limit: does n_tri(Blob) / n_tri(Null) stabilize as N -&gt; infinity, or grow without bound? Simulations at N = 50000 to 100000 would be needed.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Theoretical mechanism: what combinatorial argument predicts the specific ratio in the range [13, 17]?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Parameter dependence: how does the ratio vary across (beta, tau) space?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Dissipation scaling: the slow decrease of D(Blob) with N suggests a specific approach to a limit geometry.</w:t>
      </w:r>
    </w:p>
    <w:p>
      <w:pPr>
        <w:pageBreakBefore/>
      </w:pPr>
    </w:p>
    <w:p>
      <w:pPr>
        <w:pStyle w:val="Heading1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V. Conclusion</w:t>
      </w:r>
    </w:p>
    <w:p>
      <w:pPr>
        <w:spacing w:after="60" w:before="60" w:line="3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We have reported a robust triangle enrichment effect in random graphs evolving under a viability-based Gibbs measure. The effect persists over an order of magnitude in N with statistical significance well above any conceivable fluctuation. The comparison with a null model sharing the identical proposal kernel establishes that the effect is entirely due to the selection pressure of S_sim.</w:t>
      </w:r>
    </w:p>
    <w:p>
      <w:pPr>
        <w:spacing w:after="60" w:before="60" w:line="3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Methodologically, we also document an invalidated hypothesis: the S_sim/N propto 1/N scaling law is shared by the null model and cannot be taken as a dynamical signature of the viability dynamics. This reinforces the importance of null-baseline comparisons in combinatorial graph-theoretic models.</w:t>
      </w:r>
    </w:p>
    <w:p>
      <w:pPr>
        <w:pStyle w:val="Heading2"/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V.1 Reproducibility</w:t>
      </w:r>
    </w:p>
    <w:p>
      <w:pPr>
        <w:spacing w:after="60" w:before="60" w:line="3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All simulation code (Python, numpy only) and raw results are available at the corresponding author's request. The full campaign reproduces in approximately 15 minutes of single-threaded CPU time; no specialized hardware is required.</w:t>
      </w:r>
    </w:p>
    <w:p>
      <w:pPr>
        <w:pageBreakBefore/>
      </w:pPr>
    </w:p>
    <w:p>
      <w:pPr>
        <w:pStyle w:val="Heading1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References</w:t>
      </w:r>
    </w:p>
    <w:p>
      <w:pPr>
        <w:spacing w:after="40" w:before="40"/>
        <w:ind w:left="280" w:hanging="2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[1] M. Penrose, Random Geometric Graphs, Oxford University Press (2003).</w:t>
      </w:r>
    </w:p>
    <w:p>
      <w:pPr>
        <w:spacing w:after="40" w:before="40"/>
        <w:ind w:left="280" w:hanging="2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[2] N. Garcia Trillos, M. Gerlach, M. Hein, D. Slepcev, Error estimates for spectral convergence of the graph Laplacian on random geometric graphs toward the Laplace-Beltrami operator. Found. Comput. Math. 20, 827-887 (2020).</w:t>
      </w:r>
    </w:p>
    <w:p>
      <w:pPr>
        <w:spacing w:after="40" w:before="40"/>
        <w:ind w:left="280" w:hanging="2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[3] C. A. Trugenberger, Combinatorial quantum gravity and emergent 3D quantum behaviour. Class. Quantum Grav. 40, 085004 (2023).</w:t>
      </w:r>
    </w:p>
    <w:p>
      <w:pPr>
        <w:spacing w:after="40" w:before="40"/>
        <w:ind w:left="280" w:hanging="2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[4] S. Chatterjee, S. R. S. Varadhan, The large deviation principle for the Erdos-Renyi random graph. European J. Combin. 32, 1000-1017 (2011).</w:t>
      </w:r>
    </w:p>
    <w:p>
      <w:pPr>
        <w:spacing w:after="40" w:before="40"/>
        <w:ind w:left="280" w:hanging="2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[5] E. Nelson, Derivation of the Schrodinger equation from Newtonian mechanics. Phys. Rev. 150, 1079-1085 (1966).</w:t>
      </w:r>
    </w:p>
    <w:p>
      <w:pPr>
        <w:spacing w:after="40" w:before="40"/>
        <w:ind w:left="280" w:hanging="2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[6] M. I. Freidlin, A. D. Wentzell, Random Perturbations of Dynamical Systems, Springer (1984).</w:t>
      </w:r>
    </w:p>
    <w:p>
      <w:pPr>
        <w:spacing w:after="40" w:before="40"/>
        <w:ind w:left="280" w:hanging="2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[7] Blob Principle manuscript v93.5 (2026), Corpus consolidation. Internal report.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2026-04-24T11:18:40.436Z</dcterms:created>
  <dcterms:modified xsi:type="dcterms:W3CDTF">2026-04-24T11:18:40.437Z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