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C30F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 README 1.2: Commodity ANN Structural Ablation &amp; Inference Framework</w:t>
      </w:r>
    </w:p>
    <w:p w14:paraId="2456EBB8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359DC072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 1. Executive Overview &amp; System Architecture</w:t>
      </w:r>
    </w:p>
    <w:p w14:paraId="7FEC9DA4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This repository houses the modernized `_gem` inference and structural ablation pipeline for multi-layer perceptron (ANN) commodity pricing models. Building upon legacy architectures, this framework is engineered to execute rigorous, perturbation-based feature importance audits across high-frequency and historical time-series manifolds without pipeline bloat or numerical distortion.</w:t>
      </w:r>
    </w:p>
    <w:p w14:paraId="3368A0AE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4FE8EFAD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Key Architectural Enhancements</w:t>
      </w:r>
    </w:p>
    <w:p w14:paraId="363FB017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**Strict Affine Synchronization:** Resolved historical double-denormalization vectors. Output tensors undergo deterministic inverse-standardization ($y = \hat{y}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cdot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sigma_y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+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mu_y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$) exactly once during inference.</w:t>
      </w:r>
    </w:p>
    <w:p w14:paraId="44533FF1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**Parametric Perturbation Engine:** Executes sequential conditional expectation clamping ($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x_i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leftarrow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mathbb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{E}[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X_i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]$) across input matrices $\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mathbf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{X} \in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mathbb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{R}^{N </w:t>
      </w: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ab/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imes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d}$ to isolate empirical risk degradation ($\Delta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mathcal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{L}_{MAE}$).</w:t>
      </w:r>
    </w:p>
    <w:p w14:paraId="48C8D55F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- **Zero-Lag Ingestion:** Eliminates redundant a priori feature engineering in 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favor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of contemporaneous raw market primitives.</w:t>
      </w:r>
    </w:p>
    <w:p w14:paraId="5BAE68AA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4CF222B7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---</w:t>
      </w:r>
    </w:p>
    <w:p w14:paraId="002AA1F9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7E94789D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 2. Empirical Findings &amp; Feature Hierarchy</w:t>
      </w:r>
    </w:p>
    <w:p w14:paraId="20E410DB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Running the structural ablation suite on the Heating Oil (`retest1`) run yielded the following Mean Absolute Error ($\Delta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mathcal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{L}_{MAE}$) degradation spectrum:</w:t>
      </w:r>
    </w:p>
    <w:p w14:paraId="6867601F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60DF78CD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| Feature Dimension | Ablation MAE ($\Delta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mathcal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{L}$) | Structural Classification |</w:t>
      </w:r>
    </w:p>
    <w:p w14:paraId="782A2DC1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| :--- | :--- | :--- |</w:t>
      </w:r>
    </w:p>
    <w:p w14:paraId="052A4ACA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| **`Close`** | **13.83** | Primary Manifold Anchor |</w:t>
      </w:r>
    </w:p>
    <w:p w14:paraId="4283DCA8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| **`High`** | **7.85** | Upper Volatility Boundary |</w:t>
      </w:r>
    </w:p>
    <w:p w14:paraId="57B4F87D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| **`Open`** | **6.59** | Initial State Primitive |</w:t>
      </w:r>
    </w:p>
    <w:p w14:paraId="54ADBCFC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| **`Low`** | **4.90** | Lower Volatility Boundary |</w:t>
      </w:r>
    </w:p>
    <w:p w14:paraId="2837E6C4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| **`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PrevClose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`** | **0.38** | Epistemologically Redundant |</w:t>
      </w:r>
    </w:p>
    <w:p w14:paraId="039CB12B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2D45686F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Mathematical Interpretation of Results</w:t>
      </w:r>
    </w:p>
    <w:p w14:paraId="5AC42B70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1. **Manifold Dominance (`Close`, `High`, `Open`, `Low`):** Severe error spikes upon clamping contemporaneous boundaries confirm that the network maps continuous price-action space directly. Because the architecture outperforms a naive linear persistence baseline ($y_{t+1} = 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y_t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$), its non-linear activation topology extracts high-order transition dynamics rather than executing a trivial autoregressive mapping.</w:t>
      </w:r>
    </w:p>
    <w:p w14:paraId="32C33B9C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2. **Redundancy of Engineered Lags (`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PrevClose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`):** The negligible degradation ($\Delta \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mathcal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{L} = 0.38$) associated with `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PrevClose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 proves that synthetic temporal embedding is mathematically non-essential. The underlying market dynamic is fully observable through contemporaneous raw primitives alone, verifying that *the market is the market*—all required momentum is natively embedded in current-step state vectors.</w:t>
      </w:r>
    </w:p>
    <w:p w14:paraId="06D293EF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3. **Monotonic Phase Alignment (Spearman Correlation $</w:t>
      </w:r>
    </w:p>
    <w:p w14:paraId="5781FD82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ho_s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$):** High out-of-sample Spearman rank correlations, paired with low `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PrevClose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 ablation sensitivity, verify that the system preserves ordinal market topology and directional velocity without relying on lagging linear memory artifacts.</w:t>
      </w:r>
    </w:p>
    <w:p w14:paraId="30E73B38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31D7A8C3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---</w:t>
      </w:r>
    </w:p>
    <w:p w14:paraId="39721D61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69DDD23A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 3. Pipeline Usage &amp; Execution</w:t>
      </w:r>
    </w:p>
    <w:p w14:paraId="7DD6D98D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3664F84D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Prerequisites</w:t>
      </w:r>
    </w:p>
    <w:p w14:paraId="5A966209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Python 3.10+</w:t>
      </w:r>
    </w:p>
    <w:p w14:paraId="563BD8B9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TensorFlow 2.x</w:t>
      </w:r>
    </w:p>
    <w:p w14:paraId="50F608CC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NumPy, Pandas</w:t>
      </w:r>
    </w:p>
    <w:p w14:paraId="09BC60EA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1ADEAC94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Running Inference</w:t>
      </w:r>
    </w:p>
    <w:p w14:paraId="6B8F6CC0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Execute the canonical inference script with standardized scaling and artifact paths:</w:t>
      </w:r>
    </w:p>
    <w:p w14:paraId="784BEA6C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```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powershell</w:t>
      </w:r>
      <w:proofErr w:type="spellEnd"/>
    </w:p>
    <w:p w14:paraId="136D2800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python ho_infer_ann_retest1_gem.py --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input_csv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hoxnc_testing_retest1.csv --model artifacts/ho_ann_run_retest1/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model_final.keras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--scaler artifacts/ho_ann_run_retest1/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scaler.json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--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out_csv</w:t>
      </w:r>
      <w:proofErr w:type="spellEnd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 xml:space="preserve"> artifacts/ho_ann_run_retest1/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preds.json</w:t>
      </w:r>
      <w:proofErr w:type="spellEnd"/>
    </w:p>
    <w:p w14:paraId="5DA437BA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```</w:t>
      </w:r>
    </w:p>
    <w:p w14:paraId="7FFACF74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53F5A321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### Executing the Ablation Suite</w:t>
      </w:r>
    </w:p>
    <w:p w14:paraId="11800AEC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Run the perturbation-based feature importance audit:</w:t>
      </w:r>
    </w:p>
    <w:p w14:paraId="782FC2B8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```</w:t>
      </w:r>
      <w:proofErr w:type="spellStart"/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powershell</w:t>
      </w:r>
      <w:proofErr w:type="spellEnd"/>
    </w:p>
    <w:p w14:paraId="5B4DF584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python ablation_simulate_gem.py</w:t>
      </w:r>
    </w:p>
    <w:p w14:paraId="58D0BFB7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```</w:t>
      </w:r>
    </w:p>
    <w:p w14:paraId="5B57A57F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4C74E70E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---</w:t>
      </w:r>
    </w:p>
    <w:p w14:paraId="3BD0EFD5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</w:p>
    <w:p w14:paraId="598D9FDC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## 4. Forward Roadmap &amp; Generalization</w:t>
      </w:r>
    </w:p>
    <w:p w14:paraId="293AA0D3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**Phase 1 (Cross-Asset Isomorphism):** Replicate this frozen ablation and inference protocol across heterogeneous historical commodity datasets to verify cross-asset feature stability and structural universality.</w:t>
      </w:r>
    </w:p>
    <w:p w14:paraId="493899B1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**Phase 2 (Topological Modernization):** Incrementally refactor network layers (e.g., introducing attention mechanisms or convolutional filters) to minimize out-of-sample generalization error and maximize predictive alpha.</w:t>
      </w:r>
    </w:p>
    <w:p w14:paraId="1B6CE961" w14:textId="77777777" w:rsidR="008B4813" w:rsidRPr="008B4813" w:rsidRDefault="008B4813" w:rsidP="008B4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</w:pPr>
      <w:r w:rsidRPr="008B481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AU"/>
          <w14:ligatures w14:val="none"/>
        </w:rPr>
        <w:t>- **Phase 3 (Live Simulation Integration):** Port validated primitive-driven feature rules into execution-grade simulation environments.</w:t>
      </w:r>
    </w:p>
    <w:p w14:paraId="4791184E" w14:textId="4EEFB767" w:rsidR="00CB7555" w:rsidRPr="008B4813" w:rsidRDefault="00CB7555" w:rsidP="008B4813"/>
    <w:sectPr w:rsidR="00CB7555" w:rsidRPr="008B4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F2"/>
    <w:rsid w:val="0043790E"/>
    <w:rsid w:val="004D1FE5"/>
    <w:rsid w:val="00786F13"/>
    <w:rsid w:val="008735F2"/>
    <w:rsid w:val="008B4813"/>
    <w:rsid w:val="00B8726F"/>
    <w:rsid w:val="00C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F5AC"/>
  <w15:chartTrackingRefBased/>
  <w15:docId w15:val="{42E2AEE5-142F-4319-9741-0092B743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Lowe</dc:creator>
  <cp:keywords/>
  <dc:description/>
  <cp:lastModifiedBy>Brian Lowe</cp:lastModifiedBy>
  <cp:revision>3</cp:revision>
  <dcterms:created xsi:type="dcterms:W3CDTF">2026-09-06T12:09:00Z</dcterms:created>
  <dcterms:modified xsi:type="dcterms:W3CDTF">2026-09-06T12:10:00Z</dcterms:modified>
</cp:coreProperties>
</file>