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End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F82C63"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F82C63"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B6577A">
      <w:pPr>
        <w:pStyle w:val="2"/>
        <w:spacing w:beforeLines="10" w:before="31" w:afterLines="10" w:after="31"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B6577A">
      <w:pPr>
        <w:pStyle w:val="2"/>
        <w:spacing w:beforeLines="10" w:before="31" w:afterLines="10" w:after="31"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42766F">
      <w:pPr>
        <w:pStyle w:val="2"/>
        <w:spacing w:beforeLines="10" w:before="31" w:afterLines="10" w:after="31"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1079E0">
      <w:pPr>
        <w:pStyle w:val="2"/>
        <w:spacing w:beforeLines="10" w:before="31" w:afterLines="10" w:after="31"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246AAD">
      <w:pPr>
        <w:pStyle w:val="2"/>
        <w:spacing w:beforeLines="10" w:before="31" w:afterLines="10" w:after="31"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dubbo</w:t>
      </w:r>
      <w:proofErr w:type="spellEnd"/>
      <w:r w:rsidRPr="009D7D53">
        <w:rPr>
          <w:rFonts w:ascii="Times New Roman" w:hAnsi="Times New Roman" w:cs="Times New Roman"/>
          <w:sz w:val="24"/>
        </w:rPr>
        <w:t>-monitor-simple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redis</w:t>
      </w:r>
      <w:proofErr w:type="spellEnd"/>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jre</w:t>
      </w:r>
      <w:proofErr w:type="spellEnd"/>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hint="eastAsia"/>
          <w:sz w:val="24"/>
        </w:rPr>
        <w:t>jdk</w:t>
      </w:r>
      <w:proofErr w:type="spellEnd"/>
      <w:r w:rsidRPr="009D7D53">
        <w:rPr>
          <w:rFonts w:ascii="Times New Roman" w:hAnsi="Times New Roman" w:cs="Times New Roman" w:hint="eastAsia"/>
          <w:sz w:val="24"/>
        </w:rPr>
        <w:t xml:space="preserve">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com.alibab.druid</w:t>
      </w:r>
      <w:proofErr w:type="spellEnd"/>
      <w:r w:rsidRPr="009D7D53">
        <w:rPr>
          <w:rFonts w:ascii="Times New Roman" w:hAnsi="Times New Roman" w:cs="Times New Roman"/>
          <w:sz w:val="24"/>
        </w:rPr>
        <w:t xml:space="preserve"> 1.1.9</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org.springframework.spring</w:t>
      </w:r>
      <w:proofErr w:type="spellEnd"/>
      <w:r w:rsidRPr="009D7D53">
        <w:rPr>
          <w:rFonts w:ascii="Times New Roman" w:hAnsi="Times New Roman" w:cs="Times New Roman"/>
          <w:sz w:val="24"/>
        </w:rPr>
        <w:t>-context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lastRenderedPageBreak/>
        <w:t>org.springframework.spring-jdbc</w:t>
      </w:r>
      <w:proofErr w:type="spellEnd"/>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com.alibaba.dubbo</w:t>
      </w:r>
      <w:proofErr w:type="spellEnd"/>
      <w:r w:rsidRPr="009D7D53">
        <w:rPr>
          <w:rFonts w:ascii="Times New Roman" w:hAnsi="Times New Roman" w:cs="Times New Roman"/>
          <w:sz w:val="24"/>
        </w:rPr>
        <w:t xml:space="preserve">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org.apache.zookeeper.zookeeper</w:t>
      </w:r>
      <w:proofErr w:type="spellEnd"/>
      <w:r w:rsidRPr="009D7D53">
        <w:rPr>
          <w:rFonts w:ascii="Times New Roman" w:hAnsi="Times New Roman" w:cs="Times New Roman"/>
          <w:sz w:val="24"/>
        </w:rPr>
        <w:t xml:space="preserve"> 3.4.10</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mysql.mysql</w:t>
      </w:r>
      <w:proofErr w:type="spellEnd"/>
      <w:r w:rsidRPr="009D7D53">
        <w:rPr>
          <w:rFonts w:ascii="Times New Roman" w:hAnsi="Times New Roman" w:cs="Times New Roman"/>
          <w:sz w:val="24"/>
        </w:rPr>
        <w:t>-connector-java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 xml:space="preserve"> 3.4.6</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org.mybatis.mybatis</w:t>
      </w:r>
      <w:proofErr w:type="spellEnd"/>
      <w:r w:rsidRPr="009D7D53">
        <w:rPr>
          <w:rFonts w:ascii="Times New Roman" w:hAnsi="Times New Roman" w:cs="Times New Roman"/>
          <w:sz w:val="24"/>
        </w:rPr>
        <w:t>-spring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org.mybatis.caches.mybatis-redis</w:t>
      </w:r>
      <w:proofErr w:type="spellEnd"/>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javax.servlet.servlet-api</w:t>
      </w:r>
      <w:proofErr w:type="spellEnd"/>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D44B05" w:rsidRPr="00D44B05" w:rsidRDefault="00E92768" w:rsidP="00D44B05">
      <w:pPr>
        <w:pStyle w:val="2"/>
        <w:spacing w:beforeLines="10" w:before="31" w:afterLines="10" w:after="31"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5A2CB3" w:rsidRPr="00EF58A5" w:rsidRDefault="005A2CB3" w:rsidP="005A2CB3">
      <w:pPr>
        <w:pStyle w:val="2"/>
        <w:spacing w:beforeLines="10" w:before="31" w:afterLines="10" w:after="31"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8" w:name="_Toc512705147"/>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8"/>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29"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29"/>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proofErr w:type="spellStart"/>
            <w:r w:rsidRPr="00B35898">
              <w:rPr>
                <w:rFonts w:ascii="Times New Roman" w:hAnsi="Times New Roman" w:cs="Times New Roman"/>
              </w:rPr>
              <w:t>bool</w:t>
            </w:r>
            <w:r w:rsidR="00B35898" w:rsidRPr="00B35898">
              <w:rPr>
                <w:rFonts w:ascii="Times New Roman" w:hAnsi="Times New Roman" w:cs="Times New Roman"/>
              </w:rPr>
              <w:t>ean</w:t>
            </w:r>
            <w:proofErr w:type="spellEnd"/>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7C6B8B" w:rsidRDefault="007C6B8B" w:rsidP="007C6B8B">
      <w:bookmarkStart w:id="31" w:name="_Toc512705150"/>
    </w:p>
    <w:p w:rsidR="007C6B8B" w:rsidRDefault="007C6B8B" w:rsidP="007C6B8B"/>
    <w:p w:rsidR="001E316A" w:rsidRDefault="001E316A" w:rsidP="007C6B8B"/>
    <w:p w:rsidR="00F7299F" w:rsidRPr="00EF58A5" w:rsidRDefault="00F7299F" w:rsidP="00F7299F">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1"/>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B5D84" w:rsidRPr="00EB5D84">
              <w:rPr>
                <w:rFonts w:ascii="Times New Roman" w:hAnsi="Times New Roman" w:cs="Times New Roman"/>
              </w:rPr>
              <w:t>List&lt;Map&lt;</w:t>
            </w:r>
            <w:proofErr w:type="spellStart"/>
            <w:r w:rsidR="00EB5D84" w:rsidRPr="00EB5D84">
              <w:rPr>
                <w:rFonts w:ascii="Times New Roman" w:hAnsi="Times New Roman" w:cs="Times New Roman"/>
              </w:rPr>
              <w:t>Integer,Integer</w:t>
            </w:r>
            <w:proofErr w:type="spellEnd"/>
            <w:r w:rsidR="00EB5D84" w:rsidRPr="00EB5D84">
              <w:rPr>
                <w:rFonts w:ascii="Times New Roman" w:hAnsi="Times New Roman" w:cs="Times New Roman"/>
              </w:rPr>
              <w:t>&gt;&gt;</w:t>
            </w:r>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2"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2"/>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453CE6" w:rsidRPr="00EB5D84">
              <w:rPr>
                <w:rFonts w:ascii="Times New Roman" w:hAnsi="Times New Roman" w:cs="Times New Roman"/>
              </w:rPr>
              <w:t>List&lt;Map&lt;</w:t>
            </w:r>
            <w:proofErr w:type="spellStart"/>
            <w:r w:rsidR="00453CE6" w:rsidRPr="00EB5D84">
              <w:rPr>
                <w:rFonts w:ascii="Times New Roman" w:hAnsi="Times New Roman" w:cs="Times New Roman"/>
              </w:rPr>
              <w:t>String,String</w:t>
            </w:r>
            <w:proofErr w:type="spellEnd"/>
            <w:r w:rsidR="00453CE6" w:rsidRPr="00EB5D84">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3"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sidRPr="005811B0">
              <w:rPr>
                <w:rFonts w:ascii="Times New Roman" w:hAnsi="Times New Roman" w:cs="Times New Roman"/>
              </w:rPr>
              <w:t>int</w:t>
            </w:r>
            <w:proofErr w:type="spellEnd"/>
            <w:r>
              <w:rPr>
                <w:rFonts w:hint="eastAsia"/>
              </w:rPr>
              <w:t>）</w:t>
            </w:r>
            <w:r w:rsidR="005811B0">
              <w:rPr>
                <w:rFonts w:hint="eastAsia"/>
              </w:rPr>
              <w:t>、操作（</w:t>
            </w:r>
            <w:proofErr w:type="spellStart"/>
            <w:r w:rsidR="005811B0" w:rsidRPr="005811B0">
              <w:rPr>
                <w:rFonts w:ascii="Times New Roman" w:hAnsi="Times New Roman" w:cs="Times New Roman"/>
              </w:rPr>
              <w:t>boolean</w:t>
            </w:r>
            <w:proofErr w:type="spellEnd"/>
            <w:r w:rsidR="005811B0" w:rsidRPr="005811B0">
              <w:rPr>
                <w:rFonts w:ascii="Times New Roman" w:hAnsi="Times New Roman" w:cs="Times New Roman"/>
              </w:rPr>
              <w:t>,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sidRPr="001A7DE1">
              <w:rPr>
                <w:rFonts w:ascii="Times New Roman" w:hAnsi="Times New Roman" w:cs="Times New Roman"/>
              </w:rPr>
              <w:t>int</w:t>
            </w:r>
            <w:proofErr w:type="spellEnd"/>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3B0E8C" w:rsidRPr="00EF58A5" w:rsidRDefault="003B0E8C" w:rsidP="003B0E8C">
      <w:pPr>
        <w:pStyle w:val="2"/>
        <w:spacing w:beforeLines="10" w:before="31" w:afterLines="10" w:after="31" w:line="240" w:lineRule="auto"/>
        <w:rPr>
          <w:rFonts w:ascii="黑体" w:eastAsia="黑体" w:hAnsi="黑体"/>
          <w:sz w:val="28"/>
        </w:rPr>
      </w:pPr>
      <w:bookmarkStart w:id="35" w:name="_Toc512705154"/>
      <w:r w:rsidRPr="00EF58A5">
        <w:rPr>
          <w:rFonts w:ascii="黑体" w:eastAsia="黑体" w:hAnsi="黑体" w:hint="eastAsia"/>
          <w:bCs w:val="0"/>
          <w:sz w:val="28"/>
        </w:rPr>
        <w:lastRenderedPageBreak/>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sidR="0085311B">
              <w:rPr>
                <w:rFonts w:hint="eastAsia"/>
              </w:rPr>
              <w:t>int</w:t>
            </w:r>
            <w:proofErr w:type="spellEnd"/>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453CE6" w:rsidRPr="001A7DE1">
              <w:rPr>
                <w:rFonts w:ascii="Times New Roman" w:hAnsi="Times New Roman" w:cs="Times New Roman"/>
              </w:rPr>
              <w:t>List&lt;Map&lt;</w:t>
            </w:r>
            <w:proofErr w:type="spellStart"/>
            <w:r w:rsidR="001A7DE1" w:rsidRPr="001A7DE1">
              <w:rPr>
                <w:rFonts w:ascii="Times New Roman" w:hAnsi="Times New Roman" w:cs="Times New Roman"/>
              </w:rPr>
              <w:t>int</w:t>
            </w:r>
            <w:r w:rsidR="00453CE6" w:rsidRPr="001A7DE1">
              <w:rPr>
                <w:rFonts w:ascii="Times New Roman" w:hAnsi="Times New Roman" w:cs="Times New Roman"/>
              </w:rPr>
              <w:t>,String</w:t>
            </w:r>
            <w:proofErr w:type="spellEnd"/>
            <w:r w:rsidR="00453CE6" w:rsidRPr="001A7DE1">
              <w:rPr>
                <w:rFonts w:ascii="Times New Roman" w:hAnsi="Times New Roman" w:cs="Times New Roman"/>
              </w:rPr>
              <w:t>&gt;&gt;</w:t>
            </w:r>
            <w:r>
              <w:rPr>
                <w:rFonts w:hint="eastAsia"/>
              </w:rPr>
              <w:t>）</w:t>
            </w:r>
          </w:p>
        </w:tc>
      </w:tr>
    </w:tbl>
    <w:p w:rsidR="00C249C4" w:rsidRPr="00EF58A5" w:rsidRDefault="00C249C4" w:rsidP="00C249C4">
      <w:pPr>
        <w:pStyle w:val="2"/>
        <w:spacing w:beforeLines="10" w:before="31" w:afterLines="10" w:after="31" w:line="240" w:lineRule="auto"/>
        <w:rPr>
          <w:rFonts w:ascii="黑体" w:eastAsia="黑体" w:hAnsi="黑体"/>
          <w:sz w:val="28"/>
        </w:rPr>
      </w:pPr>
      <w:bookmarkStart w:id="37"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7"/>
    </w:p>
    <w:tbl>
      <w:tblPr>
        <w:tblStyle w:val="a4"/>
        <w:tblW w:w="0" w:type="auto"/>
        <w:jc w:val="center"/>
        <w:tblLook w:val="04A0" w:firstRow="1" w:lastRow="0" w:firstColumn="1" w:lastColumn="0" w:noHBand="0" w:noVBand="1"/>
      </w:tblPr>
      <w:tblGrid>
        <w:gridCol w:w="1526"/>
        <w:gridCol w:w="6996"/>
      </w:tblGrid>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proofErr w:type="spellStart"/>
            <w:r w:rsidR="00C249C4">
              <w:rPr>
                <w:rFonts w:hint="eastAsia"/>
              </w:rPr>
              <w:t>int</w:t>
            </w:r>
            <w:proofErr w:type="spellEnd"/>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proofErr w:type="spellStart"/>
            <w:r w:rsidR="00C249C4">
              <w:rPr>
                <w:rFonts w:hint="eastAsia"/>
              </w:rPr>
              <w:t>int</w:t>
            </w:r>
            <w:proofErr w:type="spellEnd"/>
            <w:r w:rsidR="00C249C4">
              <w:rPr>
                <w:rFonts w:hint="eastAsia"/>
              </w:rPr>
              <w:t>）、转账金额（</w:t>
            </w:r>
            <w:r w:rsidR="00C249C4">
              <w:rPr>
                <w:rFonts w:hint="eastAsia"/>
              </w:rPr>
              <w:t>double</w:t>
            </w:r>
            <w:r w:rsidR="00C249C4">
              <w:rPr>
                <w:rFonts w:hint="eastAsia"/>
              </w:rPr>
              <w:t>）、交易类型（</w:t>
            </w:r>
            <w:proofErr w:type="spellStart"/>
            <w:r w:rsidR="00B35898" w:rsidRPr="00B35898">
              <w:rPr>
                <w:rFonts w:ascii="Times New Roman" w:hAnsi="Times New Roman" w:cs="Times New Roman"/>
              </w:rPr>
              <w:t>boolean</w:t>
            </w:r>
            <w:proofErr w:type="spellEnd"/>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w:t>
            </w:r>
            <w:bookmarkStart w:id="38" w:name="_GoBack"/>
            <w:bookmarkEnd w:id="38"/>
            <w:r>
              <w:rPr>
                <w:rFonts w:hint="eastAsia"/>
              </w:rPr>
              <w:t>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0213A" w:rsidRDefault="0060213A" w:rsidP="0060213A"/>
    <w:p w:rsidR="0060213A" w:rsidRDefault="0060213A" w:rsidP="0060213A"/>
    <w:p w:rsidR="0060213A" w:rsidRDefault="0060213A" w:rsidP="0060213A"/>
    <w:p w:rsidR="0060213A" w:rsidRDefault="0060213A" w:rsidP="0060213A"/>
    <w:p w:rsidR="0060213A" w:rsidRDefault="0060213A" w:rsidP="0060213A"/>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lastRenderedPageBreak/>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proofErr w:type="spellStart"/>
            <w:r w:rsidR="00B35898" w:rsidRPr="00B35898">
              <w:rPr>
                <w:rFonts w:ascii="Times New Roman" w:hAnsi="Times New Roman" w:cs="Times New Roman"/>
              </w:rPr>
              <w:t>boolean</w:t>
            </w:r>
            <w:proofErr w:type="spellEnd"/>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w:t>
      </w:r>
      <w:r w:rsidRPr="00AD528B">
        <w:rPr>
          <w:rFonts w:ascii="宋体" w:eastAsia="宋体" w:hAnsi="宋体" w:hint="eastAsia"/>
          <w:sz w:val="24"/>
          <w:szCs w:val="24"/>
        </w:rPr>
        <w:lastRenderedPageBreak/>
        <w:t>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C63" w:rsidRDefault="00F82C63" w:rsidP="00510087">
      <w:r>
        <w:separator/>
      </w:r>
    </w:p>
  </w:endnote>
  <w:endnote w:type="continuationSeparator" w:id="0">
    <w:p w:rsidR="00F82C63" w:rsidRDefault="00F82C63"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EndPr/>
    <w:sdtContent>
      <w:p w:rsidR="003B0E8C" w:rsidRDefault="003B0E8C">
        <w:pPr>
          <w:pStyle w:val="a7"/>
          <w:jc w:val="center"/>
        </w:pPr>
        <w:r>
          <w:fldChar w:fldCharType="begin"/>
        </w:r>
        <w:r>
          <w:instrText>PAGE   \* MERGEFORMAT</w:instrText>
        </w:r>
        <w:r>
          <w:fldChar w:fldCharType="separate"/>
        </w:r>
        <w:r w:rsidR="0007014B" w:rsidRPr="0007014B">
          <w:rPr>
            <w:noProof/>
            <w:lang w:val="zh-CN"/>
          </w:rPr>
          <w:t>9</w:t>
        </w:r>
        <w:r>
          <w:fldChar w:fldCharType="end"/>
        </w:r>
      </w:p>
    </w:sdtContent>
  </w:sdt>
  <w:p w:rsidR="003B0E8C" w:rsidRDefault="003B0E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C63" w:rsidRDefault="00F82C63" w:rsidP="00510087">
      <w:r>
        <w:separator/>
      </w:r>
    </w:p>
  </w:footnote>
  <w:footnote w:type="continuationSeparator" w:id="0">
    <w:p w:rsidR="00F82C63" w:rsidRDefault="00F82C63"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8C" w:rsidRDefault="003B0E8C"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7014B"/>
    <w:rsid w:val="000B6596"/>
    <w:rsid w:val="001079E0"/>
    <w:rsid w:val="00167AC9"/>
    <w:rsid w:val="001A58A1"/>
    <w:rsid w:val="001A7DE1"/>
    <w:rsid w:val="001E316A"/>
    <w:rsid w:val="00211EA1"/>
    <w:rsid w:val="0023043A"/>
    <w:rsid w:val="00246AAD"/>
    <w:rsid w:val="00257786"/>
    <w:rsid w:val="0029102E"/>
    <w:rsid w:val="002B3DE4"/>
    <w:rsid w:val="002E0C43"/>
    <w:rsid w:val="002E5E2E"/>
    <w:rsid w:val="003046F1"/>
    <w:rsid w:val="00315871"/>
    <w:rsid w:val="0037008D"/>
    <w:rsid w:val="003765F6"/>
    <w:rsid w:val="003A22B8"/>
    <w:rsid w:val="003B0E8C"/>
    <w:rsid w:val="003E5C1D"/>
    <w:rsid w:val="00411B5D"/>
    <w:rsid w:val="0042766F"/>
    <w:rsid w:val="00453CE6"/>
    <w:rsid w:val="004908D6"/>
    <w:rsid w:val="00510087"/>
    <w:rsid w:val="00511E24"/>
    <w:rsid w:val="00545547"/>
    <w:rsid w:val="005811B0"/>
    <w:rsid w:val="005A2CB3"/>
    <w:rsid w:val="005C49E6"/>
    <w:rsid w:val="0060213A"/>
    <w:rsid w:val="00614A4C"/>
    <w:rsid w:val="00633499"/>
    <w:rsid w:val="0063737A"/>
    <w:rsid w:val="00653CF2"/>
    <w:rsid w:val="00673370"/>
    <w:rsid w:val="006824D3"/>
    <w:rsid w:val="007811E6"/>
    <w:rsid w:val="007A0220"/>
    <w:rsid w:val="007B229B"/>
    <w:rsid w:val="007C6B8B"/>
    <w:rsid w:val="00806CD1"/>
    <w:rsid w:val="00813170"/>
    <w:rsid w:val="00825986"/>
    <w:rsid w:val="008517FB"/>
    <w:rsid w:val="0085311B"/>
    <w:rsid w:val="0086022E"/>
    <w:rsid w:val="008B525A"/>
    <w:rsid w:val="008C3903"/>
    <w:rsid w:val="008D3679"/>
    <w:rsid w:val="00932916"/>
    <w:rsid w:val="00974613"/>
    <w:rsid w:val="00980868"/>
    <w:rsid w:val="00997E57"/>
    <w:rsid w:val="009A2DD1"/>
    <w:rsid w:val="009D7D53"/>
    <w:rsid w:val="00A6120F"/>
    <w:rsid w:val="00AD528B"/>
    <w:rsid w:val="00AE5D98"/>
    <w:rsid w:val="00B358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86A7C"/>
    <w:rsid w:val="00DB17E2"/>
    <w:rsid w:val="00DC04CB"/>
    <w:rsid w:val="00DF4094"/>
    <w:rsid w:val="00E27F6F"/>
    <w:rsid w:val="00E50E7D"/>
    <w:rsid w:val="00E92768"/>
    <w:rsid w:val="00EB5D84"/>
    <w:rsid w:val="00EC1437"/>
    <w:rsid w:val="00EF6156"/>
    <w:rsid w:val="00F251FE"/>
    <w:rsid w:val="00F7299F"/>
    <w:rsid w:val="00F82C63"/>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3D925-7F56-4170-B126-92E6CF5D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1350</Words>
  <Characters>7701</Characters>
  <Application>Microsoft Office Word</Application>
  <DocSecurity>0</DocSecurity>
  <Lines>64</Lines>
  <Paragraphs>18</Paragraphs>
  <ScaleCrop>false</ScaleCrop>
  <Company> </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71</cp:revision>
  <cp:lastPrinted>2018-04-21T13:52:00Z</cp:lastPrinted>
  <dcterms:created xsi:type="dcterms:W3CDTF">2018-04-21T08:11:00Z</dcterms:created>
  <dcterms:modified xsi:type="dcterms:W3CDTF">2018-04-30T08:55:00Z</dcterms:modified>
</cp:coreProperties>
</file>