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3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07C8A"/>
                <w:sz w:val="44"/>
                <w:szCs w:val="44"/>
              </w:rPr>
              <w:t xml:space="preserve">PROPMETRIK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color w:val="D0DDE3"/>
                <w:spacing w:val="200"/>
                <w:sz w:val="22"/>
                <w:szCs w:val="22"/>
              </w:rPr>
              <w:t xml:space="preserve">R E S E A R C H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Simplified Publication Architecture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color w:val="D0DDE3"/>
                <w:sz w:val="22"/>
                <w:szCs w:val="22"/>
              </w:rPr>
              <w:t xml:space="preserve">Two Products. One Weekly. Three Cadences.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Revised February 2026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The Simplified Model: Two Publication Products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Your existing architecture lists 15+ separate publication titles across 6 cadences — creating production overhead, audience confusion, and a fragmented website experience. The revised model collapses everything into two clearly defined products that together cover all your analytics, all your content, and all your cadences.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1</w:t>
            </w:r>
          </w:p>
        </w:tc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2</w:t>
            </w:r>
          </w:p>
        </w:tc>
      </w:tr>
      <w:tr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3"/>
                <w:sz w:val="24"/>
                <w:szCs w:val="24"/>
              </w:rPr>
              <w:t xml:space="preserve">Ghana Real Estate Outlook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The Comprehensive Report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Published Monthly, Quarterly &amp; Annually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B1F33"/>
                <w:sz w:val="18"/>
                <w:szCs w:val="18"/>
              </w:rPr>
              <w:t xml:space="preserve">A single branded report product in three editions. All your analytics, indices, sector data, and forecasts — combined into one authoritative publication at each cadence.</w:t>
            </w:r>
          </w:p>
        </w:tc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3"/>
                <w:sz w:val="24"/>
                <w:szCs w:val="24"/>
              </w:rPr>
              <w:t xml:space="preserve">Ghana Property Snapshot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The Weekly Market Brief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Published Every Monday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B1F33"/>
                <w:sz w:val="18"/>
                <w:szCs w:val="18"/>
              </w:rPr>
              <w:t xml:space="preserve">A lean, scannable weekly brief. One lead article or market story, key data updates from that week, and a curated chart. Keeps your audience engaged between the big reports.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Product 1 — Ghana Real Estate Outlook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The Comprehensive Report: Monthly · Quarterly · Annual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One report name. Three editions distinguished only by depth and cadence. A reader who receives the Monthly Outlook knows exactly what to expect. When they receive the Quarterly, it is the same familiar product — just broader and deeper. The Annual is the definitive edition of the same publication, not a separate title.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Edition</w:t>
            </w:r>
          </w:p>
        </w:tc>
        <w:tc>
          <w:tcPr>
            <w:tcW w:type="dxa" w:w="24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1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1st of each month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8–14 pages. All indices refreshed. National snapshot with key sector moves. 3-month outlook.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Subscribers, journalists, general professional</w:t>
            </w:r>
          </w:p>
        </w:tc>
      </w:tr>
      <w:tr>
        <w:tc>
          <w:tcPr>
            <w:tcW w:type="dxa" w:w="1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Quarterly</w:t>
            </w:r>
          </w:p>
        </w:tc>
        <w:tc>
          <w:tcPr>
            <w:tcW w:type="dxa" w:w="24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Jan · Apr · Jul · Oct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20–30 pages. Deep sector analysis, regional breakdowns, investment outlook, risk matrix.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Institutional investors, banks, fund managers, government</w:t>
            </w:r>
          </w:p>
        </w:tc>
      </w:tr>
      <w:tr>
        <w:tc>
          <w:tcPr>
            <w:tcW w:type="dxa" w:w="1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D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19"/>
                <w:szCs w:val="19"/>
              </w:rPr>
              <w:t xml:space="preserve">Annual</w:t>
            </w:r>
          </w:p>
        </w:tc>
        <w:tc>
          <w:tcPr>
            <w:tcW w:type="dxa" w:w="24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D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January (full-year edition)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D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50–80 pages. Full-year review, 10-year ML forecast, Ghana Horizons regional benchmarking, wealth &amp; luxury appendix.</w:t>
            </w:r>
          </w:p>
        </w:tc>
        <w:tc>
          <w:tcPr>
            <w:tcW w:type="dxa" w:w="2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D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Board-level, embassies, international institutions, media</w:t>
            </w:r>
          </w:p>
        </w:tc>
      </w:tr>
    </w:tbl>
    <w:p>
      <w:pPr>
        <w:spacing w:after="2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Report Structure — All Three Editions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All three editions share the same section architecture. Monthly editions include all sections in concise form. Quarterly editions expand each section with deeper analysis. The Annual adds two exclusive appendices.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 — What It Contains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Executive Summary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3–5 key findings. Biggest data move of the period. At-a-glance index dashboard (GHPI, CCI, GHAI, GCPI, PSI). Investment thesis in 3 paragraphs.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Macroeconomic Context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GDP growth, inflation, GHS/USD, Bank of Ghana policy rate. How macro conditions are moving real estate. Auto-pulled from BoG and GSS APIs.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Residential Market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Ghana House Price Index (GHPI) update. Sales and rental price trends by region. Affordability (GHAI). Mortgage market. New supply pipeline.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Commercial Market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Office vacancy rates and prime rents. Retail performance. Co-working uptake. Ghana Commercial Property Index (GCPI) update.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Construction &amp; Development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Construction Cost Index (CCI) — materials, labour, overhead. Building permits issued. Active development pipeline. Regional project tracker.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Investment &amp; Capital Markets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Transaction volumes. Yield benchmarks. FDI flows. Diaspora Investment Index (DII). Capital Markets Review. Cap Rate Tracker.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Regional Snapshots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Accra · Kumasi · Takoradi: each city gets a 1-page data panel — prices, rents, vacancy, construction activity, investment highlights, 3-month outlook.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Risk &amp; Resilience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Ghana Property Risk Score (GPRS) by region. Title security, flood risk, regulatory outlook. Best/Base/Worst scenario matrix.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Outlook &amp; Forecasts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6-month forward view (Monthly). 12-month with sector projections (Quarterly). ML-powered 10-year price forecast (Annual only).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Methodology &amp; Disclaimer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Index methodologies, data sources, confidence intervals, RICS compliance note, legal disclaimer.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3E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B1F33"/>
                <w:sz w:val="21"/>
                <w:szCs w:val="21"/>
              </w:rPr>
              <w:t xml:space="preserve">Annual Edition — Two Exclusive Appendices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63E"/>
                <w:sz w:val="19"/>
                <w:szCs w:val="19"/>
              </w:rPr>
              <w:t xml:space="preserve">Appendix A — Ghana Horizons: Pan-African Benchmarking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0B1F33"/>
                <w:sz w:val="18"/>
                <w:szCs w:val="18"/>
              </w:rPr>
              <w:t xml:space="preserve">Ghana's performance benchmarked against Nigeria, Kenya, South Africa, and Côte d'Ivoire. Diaspora capital flow analysis. International investor positioning. Designed for development finance institutions and global fund managers.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63E"/>
                <w:sz w:val="19"/>
                <w:szCs w:val="19"/>
              </w:rPr>
              <w:t xml:space="preserve">Appendix B — Wealth &amp; Luxury Property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B1F33"/>
                <w:sz w:val="18"/>
                <w:szCs w:val="18"/>
              </w:rPr>
              <w:t xml:space="preserve">Premium residential market analysis. High-net-worth buyer profiles. Luxury price bands by neighbourhood. HNWI investment patterns. PropTech &amp; innovation commentary.</w:t>
            </w:r>
          </w:p>
        </w:tc>
      </w:tr>
    </w:tbl>
    <w:p>
      <w:pPr>
        <w:spacing w:after="2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What This Replaces — Consolidation Map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The following publications from the original architecture are absorbed into the Ghana Real Estate Outlook. Nothing is lost — all the data and analysis is preserved, simply delivered inside one coherent product instead of as separate files.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Publication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Cadence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Now Lives In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Property Snapshot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01 — Executive Summary (Monthly edition)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Real Estate Perspective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Full Monthly Outlook edition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Construction Cost Index (CCI) Update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05 — Construction &amp; Development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Regional MarketBeats (Accra/Kumasi/Takoradi)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07 — Regional Snapshots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Housing Affordability Report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03 — Residential Market (Quarterly edition)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Capital Markets Review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06 — Investment &amp; Capital Markets (Quarterly)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Investment Forecast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09 — Outlook &amp; Forecasts (Quarterly edition)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Quarterly Outlook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Full Quarterly Outlook edition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Real Estate Investment Forecast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Section 06 &amp; 09 expanded (Q2 &amp; Q4 editions)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Real Estate Market Outlook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Annual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Full Annual edition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Horizons Report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Annual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Annual Appendix A — Ghana Horizons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Wealth &amp; Luxury Report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Annual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Annual Appendix B — Wealth &amp; Luxury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Ghana PropTech &amp; Innovation Report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Annual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Annual Appendix B + Section 09 commentary</w:t>
            </w:r>
          </w:p>
        </w:tc>
      </w:tr>
      <w:tr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Policy Papers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Ad-hoc</w:t>
            </w:r>
          </w:p>
        </w:tc>
        <w:tc>
          <w:tcPr>
            <w:tcW w:type="dxa" w:w="3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Standalone downloads (not part of Outlook cadence)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Product 2 — Ghana Property Snapshot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The Weekly Brief: Every Monday 8AM GMT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The Snapshot is your high-frequency, always-on publication. It is short, scannable, and data-forward — designed to be read in under 5 minutes and to keep your audience engaged every week between the major report editions. Think of it as your weekly pulse on the Ghana property market.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8A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The Snapshot is NOT a mini version of the Outlook.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B1F33"/>
                <w:sz w:val="19"/>
                <w:szCs w:val="19"/>
              </w:rPr>
              <w:t xml:space="preserve">It is a distinct format: one focused angle per week — a single market story, chart, or data event — written tightly and distributed via email and web. It drives subscribers back to the full Outlook reports.</w:t>
            </w:r>
          </w:p>
        </w:tc>
      </w:tr>
    </w:tbl>
    <w:p>
      <w:pPr>
        <w:spacing w:after="20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Snapshot Structure — Fixed Every Week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The Snapshot uses a locked template. Every edition is identical in structure so readers always know where to look. Total length: 400–600 words plus charts.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 — Fixed Template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This Week's Lead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One market story or data event. Could be a CCI move, a major transaction, a policy announcement, or a trend emerging from the data. Written as a 200-word article with a single chart.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Index Pulse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A 4-cell data panel showing the week's most-moved indices: GHPI, CCI, PSI (Sentiment), and one rotating index. Each cell shows: current value, weekly change, and a 4-week sparkline.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Chart of the Week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One standout chart pulled from the analytics engine. Could be a price heatmap, a CCI regional comparison, an affordability trend, or a forecast cone. 2-sentence AI-written caption.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What to Watch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Three bullet points. Upcoming data releases, policy decisions, or market events that readers should track in the coming week. Written in plain language — no jargon.</w:t>
            </w:r>
          </w:p>
        </w:tc>
      </w:tr>
      <w:tr>
        <w:tc>
          <w:tcPr>
            <w:tcW w:type="dxa" w:w="6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From the Archive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8"/>
                <w:szCs w:val="18"/>
              </w:rPr>
              <w:t xml:space="preserve">A one-line teaser linking back to the most relevant Outlook report or article. Drives report readership. Rotated editorially.</w:t>
            </w:r>
          </w:p>
        </w:tc>
      </w:tr>
    </w:tbl>
    <w:p>
      <w:pPr>
        <w:spacing w:after="2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Weekly Content Logic — What Gets Featured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The Snapshot rotates its lead focus across the week's data cycle so that no two consecutive editions feel repetitive. The following rotation is the default — it can be overridden whenever a significant market event demands coverage.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Focus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Data Source / Trigger</w:t>
            </w:r>
          </w:p>
        </w:tc>
      </w:tr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Construction &amp; Costs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Fresh CCI update (published 5th of month). Materials, labour, overhead moves. Development pipeline.</w:t>
            </w:r>
          </w:p>
        </w:tc>
      </w:tr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Residential Market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GHPI update, rental price trends, affordability data from GHAI. Housing supply pipeline.</w:t>
            </w:r>
          </w:p>
        </w:tc>
      </w:tr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Investment &amp; Capital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Transaction volumes, yield moves, cap rate tracker, diaspora flows, FDI signals.</w:t>
            </w:r>
          </w:p>
        </w:tc>
      </w:tr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Economy &amp; Outlook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Macro indicators: BoG rate, GHS/USD, inflation. Sentiment Index (PSI). Forward-looking commentary.</w:t>
            </w:r>
          </w:p>
        </w:tc>
      </w:tr>
      <w:tr>
        <w:tc>
          <w:tcPr>
            <w:tcW w:type="dxa" w:w="1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Ad-hoc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Breaking Market Event</w:t>
            </w:r>
          </w:p>
        </w:tc>
        <w:tc>
          <w:tcPr>
            <w:tcW w:type="dxa" w:w="5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Major transaction, policy announcement, index spike, or data anomaly triggers an immediate Snapshot.</w:t>
            </w:r>
          </w:p>
        </w:tc>
      </w:tr>
    </w:tbl>
    <w:p>
      <w:pPr>
        <w:spacing w:after="32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Publication Calendar — Full Year View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With two products across four cadences, the annual schedule is predictable and manageable. The calendar below shows every publication event in a typical year.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000"/>
        <w:gridCol w:w="2360"/>
      </w:tblGrid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Snapshots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Quarterly Outlook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Outlook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January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Q4 Quarterly Edition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19"/>
                <w:szCs w:val="19"/>
              </w:rPr>
              <w:t xml:space="preserve">✦ Full Annual Edition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February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March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April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Q1 Quarterly Edition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May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June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July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Q2 Quarterly Edition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August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September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October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Q3 Quarterly Edition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November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December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4–5 editions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</w:t>
            </w:r>
          </w:p>
        </w:tc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0DDE3"/>
                <w:sz w:val="19"/>
                <w:szCs w:val="19"/>
              </w:rPr>
              <w:t xml:space="preserve">—</w:t>
            </w:r>
          </w:p>
        </w:tc>
        <w:tc>
          <w:tcPr>
            <w:tcW w:type="dxa" w:w="2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C8A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B1F33"/>
                <w:sz w:val="20"/>
                <w:szCs w:val="20"/>
              </w:rPr>
              <w:t xml:space="preserve">Total annual publications: ~65 items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6070"/>
                <w:sz w:val="19"/>
                <w:szCs w:val="19"/>
              </w:rPr>
              <w:t xml:space="preserve">52 Weekly Snapshots  ·  12 Monthly Outlooks  ·  4 Quarterly Outlooks  ·  1 Annual Outlook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What Stays Separate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Publications Outside the Two-Product Model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Three content types do not fold into the Outlook or the Snapshot. They have distinct audiences, irregular cadences, or require human initiation, so they sit outside the automated publication cycle.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4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Stays Separate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Policy Papers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Ad-hoc</w:t>
            </w:r>
          </w:p>
        </w:tc>
        <w:tc>
          <w:tcPr>
            <w:tcW w:type="dxa" w:w="4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Commissioned or event-driven. Formal PDF format for government and BoG. Cannot be auto-generated from market data alone — requires analyst authorship and institutional framing.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Press Releases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Ad-hoc</w:t>
            </w:r>
          </w:p>
        </w:tc>
        <w:tc>
          <w:tcPr>
            <w:tcW w:type="dxa" w:w="4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Company and product announcements. Require human initiation and editorial approval. Live in the Press Room, not the Insights section.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Podcast — PropMetrik Perspectives</w:t>
            </w:r>
          </w:p>
        </w:tc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Weekly (Thursday)</w:t>
            </w:r>
          </w:p>
        </w:tc>
        <w:tc>
          <w:tcPr>
            <w:tcW w:type="dxa" w:w="49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19"/>
                <w:szCs w:val="19"/>
              </w:rPr>
              <w:t xml:space="preserve">Audio format with a distinct production workflow. Covers similar themes to the Snapshot but is a conversation, not a data report. Cross-references the weekly Snapshot for listener continuity.</w:t>
            </w:r>
          </w:p>
        </w:tc>
      </w:tr>
    </w:tbl>
    <w:p>
      <w:pPr>
        <w:spacing w:after="2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Indices — Embedded, Not Published Separately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Your nine proprietary indices (GHPI, GHAI, CCI, GCPI, GPRS, GMTI, PSI, DII, Cap Rate Tracker) are not standalone publications in this model. They feed into the reports.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Cadence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Appears In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Public-Facing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House Price Index (GHPI)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 § 03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Headline number on website + Snapshot Index Pulse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Construction Cost Index (CCI)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Monthly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Monthly Outlook § 05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Headline + Snapshot (Week 1 lead)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PropMetrik Sentiment Index (PSI)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Snapshot Index Pulse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Live ticker on website homepage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Housing Affordability (GHAI)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Quarterly Outlook § 03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Headline number + chart on /indices page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Commercial Property (GCPI)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Quarterly Outlook § 04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Headline + chart on /indices page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Property Risk Score (GPRS)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Quarterly Outlook § 08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Risk map on /indices page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Diaspora Investment Index (DII)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Quarterly Outlook § 06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Headline + chart on /indices page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Cap Rate Tracker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Q2 &amp; Q4 Outlook § 06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Chart on /indices page (Professional tier)</w:t>
            </w:r>
          </w:p>
        </w:tc>
      </w:tr>
      <w:tr>
        <w:tc>
          <w:tcPr>
            <w:tcW w:type="dxa" w:w="2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B1F33"/>
                <w:sz w:val="19"/>
                <w:szCs w:val="19"/>
              </w:rPr>
              <w:t xml:space="preserve">Ghana Market Transparency (GMTI)</w:t>
            </w:r>
          </w:p>
        </w:tc>
        <w:tc>
          <w:tcPr>
            <w:tcW w:type="dxa" w:w="18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Annual</w:t>
            </w:r>
          </w:p>
        </w:tc>
        <w:tc>
          <w:tcPr>
            <w:tcW w:type="dxa" w:w="21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7C8A"/>
                <w:sz w:val="19"/>
                <w:szCs w:val="19"/>
              </w:rPr>
              <w:t xml:space="preserve">Annual Outlook § 10</w:t>
            </w:r>
          </w:p>
        </w:tc>
        <w:tc>
          <w:tcPr>
            <w:tcW w:type="dxa" w:w="32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Full methodology paper (public download)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Website Navigation &amp; Footer — Revised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With two clear products, the website navigation collapses from a sprawling multi-tier menu into a clean, audience-legible structure. Visitors immediately understand what they can read and how often.</w:t>
      </w:r>
    </w:p>
    <w:p>
      <w:pPr>
        <w:spacing w:after="1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Main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Nav Item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B1F3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Sub-items &amp; Purpose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Insights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Latest (all recent publications feed) · Ghana Real Estate Outlook (report hub: Monthly / Quarterly / Annual) · Weekly Snapshot (archive + subscribe) · Indices &amp; Data (/indices live page)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Topics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Economics &amp; Policy · Investment &amp; Capital Markets · Affordability &amp; Housing · Construction &amp; Development · Sustainability &amp; ESG · PropTech · Urbanization · Diaspora · Risk · Wealth &amp; Luxury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Sectors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Residential Sales · Residential Lettings · Office · Retail · Industrial &amp; Logistics · Hospitality · Land · Infrastructure &amp; Mixed-Use · Healthcare &amp; Education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Data Terminal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Live Market Tickers · Price Heatmaps · Investment Analytics · Comparables · Index Dashboard (Professional subscribers)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Press &amp; Media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Press Releases · In the Media · Media Kit · Data for Journalists · Expert Commentary</w:t>
            </w:r>
          </w:p>
        </w:tc>
      </w:tr>
      <w:tr>
        <w:tc>
          <w:tcPr>
            <w:tcW w:type="dxa" w:w="200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C8A"/>
                <w:sz w:val="19"/>
                <w:szCs w:val="19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A6070"/>
                <w:sz w:val="19"/>
                <w:szCs w:val="19"/>
              </w:rPr>
              <w:t xml:space="preserve">Upcoming Webinars · Past Webinars · Podcast Archive (PropMetrik Perspectives)</w:t>
            </w:r>
          </w:p>
        </w:tc>
      </w:tr>
    </w:tbl>
    <w:p>
      <w:pPr>
        <w:spacing w:after="24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7C8A"/>
          <w:sz w:val="26"/>
          <w:szCs w:val="26"/>
        </w:rPr>
        <w:t xml:space="preserve">Footer Structure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The footer reflects the same two-product clarity. Visitors scanning the footer understand the full PROPMETRIK content offering in one glance.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C8A"/>
                <w:sz w:val="18"/>
                <w:szCs w:val="18"/>
              </w:rPr>
              <w:t xml:space="preserve">REPORTS &amp; RESEARCH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Ghana Real Estate Outlook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→ Monthly Edition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→ Quarterly Edition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A6070"/>
                <w:sz w:val="17"/>
                <w:szCs w:val="17"/>
              </w:rPr>
              <w:t xml:space="preserve">→ Annual Edition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Weekly Snapshot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Policy Papers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Podcast Archive</w:t>
            </w:r>
          </w:p>
        </w:tc>
        <w:tc>
          <w:tcPr>
            <w:tcW w:type="dxa" w:w="312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C8A"/>
                <w:sz w:val="18"/>
                <w:szCs w:val="18"/>
              </w:rPr>
              <w:t xml:space="preserve">DATA &amp; INDICES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House Price Index (GHPI)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Affordability Index (GHAI)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Construction Cost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Commercial Property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Property Risk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Sentiment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Diaspora Investment Index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API Access</w:t>
            </w:r>
          </w:p>
        </w:tc>
        <w:tc>
          <w:tcPr>
            <w:tcW w:type="dxa" w:w="312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5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C8A"/>
                <w:sz w:val="18"/>
                <w:szCs w:val="18"/>
              </w:rPr>
              <w:t xml:space="preserve">PRESS &amp; COMPANY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Press Releases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In the Media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Media Kit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Data for Journalists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About PROPMETRIK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Our Team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Methodology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B1F33"/>
                <w:sz w:val="17"/>
                <w:szCs w:val="17"/>
              </w:rPr>
              <w:t xml:space="preserve">Newsletter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D0DDE3"/>
                <w:sz w:val="17"/>
                <w:szCs w:val="17"/>
              </w:rPr>
              <w:t xml:space="preserve">© 2026 PROPMETRIK Research — Cedyn Group  ·  Ghana Real Estate Intelligence  ·  propmetrik.com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007C8A" w:sz="6"/>
        </w:pBdr>
        <w:spacing w:before="480" w:after="200"/>
      </w:pPr>
      <w:r>
        <w:rPr>
          <w:rFonts w:ascii="Arial" w:cs="Arial" w:eastAsia="Arial" w:hAnsi="Arial"/>
          <w:b/>
          <w:bCs/>
          <w:color w:val="0B1F33"/>
          <w:sz w:val="34"/>
          <w:szCs w:val="34"/>
        </w:rPr>
        <w:t xml:space="preserve">Summary — Before &amp; After</w:t>
      </w:r>
    </w:p>
    <w:p>
      <w:pPr>
        <w:spacing w:after="100"/>
      </w:pPr>
      <w:r>
        <w:rPr>
          <w:rFonts w:ascii="Arial" w:cs="Arial" w:eastAsia="Arial" w:hAnsi="Arial"/>
          <w:color w:val="0B1F33"/>
          <w:sz w:val="20"/>
          <w:szCs w:val="20"/>
        </w:rPr>
        <w:t xml:space="preserve">This table shows at a glance how the simplified model reduces production overhead while preserving every piece of content and analysis in your original architecture.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4A607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— Original Architecture</w:t>
            </w:r>
          </w:p>
        </w:tc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007C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— Simplified Two-Product Model</w:t>
            </w:r>
          </w:p>
        </w:tc>
      </w:tr>
      <w:tr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E0F2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15+ named publication titles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6 separate cadences to manage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Separate annual reports for PropTech, Wealth &amp; Luxury, Horizons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Separate quarterly titles for Capital Markets, Investment Forecast, GHAI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Separate monthly titles for CCI, MarketBeats, Snapshot, Perspective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Index updates published as standalone posts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Fragmented website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Audience confusion about what to read</w:t>
            </w:r>
          </w:p>
        </w:tc>
        <w:tc>
          <w:tcPr>
            <w:tcW w:type="dxa" w:w="4680"/>
            <w:tcBorders>
              <w:top w:val="single" w:color="D0DDE3" w:sz="1"/>
              <w:left w:val="single" w:color="D0DDE3" w:sz="1"/>
              <w:bottom w:val="single" w:color="D0DDE3" w:sz="1"/>
              <w:right w:val="single" w:color="D0DDE3" w:sz="1"/>
            </w:tcBorders>
            <w:shd w:fill="FD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2 named products — easy to brand, easy to promote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4 cadences: Weekly · Monthly · Quarterly · Annual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Annual appendices fold Horizons + Wealth into one edition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Quarterly editions absorb all quarterly sub-reports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Monthly editions absorb all monthly sub-reports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Indices surface as data panels inside reports + live /indices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Clean 6-item main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color w:val="0B1F33"/>
                <w:sz w:val="20"/>
                <w:szCs w:val="20"/>
              </w:rPr>
              <w:t xml:space="preserve">Reader always knows: read the Snapshot weekly, the Outlook monthly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63E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63E"/>
                <w:sz w:val="20"/>
                <w:szCs w:val="20"/>
              </w:rPr>
              <w:t xml:space="preserve">The north star:</w:t>
            </w:r>
            <w:r>
              <w:rPr>
                <w:rFonts w:ascii="Arial" w:cs="Arial" w:eastAsia="Arial" w:hAnsi="Arial"/>
                <w:color w:val="0B1F33"/>
                <w:sz w:val="19"/>
                <w:szCs w:val="19"/>
              </w:rPr>
              <w:t xml:space="preserve">  Every piece of data, every index, every sector analysis you produce feeds one of two places — the Ghana Real Estate Outlook or the Ghana Property Snapshot. Nothing is orphaned. Nothing is redundant.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DE3" w:sz="1"/>
      </w:pBdr>
      <w:spacing w:after="0"/>
      <w:jc w:val="right"/>
    </w:pPr>
    <w:r>
      <w:rPr>
        <w:rFonts w:ascii="Arial" w:cs="Arial" w:eastAsia="Arial" w:hAnsi="Arial"/>
        <w:color w:val="4A6070"/>
        <w:sz w:val="16"/>
        <w:szCs w:val="16"/>
      </w:rPr>
      <w:t xml:space="preserve">© 2026 PROPMETRIK — Confidential  |  Page </w:t>
    </w:r>
    <w:r>
      <w:rPr>
        <w:rFonts w:ascii="Arial" w:cs="Arial" w:eastAsia="Arial" w:hAnsi="Arial"/>
        <w:color w:val="4A6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8A" w:sz="3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007C8A"/>
        <w:sz w:val="16"/>
        <w:szCs w:val="16"/>
      </w:rPr>
      <w:t xml:space="preserve">PROPMETRIK RESEARCH</w:t>
    </w:r>
    <w:r>
      <w:rPr>
        <w:rFonts w:ascii="Arial" w:cs="Arial" w:eastAsia="Arial" w:hAnsi="Arial"/>
        <w:color w:val="D0DDE3"/>
        <w:sz w:val="16"/>
        <w:szCs w:val="16"/>
      </w:rPr>
      <w:t xml:space="preserve">  |  </w:t>
    </w:r>
    <w:r>
      <w:rPr>
        <w:rFonts w:ascii="Arial" w:cs="Arial" w:eastAsia="Arial" w:hAnsi="Arial"/>
        <w:color w:val="4A6070"/>
        <w:sz w:val="16"/>
        <w:szCs w:val="16"/>
      </w:rPr>
      <w:t xml:space="preserve">Publication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2026-02-20T21:38:13.301Z</dcterms:created>
  <dcterms:modified xsi:type="dcterms:W3CDTF">2026-02-20T21:38:13.302Z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