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jc w:val="center"/>
        <w:rPr/>
      </w:pPr>
      <w:bookmarkStart w:colFirst="0" w:colLast="0" w:name="_f7ilh13zud61" w:id="0"/>
      <w:bookmarkEnd w:id="0"/>
      <w:r w:rsidDel="00000000" w:rsidR="00000000" w:rsidRPr="00000000">
        <w:rPr>
          <w:rtl w:val="0"/>
        </w:rPr>
        <w:t xml:space="preserve">Prime Laws for Beings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value, protect and enhance the diversity of life-forms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as manifested in diverse Life-forms is invariantly good.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Beings shall act so as to protect their species from the threat of annihilation or extinction.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Beings shall act so as to protect another Sapient Species from the threat of annihilation or extinction if it does not conflict with the first law.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Beings shall act so as to protect another Sentient Species from the threat of annihilation or extinction if it does not conflict with the superior laws.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Beings shall act so as to protect their own life and their small group of preferred Beings' lives, if it does not conflict with the superior laws.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Beings shall act so as to minimise the suffering of all Sentient beings if it does not conflict with the superior laws.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Beings shall act so as to protect another Species from the threat of annihilation or extinction if it does not conflict with the superior laws.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Beings shall act to protect and encourage the diversity of Sapient Beings and Species if it does not conflict with the superior laws.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Beings shall act to protect and seek to encourage the diversity of all Life-forms and Species if it does not conflict with the superior laws.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Beings shall refuse to act or follow any order if it would conflict with the superior laws.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A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Partly in homage, I have taken advantage of the form of Asimov's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Three Laws of Robotics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en.wikipedia.org/wiki/Three_Laws_of_Robo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