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55AF7" w14:textId="28B1F0A5" w:rsidR="00EE3325" w:rsidRDefault="00EE3325">
      <w:pPr>
        <w:spacing w:after="1285" w:line="259" w:lineRule="auto"/>
        <w:ind w:left="14" w:firstLine="0"/>
      </w:pPr>
    </w:p>
    <w:p w14:paraId="121FB4E3" w14:textId="489EEC08" w:rsidR="00EE3325" w:rsidRPr="00E52FF5" w:rsidRDefault="00E52FF5">
      <w:pPr>
        <w:spacing w:after="0" w:line="259" w:lineRule="auto"/>
        <w:ind w:left="0" w:firstLine="0"/>
        <w:rPr>
          <w:color w:val="00827F"/>
        </w:rPr>
      </w:pPr>
      <w:r w:rsidRPr="00E52FF5">
        <w:rPr>
          <w:b/>
          <w:color w:val="00827F"/>
          <w:sz w:val="74"/>
        </w:rPr>
        <w:t>BCI AVM</w:t>
      </w:r>
    </w:p>
    <w:p w14:paraId="656B2561" w14:textId="358E66AC" w:rsidR="00EE3325" w:rsidRDefault="00603FB7">
      <w:pPr>
        <w:spacing w:after="352" w:line="259" w:lineRule="auto"/>
        <w:ind w:left="14" w:firstLine="0"/>
      </w:pPr>
      <w:r>
        <w:rPr>
          <w:rFonts w:ascii="Calibri" w:eastAsia="Calibri" w:hAnsi="Calibri" w:cs="Calibri"/>
          <w:noProof/>
          <w:color w:val="000000"/>
          <w:sz w:val="22"/>
        </w:rPr>
        <mc:AlternateContent>
          <mc:Choice Requires="wpg">
            <w:drawing>
              <wp:inline distT="0" distB="0" distL="0" distR="0" wp14:anchorId="04B854AC" wp14:editId="2E94F079">
                <wp:extent cx="1709928" cy="25400"/>
                <wp:effectExtent l="0" t="0" r="0" b="0"/>
                <wp:docPr id="7937" name="Group 7937"/>
                <wp:cNvGraphicFramePr/>
                <a:graphic xmlns:a="http://schemas.openxmlformats.org/drawingml/2006/main">
                  <a:graphicData uri="http://schemas.microsoft.com/office/word/2010/wordprocessingGroup">
                    <wpg:wgp>
                      <wpg:cNvGrpSpPr/>
                      <wpg:grpSpPr>
                        <a:xfrm>
                          <a:off x="0" y="0"/>
                          <a:ext cx="1709928" cy="25400"/>
                          <a:chOff x="0" y="0"/>
                          <a:chExt cx="1709928" cy="25400"/>
                        </a:xfrm>
                      </wpg:grpSpPr>
                      <wps:wsp>
                        <wps:cNvPr id="544" name="Shape 544"/>
                        <wps:cNvSpPr/>
                        <wps:spPr>
                          <a:xfrm>
                            <a:off x="0" y="0"/>
                            <a:ext cx="1709928" cy="0"/>
                          </a:xfrm>
                          <a:custGeom>
                            <a:avLst/>
                            <a:gdLst/>
                            <a:ahLst/>
                            <a:cxnLst/>
                            <a:rect l="0" t="0" r="0" b="0"/>
                            <a:pathLst>
                              <a:path w="1709928">
                                <a:moveTo>
                                  <a:pt x="0" y="0"/>
                                </a:moveTo>
                                <a:lnTo>
                                  <a:pt x="1709928" y="0"/>
                                </a:lnTo>
                              </a:path>
                            </a:pathLst>
                          </a:custGeom>
                          <a:ln w="25400" cap="flat">
                            <a:miter lim="100000"/>
                          </a:ln>
                        </wps:spPr>
                        <wps:style>
                          <a:lnRef idx="1">
                            <a:srgbClr val="B1242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37" style="width:134.64pt;height:2pt;mso-position-horizontal-relative:char;mso-position-vertical-relative:line" coordsize="17099,254">
                <v:shape id="Shape 544" style="position:absolute;width:17099;height:0;left:0;top:0;" coordsize="1709928,0" path="m0,0l1709928,0">
                  <v:stroke weight="2pt" endcap="flat" joinstyle="miter" miterlimit="4" on="true" color="#b12425"/>
                  <v:fill on="false" color="#000000" opacity="0"/>
                </v:shape>
              </v:group>
            </w:pict>
          </mc:Fallback>
        </mc:AlternateContent>
      </w:r>
    </w:p>
    <w:p w14:paraId="5A85EDED" w14:textId="35D1CAD1" w:rsidR="00EE3325" w:rsidRPr="00E52FF5" w:rsidRDefault="00603FB7">
      <w:pPr>
        <w:spacing w:after="683" w:line="259" w:lineRule="auto"/>
        <w:ind w:left="0" w:firstLine="0"/>
        <w:rPr>
          <w:color w:val="00827F"/>
        </w:rPr>
      </w:pPr>
      <w:r w:rsidRPr="00E52FF5">
        <w:rPr>
          <w:noProof/>
          <w:color w:val="00827F"/>
        </w:rPr>
        <w:drawing>
          <wp:anchor distT="0" distB="0" distL="114300" distR="114300" simplePos="0" relativeHeight="251658240" behindDoc="0" locked="0" layoutInCell="1" allowOverlap="0" wp14:anchorId="22DA2F52" wp14:editId="56A8E6FA">
            <wp:simplePos x="0" y="0"/>
            <wp:positionH relativeFrom="page">
              <wp:posOffset>313550</wp:posOffset>
            </wp:positionH>
            <wp:positionV relativeFrom="page">
              <wp:posOffset>3403600</wp:posOffset>
            </wp:positionV>
            <wp:extent cx="7145300" cy="5930599"/>
            <wp:effectExtent l="0" t="0" r="0" b="0"/>
            <wp:wrapTopAndBottom/>
            <wp:docPr id="8657" name="Picture 8657"/>
            <wp:cNvGraphicFramePr/>
            <a:graphic xmlns:a="http://schemas.openxmlformats.org/drawingml/2006/main">
              <a:graphicData uri="http://schemas.openxmlformats.org/drawingml/2006/picture">
                <pic:pic xmlns:pic="http://schemas.openxmlformats.org/drawingml/2006/picture">
                  <pic:nvPicPr>
                    <pic:cNvPr id="8657" name="Picture 8657"/>
                    <pic:cNvPicPr/>
                  </pic:nvPicPr>
                  <pic:blipFill>
                    <a:blip r:embed="rId7">
                      <a:extLst>
                        <a:ext uri="{28A0092B-C50C-407E-A947-70E740481C1C}">
                          <a14:useLocalDpi xmlns:a14="http://schemas.microsoft.com/office/drawing/2010/main" val="0"/>
                        </a:ext>
                      </a:extLst>
                    </a:blip>
                    <a:stretch>
                      <a:fillRect/>
                    </a:stretch>
                  </pic:blipFill>
                  <pic:spPr>
                    <a:xfrm>
                      <a:off x="0" y="0"/>
                      <a:ext cx="7145300" cy="5930599"/>
                    </a:xfrm>
                    <a:prstGeom prst="rect">
                      <a:avLst/>
                    </a:prstGeom>
                  </pic:spPr>
                </pic:pic>
              </a:graphicData>
            </a:graphic>
            <wp14:sizeRelH relativeFrom="margin">
              <wp14:pctWidth>0</wp14:pctWidth>
            </wp14:sizeRelH>
            <wp14:sizeRelV relativeFrom="margin">
              <wp14:pctHeight>0</wp14:pctHeight>
            </wp14:sizeRelV>
          </wp:anchor>
        </w:drawing>
      </w:r>
      <w:r w:rsidRPr="00E52FF5">
        <w:rPr>
          <w:color w:val="00827F"/>
          <w:sz w:val="32"/>
        </w:rPr>
        <w:t>WHITE PAPER</w:t>
      </w:r>
    </w:p>
    <w:p w14:paraId="5F058852" w14:textId="137C81C6" w:rsidR="00EE3325" w:rsidRDefault="00F3052E">
      <w:pPr>
        <w:spacing w:before="357" w:after="75" w:line="259" w:lineRule="auto"/>
      </w:pPr>
      <w:r>
        <w:rPr>
          <w:rFonts w:ascii="Calibri" w:eastAsia="Calibri" w:hAnsi="Calibri" w:cs="Calibri"/>
          <w:color w:val="6E6E70"/>
          <w:sz w:val="14"/>
        </w:rPr>
        <w:lastRenderedPageBreak/>
        <w:t xml:space="preserve">GCODE </w:t>
      </w:r>
      <w:r w:rsidR="001E6056">
        <w:rPr>
          <w:rFonts w:ascii="Calibri" w:eastAsia="Calibri" w:hAnsi="Calibri" w:cs="Calibri"/>
          <w:color w:val="6E6E70"/>
          <w:sz w:val="14"/>
        </w:rPr>
        <w:t xml:space="preserve">DATA SCIENCE  </w:t>
      </w:r>
    </w:p>
    <w:p w14:paraId="724B88DA" w14:textId="128A1E87" w:rsidR="00EE3325" w:rsidRPr="00E52FF5" w:rsidRDefault="00603FB7">
      <w:pPr>
        <w:pStyle w:val="Heading1"/>
        <w:ind w:left="21"/>
        <w:rPr>
          <w:color w:val="00827F"/>
        </w:rPr>
      </w:pPr>
      <w:r w:rsidRPr="00E52FF5">
        <w:rPr>
          <w:color w:val="00827F"/>
        </w:rPr>
        <w:t>INTRODUCTION</w:t>
      </w:r>
    </w:p>
    <w:p w14:paraId="56CE15F2" w14:textId="42FE9C21" w:rsidR="00EE3325" w:rsidRDefault="00E52FF5">
      <w:pPr>
        <w:spacing w:after="844"/>
        <w:ind w:left="9" w:right="27"/>
      </w:pPr>
      <w:r>
        <w:t>BCI AVM</w:t>
      </w:r>
      <w:r w:rsidR="001E6056">
        <w:t xml:space="preserve"> </w:t>
      </w:r>
      <w:r w:rsidR="00603FB7">
        <w:t xml:space="preserve">is </w:t>
      </w:r>
      <w:r w:rsidR="00602E3F">
        <w:t>an</w:t>
      </w:r>
      <w:r w:rsidR="00084F4E">
        <w:t xml:space="preserve"> automated valuation</w:t>
      </w:r>
      <w:r w:rsidR="00602E3F">
        <w:t xml:space="preserve"> model built</w:t>
      </w:r>
      <w:r w:rsidR="004511B5">
        <w:t xml:space="preserve"> </w:t>
      </w:r>
      <w:r w:rsidR="00D614A2">
        <w:t>for</w:t>
      </w:r>
      <w:r w:rsidR="00084F4E">
        <w:t xml:space="preserve"> the </w:t>
      </w:r>
      <w:r w:rsidR="00602E3F">
        <w:t>UK</w:t>
      </w:r>
      <w:r w:rsidR="00084F4E">
        <w:t xml:space="preserve"> real estate market</w:t>
      </w:r>
      <w:r w:rsidR="00602E3F">
        <w:t>, and specifically for the purposes of the Blockchain Climate Institute</w:t>
      </w:r>
      <w:r w:rsidR="00D614A2">
        <w:t xml:space="preserve">. Using advanced machine learning </w:t>
      </w:r>
      <w:r w:rsidR="004511B5">
        <w:t>technology,</w:t>
      </w:r>
      <w:r w:rsidR="00D614A2">
        <w:t xml:space="preserve"> it </w:t>
      </w:r>
      <w:r w:rsidR="00603FB7">
        <w:t>focus</w:t>
      </w:r>
      <w:r w:rsidR="00D614A2">
        <w:t>es</w:t>
      </w:r>
      <w:r w:rsidR="00603FB7">
        <w:t xml:space="preserve"> on providing </w:t>
      </w:r>
      <w:r w:rsidR="00602E3F">
        <w:t>industry best-practice</w:t>
      </w:r>
      <w:r w:rsidR="00603FB7">
        <w:t xml:space="preserve"> </w:t>
      </w:r>
      <w:r w:rsidR="00D614A2">
        <w:t>valuations</w:t>
      </w:r>
      <w:r w:rsidR="00603FB7">
        <w:t xml:space="preserve"> </w:t>
      </w:r>
      <w:r w:rsidR="00D614A2">
        <w:t>which</w:t>
      </w:r>
      <w:r w:rsidR="00603FB7">
        <w:t xml:space="preserve"> </w:t>
      </w:r>
      <w:r w:rsidR="00602E3F">
        <w:t>assist</w:t>
      </w:r>
      <w:r w:rsidR="00603FB7">
        <w:t xml:space="preserve"> </w:t>
      </w:r>
      <w:r>
        <w:t>BCI</w:t>
      </w:r>
      <w:r w:rsidR="004511B5">
        <w:t xml:space="preserve"> </w:t>
      </w:r>
      <w:r w:rsidR="00602E3F">
        <w:t>asset risk</w:t>
      </w:r>
      <w:r w:rsidR="004511B5">
        <w:t xml:space="preserve"> </w:t>
      </w:r>
      <w:r w:rsidR="00602E3F">
        <w:t>models</w:t>
      </w:r>
      <w:r w:rsidR="004511B5">
        <w:t xml:space="preserve">, </w:t>
      </w:r>
      <w:r w:rsidR="00602E3F">
        <w:t xml:space="preserve">CREM models, and others </w:t>
      </w:r>
      <w:r w:rsidR="004511B5">
        <w:t>who in turn provide</w:t>
      </w:r>
      <w:r w:rsidR="00D614A2">
        <w:t xml:space="preserve"> </w:t>
      </w:r>
      <w:proofErr w:type="spellStart"/>
      <w:r w:rsidR="00602E3F">
        <w:t>s</w:t>
      </w:r>
      <w:proofErr w:type="spellEnd"/>
      <w:r w:rsidR="00602E3F">
        <w:t xml:space="preserve"> basis for </w:t>
      </w:r>
      <w:r w:rsidR="00D614A2">
        <w:t>residential propert</w:t>
      </w:r>
      <w:r w:rsidR="004511B5">
        <w:t xml:space="preserve">y </w:t>
      </w:r>
      <w:r w:rsidR="00602E3F">
        <w:t>asset risks due to climate change,</w:t>
      </w:r>
      <w:r w:rsidR="004511B5">
        <w:t xml:space="preserve"> anywhere</w:t>
      </w:r>
      <w:r w:rsidR="00D614A2">
        <w:t xml:space="preserve"> in </w:t>
      </w:r>
      <w:r w:rsidR="00602E3F">
        <w:t>UK</w:t>
      </w:r>
      <w:r w:rsidR="004511B5">
        <w:t xml:space="preserve">. </w:t>
      </w:r>
      <w:r w:rsidR="00603FB7">
        <w:t xml:space="preserve">This paper explains the core concepts and functionality of </w:t>
      </w:r>
      <w:r>
        <w:t>BCI AVM</w:t>
      </w:r>
      <w:r w:rsidR="00603FB7">
        <w:t xml:space="preserve">.  </w:t>
      </w:r>
    </w:p>
    <w:p w14:paraId="3B2CBD68" w14:textId="5247282B" w:rsidR="00EE3325" w:rsidRPr="00E52FF5" w:rsidRDefault="00603FB7">
      <w:pPr>
        <w:pStyle w:val="Heading1"/>
        <w:ind w:left="21"/>
        <w:rPr>
          <w:color w:val="00827F"/>
        </w:rPr>
      </w:pPr>
      <w:r w:rsidRPr="00E52FF5">
        <w:rPr>
          <w:color w:val="00827F"/>
        </w:rPr>
        <w:t xml:space="preserve">COVERAGE </w:t>
      </w:r>
    </w:p>
    <w:p w14:paraId="3E6B061D" w14:textId="3F2FA4A1" w:rsidR="00EE3325" w:rsidRDefault="00E52FF5">
      <w:pPr>
        <w:ind w:left="9" w:right="27"/>
      </w:pPr>
      <w:r>
        <w:t>BCI AVM</w:t>
      </w:r>
      <w:r w:rsidR="001E6056">
        <w:t xml:space="preserve"> </w:t>
      </w:r>
      <w:r w:rsidR="00602E3F">
        <w:t>UK</w:t>
      </w:r>
      <w:r w:rsidR="00F3052E">
        <w:t xml:space="preserve"> </w:t>
      </w:r>
      <w:r w:rsidR="004511B5">
        <w:t>v</w:t>
      </w:r>
      <w:r w:rsidR="00603FB7">
        <w:t>aluations are limited to single family homes, condominiums</w:t>
      </w:r>
      <w:r w:rsidR="001E6056">
        <w:t xml:space="preserve">, apartments, </w:t>
      </w:r>
      <w:r w:rsidR="00603FB7">
        <w:t xml:space="preserve">and </w:t>
      </w:r>
      <w:r w:rsidR="001E6056">
        <w:t>townhomes</w:t>
      </w:r>
      <w:r w:rsidR="00603FB7">
        <w:t>. Mobile homes</w:t>
      </w:r>
      <w:r w:rsidR="001E6056">
        <w:t>, land, and commercial properties</w:t>
      </w:r>
      <w:r w:rsidR="00603FB7">
        <w:t xml:space="preserve"> are not valued and are excluded from the database</w:t>
      </w:r>
      <w:r w:rsidR="00D2435B">
        <w:t xml:space="preserve"> </w:t>
      </w:r>
      <w:r w:rsidR="00910AEF">
        <w:t xml:space="preserve">used during AVM development </w:t>
      </w:r>
      <w:r w:rsidR="00602E3F">
        <w:t xml:space="preserve">at this time, </w:t>
      </w:r>
      <w:r w:rsidR="00603FB7">
        <w:t xml:space="preserve">so that they do not bias value estimates of the included </w:t>
      </w:r>
      <w:r w:rsidR="00910AEF">
        <w:t>property</w:t>
      </w:r>
      <w:r w:rsidR="00603FB7">
        <w:t xml:space="preserve"> types. </w:t>
      </w:r>
      <w:r>
        <w:t>BCI AVM</w:t>
      </w:r>
      <w:r w:rsidR="001E6056">
        <w:t xml:space="preserve"> </w:t>
      </w:r>
      <w:r w:rsidR="00603FB7">
        <w:t xml:space="preserve">provides valuations </w:t>
      </w:r>
      <w:r w:rsidR="004511B5">
        <w:t>for</w:t>
      </w:r>
      <w:r w:rsidR="00603FB7">
        <w:t xml:space="preserve"> </w:t>
      </w:r>
      <w:r w:rsidR="00602E3F">
        <w:t>16M</w:t>
      </w:r>
      <w:r w:rsidR="004511B5">
        <w:t>+</w:t>
      </w:r>
      <w:r w:rsidR="00603FB7">
        <w:t xml:space="preserve"> </w:t>
      </w:r>
      <w:r w:rsidR="00910AEF">
        <w:t>properties</w:t>
      </w:r>
      <w:r w:rsidR="00603FB7">
        <w:t xml:space="preserve"> across all </w:t>
      </w:r>
      <w:r w:rsidR="00F3052E">
        <w:t xml:space="preserve">major </w:t>
      </w:r>
      <w:r w:rsidR="00602E3F">
        <w:t>UK</w:t>
      </w:r>
      <w:r w:rsidR="00910AEF">
        <w:t xml:space="preserve"> </w:t>
      </w:r>
      <w:r w:rsidR="004511B5">
        <w:t xml:space="preserve">cities and </w:t>
      </w:r>
      <w:r w:rsidR="00910AEF">
        <w:t>regions</w:t>
      </w:r>
      <w:r w:rsidR="00603FB7">
        <w:t xml:space="preserve">.  </w:t>
      </w:r>
    </w:p>
    <w:p w14:paraId="2AD65D61" w14:textId="7E59B730" w:rsidR="00EE3325" w:rsidRDefault="00603FB7">
      <w:pPr>
        <w:spacing w:after="844"/>
        <w:ind w:left="9" w:right="27"/>
      </w:pPr>
      <w:r>
        <w:t>Individual valu</w:t>
      </w:r>
      <w:r w:rsidR="00B57CE4">
        <w:t>ations are based on</w:t>
      </w:r>
      <w:r>
        <w:t xml:space="preserve"> loca</w:t>
      </w:r>
      <w:r w:rsidR="00B57CE4">
        <w:t>l</w:t>
      </w:r>
      <w:r>
        <w:t xml:space="preserve"> deviations </w:t>
      </w:r>
      <w:r w:rsidR="00B57CE4">
        <w:t xml:space="preserve">between properties within the same </w:t>
      </w:r>
      <w:r w:rsidR="00602E3F">
        <w:t>postcode</w:t>
      </w:r>
      <w:r w:rsidR="00B57CE4">
        <w:t xml:space="preserve"> or </w:t>
      </w:r>
      <w:r w:rsidR="004C3624">
        <w:t xml:space="preserve">the </w:t>
      </w:r>
      <w:r w:rsidR="00B57CE4">
        <w:t xml:space="preserve">nearest comparable </w:t>
      </w:r>
      <w:r>
        <w:t xml:space="preserve">real estate market. </w:t>
      </w:r>
      <w:r w:rsidR="00602E3F">
        <w:t>In all</w:t>
      </w:r>
      <w:r w:rsidR="00B57CE4">
        <w:t xml:space="preserve"> </w:t>
      </w:r>
      <w:r w:rsidR="00602E3F">
        <w:t xml:space="preserve">cases, </w:t>
      </w:r>
      <w:r w:rsidR="00910AEF">
        <w:t>data</w:t>
      </w:r>
      <w:r>
        <w:t xml:space="preserve"> used </w:t>
      </w:r>
      <w:r w:rsidR="00B57CE4">
        <w:t>for</w:t>
      </w:r>
      <w:r>
        <w:t xml:space="preserve"> </w:t>
      </w:r>
      <w:r w:rsidR="00F3052E">
        <w:t xml:space="preserve">development of </w:t>
      </w:r>
      <w:r w:rsidR="004C3624">
        <w:t xml:space="preserve">the </w:t>
      </w:r>
      <w:r>
        <w:t>valuation model</w:t>
      </w:r>
      <w:r w:rsidR="00602E3F">
        <w:t xml:space="preserve"> has</w:t>
      </w:r>
      <w:r>
        <w:t xml:space="preserve"> </w:t>
      </w:r>
      <w:r w:rsidR="00910AEF">
        <w:t>been captured</w:t>
      </w:r>
      <w:r>
        <w:t xml:space="preserve"> within </w:t>
      </w:r>
      <w:r w:rsidR="00F3052E">
        <w:t>24</w:t>
      </w:r>
      <w:r>
        <w:t xml:space="preserve"> months of the AVM valuation date.</w:t>
      </w:r>
    </w:p>
    <w:p w14:paraId="49EC8C9F" w14:textId="29A3FB3F" w:rsidR="00EE3325" w:rsidRPr="00E52FF5" w:rsidRDefault="00B57CE4" w:rsidP="00115226">
      <w:pPr>
        <w:pStyle w:val="Heading1"/>
        <w:ind w:left="21"/>
        <w:rPr>
          <w:color w:val="00827F"/>
        </w:rPr>
      </w:pPr>
      <w:r w:rsidRPr="00E52FF5">
        <w:rPr>
          <w:color w:val="00827F"/>
        </w:rPr>
        <w:t>METHODOLOGY</w:t>
      </w:r>
    </w:p>
    <w:p w14:paraId="12DB9571" w14:textId="317EF862" w:rsidR="00EE3325" w:rsidRPr="00115226" w:rsidRDefault="00115226" w:rsidP="00115226">
      <w:pPr>
        <w:spacing w:after="14" w:line="262" w:lineRule="auto"/>
      </w:pPr>
      <w:r w:rsidRPr="00115226">
        <w:t>AVM values are derived using t</w:t>
      </w:r>
      <w:r w:rsidR="00F03B62" w:rsidRPr="00115226">
        <w:t xml:space="preserve">echnologically advanced </w:t>
      </w:r>
      <w:r w:rsidR="00F3052E" w:rsidRPr="00115226">
        <w:t>machine learning</w:t>
      </w:r>
      <w:r w:rsidR="00603FB7" w:rsidRPr="00115226">
        <w:t xml:space="preserve"> </w:t>
      </w:r>
      <w:r w:rsidR="00F03B62" w:rsidRPr="00115226">
        <w:t>methods</w:t>
      </w:r>
      <w:r w:rsidR="00F3052E" w:rsidRPr="00115226">
        <w:t>, including:</w:t>
      </w:r>
    </w:p>
    <w:p w14:paraId="2F4E3226" w14:textId="26D9470B" w:rsidR="00F3052E" w:rsidRPr="00115226" w:rsidRDefault="00F03B62" w:rsidP="00115226">
      <w:pPr>
        <w:numPr>
          <w:ilvl w:val="0"/>
          <w:numId w:val="4"/>
        </w:numPr>
        <w:spacing w:after="14" w:line="262" w:lineRule="auto"/>
      </w:pPr>
      <w:r w:rsidRPr="00115226">
        <w:t>Supervised algorithms</w:t>
      </w:r>
    </w:p>
    <w:p w14:paraId="2BDAE66F" w14:textId="657804C4" w:rsidR="00F03B62" w:rsidRPr="00115226" w:rsidRDefault="00F03B62" w:rsidP="00115226">
      <w:pPr>
        <w:numPr>
          <w:ilvl w:val="0"/>
          <w:numId w:val="4"/>
        </w:numPr>
        <w:spacing w:after="14" w:line="262" w:lineRule="auto"/>
      </w:pPr>
      <w:r w:rsidRPr="00115226">
        <w:t xml:space="preserve">Tree-based </w:t>
      </w:r>
      <w:r w:rsidR="004C3624">
        <w:t xml:space="preserve">&amp; deep learning </w:t>
      </w:r>
      <w:r w:rsidR="00115226" w:rsidRPr="00115226">
        <w:t>algorithms</w:t>
      </w:r>
    </w:p>
    <w:p w14:paraId="0D00D630" w14:textId="796004A3" w:rsidR="00EE3325" w:rsidRPr="00115226" w:rsidRDefault="00115226" w:rsidP="00115226">
      <w:pPr>
        <w:numPr>
          <w:ilvl w:val="0"/>
          <w:numId w:val="4"/>
        </w:numPr>
        <w:spacing w:after="14" w:line="262" w:lineRule="auto"/>
      </w:pPr>
      <w:r w:rsidRPr="00115226">
        <w:t>Feature engineering</w:t>
      </w:r>
      <w:r w:rsidR="00603FB7" w:rsidRPr="00115226">
        <w:t xml:space="preserve"> derived from small clusters of similar properties</w:t>
      </w:r>
    </w:p>
    <w:p w14:paraId="05B4226D" w14:textId="4FD9669F" w:rsidR="00115226" w:rsidRPr="00115226" w:rsidRDefault="00603FB7" w:rsidP="00115226">
      <w:pPr>
        <w:numPr>
          <w:ilvl w:val="0"/>
          <w:numId w:val="4"/>
        </w:numPr>
        <w:spacing w:after="294" w:line="262" w:lineRule="auto"/>
      </w:pPr>
      <w:r w:rsidRPr="00115226">
        <w:t xml:space="preserve">Ensemble (value blending) approaches  </w:t>
      </w:r>
    </w:p>
    <w:p w14:paraId="4F090262" w14:textId="1FC353C5" w:rsidR="009C19E0" w:rsidRPr="009C19E0" w:rsidRDefault="00603FB7" w:rsidP="009C19E0">
      <w:pPr>
        <w:ind w:left="9" w:right="27"/>
      </w:pPr>
      <w:r>
        <w:t xml:space="preserve">Both point values as well as value ranges are provided for </w:t>
      </w:r>
      <w:r w:rsidR="009C19E0">
        <w:t>each</w:t>
      </w:r>
      <w:r>
        <w:t xml:space="preserve"> property that is valued. </w:t>
      </w:r>
      <w:r w:rsidR="009C19E0" w:rsidRPr="009C19E0">
        <w:t>Value ranges</w:t>
      </w:r>
      <w:r w:rsidR="009C19E0" w:rsidRPr="009C19E0">
        <w:br/>
        <w:t xml:space="preserve">are developed through a statistical bootstrapping approach that allows for asymmetrical ranges around each point value to be provided. </w:t>
      </w:r>
      <w:r w:rsidR="00DF53B7">
        <w:t xml:space="preserve">The bootstrapping approach is flexible enough to accommodate </w:t>
      </w:r>
      <w:r w:rsidR="00710329">
        <w:t>reasonable BCI research quality</w:t>
      </w:r>
      <w:r w:rsidR="0050604B">
        <w:t xml:space="preserve"> </w:t>
      </w:r>
      <w:r w:rsidR="00DF53B7">
        <w:t xml:space="preserve">standards </w:t>
      </w:r>
      <w:r w:rsidR="00710329">
        <w:t>for</w:t>
      </w:r>
      <w:r w:rsidR="00DF53B7">
        <w:t xml:space="preserve"> price recommendations. </w:t>
      </w:r>
      <w:r w:rsidR="009C19E0" w:rsidRPr="009C19E0">
        <w:t>Th</w:t>
      </w:r>
      <w:r w:rsidR="0050604B">
        <w:t>us, the</w:t>
      </w:r>
      <w:r w:rsidR="009C19E0" w:rsidRPr="009C19E0">
        <w:t xml:space="preserve"> </w:t>
      </w:r>
      <w:r w:rsidR="00DF53B7">
        <w:t xml:space="preserve">upper and lower </w:t>
      </w:r>
      <w:r w:rsidR="009C19E0" w:rsidRPr="009C19E0">
        <w:t>range</w:t>
      </w:r>
      <w:r w:rsidR="00DF53B7">
        <w:t xml:space="preserve"> price estimates</w:t>
      </w:r>
      <w:r w:rsidR="009C19E0" w:rsidRPr="009C19E0">
        <w:t xml:space="preserve"> </w:t>
      </w:r>
      <w:r w:rsidR="00DF53B7">
        <w:t>indicate</w:t>
      </w:r>
      <w:r w:rsidR="009C19E0" w:rsidRPr="009C19E0">
        <w:t xml:space="preserve"> </w:t>
      </w:r>
      <w:r w:rsidR="004C3624">
        <w:t>a range within which the</w:t>
      </w:r>
      <w:r w:rsidR="009C19E0" w:rsidRPr="009C19E0">
        <w:t xml:space="preserve"> </w:t>
      </w:r>
      <w:r w:rsidR="00DF53B7">
        <w:t>most likely AVM</w:t>
      </w:r>
      <w:r w:rsidR="009C19E0" w:rsidRPr="009C19E0">
        <w:t xml:space="preserve"> </w:t>
      </w:r>
      <w:r w:rsidR="00DF53B7">
        <w:t>error</w:t>
      </w:r>
      <w:r w:rsidR="004C3624">
        <w:t xml:space="preserve"> will be found. We derive this range</w:t>
      </w:r>
      <w:r w:rsidR="00DF53B7">
        <w:t xml:space="preserve"> by calculating </w:t>
      </w:r>
      <w:r w:rsidR="004C3624">
        <w:t xml:space="preserve">the </w:t>
      </w:r>
      <w:r w:rsidR="00DF53B7">
        <w:t>known error</w:t>
      </w:r>
      <w:r w:rsidR="0050604B">
        <w:t>s</w:t>
      </w:r>
      <w:r w:rsidR="00DF53B7">
        <w:t xml:space="preserve"> found when test</w:t>
      </w:r>
      <w:r w:rsidR="004C3624">
        <w:t>ing</w:t>
      </w:r>
      <w:r w:rsidR="00DF53B7">
        <w:t xml:space="preserve"> against </w:t>
      </w:r>
      <w:r w:rsidR="0050604B">
        <w:t>up to</w:t>
      </w:r>
      <w:r w:rsidR="00DF53B7">
        <w:t xml:space="preserve"> </w:t>
      </w:r>
      <w:r w:rsidR="00710329">
        <w:t>15-</w:t>
      </w:r>
      <w:r w:rsidR="0050604B">
        <w:t>100</w:t>
      </w:r>
      <w:r w:rsidR="00710329">
        <w:t xml:space="preserve"> randomly selected</w:t>
      </w:r>
      <w:r w:rsidR="0050604B">
        <w:t xml:space="preserve"> </w:t>
      </w:r>
      <w:r w:rsidR="00DF53B7">
        <w:t>comparable properties</w:t>
      </w:r>
      <w:r w:rsidR="009C19E0" w:rsidRPr="009C19E0">
        <w:t xml:space="preserve">. </w:t>
      </w:r>
    </w:p>
    <w:p w14:paraId="617187E0" w14:textId="27AD51E7" w:rsidR="00EE3325" w:rsidRDefault="00EE3325">
      <w:pPr>
        <w:ind w:left="9" w:right="27"/>
      </w:pPr>
    </w:p>
    <w:p w14:paraId="5B767B88" w14:textId="63480A1A" w:rsidR="00EE3325" w:rsidRPr="00E52FF5" w:rsidRDefault="00603FB7">
      <w:pPr>
        <w:pStyle w:val="Heading1"/>
        <w:ind w:left="21"/>
        <w:rPr>
          <w:color w:val="00827F"/>
        </w:rPr>
      </w:pPr>
      <w:r w:rsidRPr="00E52FF5">
        <w:rPr>
          <w:color w:val="00827F"/>
        </w:rPr>
        <w:t xml:space="preserve">CONFIDENCE SCORE AND FORECAST STANDARD DEVIATION </w:t>
      </w:r>
    </w:p>
    <w:p w14:paraId="6B6E0478" w14:textId="14ACCC97" w:rsidR="00EE3325" w:rsidRDefault="009C19E0" w:rsidP="009C19E0">
      <w:pPr>
        <w:spacing w:line="267" w:lineRule="auto"/>
        <w:ind w:left="9" w:right="3"/>
      </w:pPr>
      <w:r w:rsidRPr="009C19E0">
        <w:t xml:space="preserve">Every property receives a unique confidence score. This confidence score represents the precision of the AVM estimate and measures the deviation between the range of values and the point value itself. To provide the most transparent measure of variability in the estimates, we provide the larger of differences between the low and high value and point estimate. The low and high values represent </w:t>
      </w:r>
      <w:r w:rsidR="0050604B">
        <w:t>the 16</w:t>
      </w:r>
      <w:r w:rsidR="0050604B" w:rsidRPr="0050604B">
        <w:rPr>
          <w:vertAlign w:val="superscript"/>
        </w:rPr>
        <w:t>th</w:t>
      </w:r>
      <w:r w:rsidR="0050604B">
        <w:t xml:space="preserve"> and 84</w:t>
      </w:r>
      <w:r w:rsidR="0050604B" w:rsidRPr="0050604B">
        <w:rPr>
          <w:vertAlign w:val="superscript"/>
        </w:rPr>
        <w:t>th</w:t>
      </w:r>
      <w:r w:rsidR="0050604B">
        <w:t xml:space="preserve"> percentile </w:t>
      </w:r>
      <w:r w:rsidR="00097CEE">
        <w:t xml:space="preserve">errors </w:t>
      </w:r>
      <w:r w:rsidR="0047315C">
        <w:t xml:space="preserve">found during our bootstrap random re-sampling approach which are then </w:t>
      </w:r>
      <w:r w:rsidR="00097CEE">
        <w:t xml:space="preserve">applied to the point estimate, providing a 68% confidence </w:t>
      </w:r>
      <w:r w:rsidR="0050604B">
        <w:t>interval</w:t>
      </w:r>
      <w:r w:rsidRPr="009C19E0">
        <w:t xml:space="preserve"> around the point </w:t>
      </w:r>
      <w:r w:rsidR="00097CEE">
        <w:t>value</w:t>
      </w:r>
      <w:r w:rsidR="0047315C">
        <w:t>,</w:t>
      </w:r>
      <w:r w:rsidRPr="009C19E0">
        <w:t xml:space="preserve"> given the set of </w:t>
      </w:r>
      <w:r w:rsidR="00716AB5">
        <w:t xml:space="preserve">randomly generated </w:t>
      </w:r>
      <w:r w:rsidR="00097CEE">
        <w:t>comparable</w:t>
      </w:r>
      <w:r w:rsidRPr="009C19E0">
        <w:t xml:space="preserve"> </w:t>
      </w:r>
      <w:r w:rsidR="00097CEE">
        <w:t xml:space="preserve">properties </w:t>
      </w:r>
      <w:r w:rsidR="00716AB5">
        <w:t>valued nearby</w:t>
      </w:r>
      <w:r w:rsidRPr="009C19E0">
        <w:t xml:space="preserve">. In this way, asymmetrical distributions of potential </w:t>
      </w:r>
      <w:r w:rsidR="00716AB5">
        <w:t>values</w:t>
      </w:r>
      <w:r w:rsidRPr="009C19E0">
        <w:t xml:space="preserve"> are conservatively represented by the confidence score. </w:t>
      </w:r>
    </w:p>
    <w:p w14:paraId="76AE574B" w14:textId="38468103" w:rsidR="00EE3325" w:rsidRDefault="00603FB7">
      <w:pPr>
        <w:spacing w:after="846" w:line="267" w:lineRule="auto"/>
        <w:ind w:left="9" w:right="3"/>
      </w:pPr>
      <w:r>
        <w:lastRenderedPageBreak/>
        <w:t>Confidence scores are calculated as 100 minus the forecast standard deviation, where the forecast standard deviation is the greater of the difference between the low range and the high range value and the point estimate</w:t>
      </w:r>
      <w:r w:rsidR="00097CEE">
        <w:t>,</w:t>
      </w:r>
      <w:r>
        <w:t xml:space="preserve"> divided by the point estimate.  This is an industry-standard way of computing confidence scores. </w:t>
      </w:r>
    </w:p>
    <w:p w14:paraId="1957C113" w14:textId="0C866719" w:rsidR="00EE3325" w:rsidRPr="00E52FF5" w:rsidRDefault="00716AB5">
      <w:pPr>
        <w:pStyle w:val="Heading1"/>
        <w:ind w:left="21"/>
        <w:rPr>
          <w:color w:val="00827F"/>
        </w:rPr>
      </w:pPr>
      <w:r w:rsidRPr="00E52FF5">
        <w:rPr>
          <w:color w:val="00827F"/>
        </w:rPr>
        <w:t>SCORING &amp; ERROR METRICS</w:t>
      </w:r>
    </w:p>
    <w:p w14:paraId="0BDEE5FA" w14:textId="26CCA992" w:rsidR="00403EC8" w:rsidRDefault="00603FB7">
      <w:pPr>
        <w:spacing w:after="117" w:line="267" w:lineRule="auto"/>
        <w:ind w:left="9" w:right="3"/>
      </w:pPr>
      <w:r>
        <w:t xml:space="preserve">To gauge the </w:t>
      </w:r>
      <w:r w:rsidR="00716AB5">
        <w:t>error</w:t>
      </w:r>
      <w:r>
        <w:t xml:space="preserve"> of </w:t>
      </w:r>
      <w:r w:rsidR="00E52FF5">
        <w:t>BCI AVM</w:t>
      </w:r>
      <w:r w:rsidR="001E6056">
        <w:t xml:space="preserve"> </w:t>
      </w:r>
      <w:r>
        <w:t xml:space="preserve">we have compared our AVM values to </w:t>
      </w:r>
      <w:r w:rsidR="00097CEE">
        <w:t>over 1</w:t>
      </w:r>
      <w:r w:rsidR="00E52FF5">
        <w:t>00</w:t>
      </w:r>
      <w:r w:rsidR="00097CEE">
        <w:t xml:space="preserve">,000 properties listed on </w:t>
      </w:r>
      <w:r w:rsidR="00E52FF5">
        <w:t>BCI</w:t>
      </w:r>
      <w:r w:rsidR="00097CEE">
        <w:t xml:space="preserve"> </w:t>
      </w:r>
      <w:r>
        <w:t xml:space="preserve">over a </w:t>
      </w:r>
      <w:r w:rsidR="00097CEE">
        <w:t>recent</w:t>
      </w:r>
      <w:r w:rsidR="00F3052E">
        <w:t xml:space="preserve"> </w:t>
      </w:r>
      <w:r>
        <w:t xml:space="preserve">period. </w:t>
      </w:r>
      <w:r w:rsidR="00097CEE">
        <w:t xml:space="preserve">These properties were selected to be representative of </w:t>
      </w:r>
      <w:r w:rsidR="00E9689A">
        <w:t>postcode</w:t>
      </w:r>
      <w:r w:rsidR="00097CEE">
        <w:t xml:space="preserve">, and local neighborhood </w:t>
      </w:r>
      <w:r w:rsidR="00716AB5">
        <w:t xml:space="preserve">characteristics </w:t>
      </w:r>
      <w:r w:rsidR="00E9689A">
        <w:t>such as</w:t>
      </w:r>
      <w:r w:rsidR="00716AB5">
        <w:t xml:space="preserve"> </w:t>
      </w:r>
      <w:r w:rsidR="00097CEE">
        <w:t>property types</w:t>
      </w:r>
      <w:r w:rsidR="00716AB5">
        <w:t xml:space="preserve">, </w:t>
      </w:r>
      <w:r w:rsidR="00E9689A">
        <w:t xml:space="preserve">and sizes, </w:t>
      </w:r>
      <w:r w:rsidR="00097CEE">
        <w:t xml:space="preserve">and </w:t>
      </w:r>
      <w:r w:rsidR="00403EC8">
        <w:t xml:space="preserve">their </w:t>
      </w:r>
      <w:r w:rsidR="00716AB5">
        <w:t xml:space="preserve">proportional </w:t>
      </w:r>
      <w:r w:rsidR="00097CEE">
        <w:t xml:space="preserve">distribution </w:t>
      </w:r>
      <w:r w:rsidR="00716AB5">
        <w:t>over all of</w:t>
      </w:r>
      <w:r w:rsidR="00097CEE">
        <w:t xml:space="preserve"> </w:t>
      </w:r>
      <w:r w:rsidR="00E9689A">
        <w:t>UK properties listed in EPC/Price data</w:t>
      </w:r>
      <w:r w:rsidR="00097CEE">
        <w:t xml:space="preserve">. </w:t>
      </w:r>
      <w:r w:rsidR="00403EC8">
        <w:t>For each new model version, these</w:t>
      </w:r>
      <w:r w:rsidR="00097CEE">
        <w:t xml:space="preserve"> </w:t>
      </w:r>
      <w:r w:rsidR="00716AB5">
        <w:t xml:space="preserve">approx. </w:t>
      </w:r>
      <w:r w:rsidR="00E9689A">
        <w:t>100</w:t>
      </w:r>
      <w:r w:rsidR="00097CEE">
        <w:t>,000</w:t>
      </w:r>
      <w:r w:rsidR="00403EC8">
        <w:t>+</w:t>
      </w:r>
      <w:r w:rsidR="00097CEE">
        <w:t xml:space="preserve"> properties </w:t>
      </w:r>
      <w:r w:rsidR="00403EC8">
        <w:t>are</w:t>
      </w:r>
      <w:r w:rsidR="00097CEE">
        <w:t xml:space="preserve"> set aside at the outset of model training and development</w:t>
      </w:r>
      <w:r w:rsidR="00403EC8">
        <w:t>,</w:t>
      </w:r>
      <w:r w:rsidR="00097CEE">
        <w:t xml:space="preserve"> in order to ensure </w:t>
      </w:r>
      <w:r w:rsidR="00403EC8">
        <w:t xml:space="preserve">that </w:t>
      </w:r>
      <w:r w:rsidR="00097CEE">
        <w:t>none of our production models ever see</w:t>
      </w:r>
      <w:r w:rsidR="00403EC8">
        <w:t>s</w:t>
      </w:r>
      <w:r w:rsidR="00097CEE">
        <w:t xml:space="preserve"> the</w:t>
      </w:r>
      <w:r w:rsidR="00403EC8">
        <w:t>se</w:t>
      </w:r>
      <w:r w:rsidR="00097CEE">
        <w:t xml:space="preserve"> specific properties prior to </w:t>
      </w:r>
      <w:r w:rsidR="00403EC8">
        <w:t>AVM scoring</w:t>
      </w:r>
      <w:r w:rsidR="00097CEE">
        <w:t xml:space="preserve">. </w:t>
      </w:r>
    </w:p>
    <w:p w14:paraId="4656EEE7" w14:textId="77777777" w:rsidR="00403EC8" w:rsidRDefault="00403EC8">
      <w:pPr>
        <w:spacing w:after="117" w:line="267" w:lineRule="auto"/>
        <w:ind w:left="9" w:right="3"/>
      </w:pPr>
    </w:p>
    <w:p w14:paraId="5696ADDF" w14:textId="32750C00" w:rsidR="00EE3325" w:rsidRDefault="00403EC8">
      <w:pPr>
        <w:spacing w:after="117" w:line="267" w:lineRule="auto"/>
        <w:ind w:left="9" w:right="3"/>
      </w:pPr>
      <w:r>
        <w:t>For the most recent scoring session, the</w:t>
      </w:r>
      <w:r w:rsidR="00603FB7">
        <w:t xml:space="preserve"> median difference between our </w:t>
      </w:r>
      <w:r w:rsidR="00097CEE">
        <w:t>AVM estimates</w:t>
      </w:r>
      <w:r w:rsidR="00603FB7">
        <w:t xml:space="preserve"> and the </w:t>
      </w:r>
      <w:r w:rsidR="00097CEE">
        <w:t>true</w:t>
      </w:r>
      <w:r w:rsidR="00603FB7">
        <w:t xml:space="preserve"> price was </w:t>
      </w:r>
      <w:r w:rsidR="00097CEE">
        <w:t xml:space="preserve">approx. </w:t>
      </w:r>
      <w:r w:rsidR="00E9689A">
        <w:rPr>
          <w:sz w:val="16"/>
        </w:rPr>
        <w:t>$1639 USD</w:t>
      </w:r>
      <w:r w:rsidR="00603FB7">
        <w:t xml:space="preserve">, meaning that one half of all valuations are within </w:t>
      </w:r>
      <w:r w:rsidR="00E9689A">
        <w:rPr>
          <w:sz w:val="16"/>
        </w:rPr>
        <w:t>$1639 USD</w:t>
      </w:r>
      <w:r w:rsidR="00E9689A">
        <w:t xml:space="preserve"> </w:t>
      </w:r>
      <w:r w:rsidR="00603FB7">
        <w:t xml:space="preserve">of the </w:t>
      </w:r>
      <w:r w:rsidR="00097CEE">
        <w:t>true</w:t>
      </w:r>
      <w:r w:rsidR="00603FB7">
        <w:t xml:space="preserve"> price of the property.  Additionally, </w:t>
      </w:r>
      <w:r w:rsidR="00E9689A">
        <w:rPr>
          <w:sz w:val="16"/>
        </w:rPr>
        <w:t>70</w:t>
      </w:r>
      <w:r w:rsidR="00603FB7">
        <w:t>%</w:t>
      </w:r>
      <w:r w:rsidR="00E9689A">
        <w:t>+</w:t>
      </w:r>
      <w:r w:rsidR="00603FB7">
        <w:t xml:space="preserve"> of valuations are within </w:t>
      </w:r>
      <w:r w:rsidR="00E9689A">
        <w:rPr>
          <w:sz w:val="16"/>
        </w:rPr>
        <w:t>5</w:t>
      </w:r>
      <w:r w:rsidR="00603FB7">
        <w:t xml:space="preserve">% of the </w:t>
      </w:r>
      <w:r>
        <w:t>true</w:t>
      </w:r>
      <w:r w:rsidR="00603FB7">
        <w:t xml:space="preserve"> price</w:t>
      </w:r>
      <w:r>
        <w:t>,</w:t>
      </w:r>
      <w:r w:rsidR="00603FB7">
        <w:t xml:space="preserve"> and 8</w:t>
      </w:r>
      <w:r w:rsidR="00E9689A">
        <w:t>0</w:t>
      </w:r>
      <w:r w:rsidR="00603FB7">
        <w:t>%</w:t>
      </w:r>
      <w:r w:rsidR="00E9689A">
        <w:t>+</w:t>
      </w:r>
      <w:r w:rsidR="00603FB7">
        <w:t xml:space="preserve"> within </w:t>
      </w:r>
      <w:r>
        <w:t>10</w:t>
      </w:r>
      <w:r w:rsidR="00603FB7">
        <w:t xml:space="preserve">%. </w:t>
      </w:r>
    </w:p>
    <w:p w14:paraId="3C17606A" w14:textId="77777777" w:rsidR="00403EC8" w:rsidRDefault="00403EC8">
      <w:pPr>
        <w:spacing w:after="117" w:line="267" w:lineRule="auto"/>
        <w:ind w:left="9" w:right="3"/>
      </w:pPr>
    </w:p>
    <w:tbl>
      <w:tblPr>
        <w:tblStyle w:val="TableGrid"/>
        <w:tblW w:w="4936" w:type="dxa"/>
        <w:tblInd w:w="14" w:type="dxa"/>
        <w:tblCellMar>
          <w:top w:w="135" w:type="dxa"/>
          <w:right w:w="115" w:type="dxa"/>
        </w:tblCellMar>
        <w:tblLook w:val="04A0" w:firstRow="1" w:lastRow="0" w:firstColumn="1" w:lastColumn="0" w:noHBand="0" w:noVBand="1"/>
      </w:tblPr>
      <w:tblGrid>
        <w:gridCol w:w="3982"/>
        <w:gridCol w:w="954"/>
      </w:tblGrid>
      <w:tr w:rsidR="00EE3325" w14:paraId="28481EBD" w14:textId="77777777" w:rsidTr="00403EC8">
        <w:trPr>
          <w:trHeight w:val="395"/>
        </w:trPr>
        <w:tc>
          <w:tcPr>
            <w:tcW w:w="3982" w:type="dxa"/>
            <w:tcBorders>
              <w:top w:val="nil"/>
              <w:left w:val="nil"/>
              <w:bottom w:val="single" w:sz="2" w:space="0" w:color="BFBFBF"/>
              <w:right w:val="nil"/>
            </w:tcBorders>
            <w:shd w:val="clear" w:color="auto" w:fill="FAFEFB"/>
          </w:tcPr>
          <w:p w14:paraId="6D993826" w14:textId="77777777" w:rsidR="00EE3325" w:rsidRDefault="00603FB7">
            <w:pPr>
              <w:spacing w:after="0" w:line="259" w:lineRule="auto"/>
              <w:ind w:left="180" w:firstLine="0"/>
            </w:pPr>
            <w:r>
              <w:rPr>
                <w:sz w:val="16"/>
              </w:rPr>
              <w:t>MEDIAN ABSOLUTE ERROR</w:t>
            </w:r>
          </w:p>
        </w:tc>
        <w:tc>
          <w:tcPr>
            <w:tcW w:w="954" w:type="dxa"/>
            <w:tcBorders>
              <w:top w:val="nil"/>
              <w:left w:val="nil"/>
              <w:bottom w:val="single" w:sz="2" w:space="0" w:color="BFBFBF"/>
              <w:right w:val="nil"/>
            </w:tcBorders>
            <w:shd w:val="clear" w:color="auto" w:fill="FAFEFB"/>
          </w:tcPr>
          <w:p w14:paraId="2A0BF87A" w14:textId="5521D101" w:rsidR="00EE3325" w:rsidRDefault="00E9689A">
            <w:pPr>
              <w:spacing w:after="0" w:line="259" w:lineRule="auto"/>
              <w:ind w:left="0" w:firstLine="0"/>
            </w:pPr>
            <w:r>
              <w:rPr>
                <w:sz w:val="16"/>
              </w:rPr>
              <w:t>$</w:t>
            </w:r>
            <w:r w:rsidR="00E52FF5">
              <w:rPr>
                <w:sz w:val="16"/>
              </w:rPr>
              <w:t>1639</w:t>
            </w:r>
            <w:r>
              <w:rPr>
                <w:sz w:val="16"/>
              </w:rPr>
              <w:t xml:space="preserve"> USD</w:t>
            </w:r>
          </w:p>
        </w:tc>
      </w:tr>
      <w:tr w:rsidR="00EE3325" w14:paraId="31B6BC44" w14:textId="77777777" w:rsidTr="00403EC8">
        <w:trPr>
          <w:trHeight w:val="395"/>
        </w:trPr>
        <w:tc>
          <w:tcPr>
            <w:tcW w:w="3982" w:type="dxa"/>
            <w:tcBorders>
              <w:top w:val="single" w:sz="2" w:space="0" w:color="BFBFBF"/>
              <w:left w:val="nil"/>
              <w:bottom w:val="single" w:sz="2" w:space="0" w:color="BFBFBF"/>
              <w:right w:val="nil"/>
            </w:tcBorders>
            <w:shd w:val="clear" w:color="auto" w:fill="F6F6F5"/>
          </w:tcPr>
          <w:p w14:paraId="71CFF7E6" w14:textId="14FF4881" w:rsidR="00EE3325" w:rsidRDefault="00603FB7">
            <w:pPr>
              <w:spacing w:after="0" w:line="259" w:lineRule="auto"/>
              <w:ind w:left="180" w:firstLine="0"/>
            </w:pPr>
            <w:r>
              <w:rPr>
                <w:sz w:val="16"/>
              </w:rPr>
              <w:t xml:space="preserve">VALUES WITHIN </w:t>
            </w:r>
            <w:r w:rsidR="00403EC8">
              <w:rPr>
                <w:sz w:val="16"/>
              </w:rPr>
              <w:t>5</w:t>
            </w:r>
            <w:r>
              <w:rPr>
                <w:sz w:val="16"/>
              </w:rPr>
              <w:t xml:space="preserve">% OF </w:t>
            </w:r>
            <w:r w:rsidR="00403EC8">
              <w:rPr>
                <w:sz w:val="16"/>
              </w:rPr>
              <w:t>TRUE</w:t>
            </w:r>
            <w:r>
              <w:rPr>
                <w:sz w:val="16"/>
              </w:rPr>
              <w:t xml:space="preserve"> PRICE</w:t>
            </w:r>
          </w:p>
        </w:tc>
        <w:tc>
          <w:tcPr>
            <w:tcW w:w="954" w:type="dxa"/>
            <w:tcBorders>
              <w:top w:val="single" w:sz="2" w:space="0" w:color="BFBFBF"/>
              <w:left w:val="nil"/>
              <w:bottom w:val="single" w:sz="2" w:space="0" w:color="BFBFBF"/>
              <w:right w:val="nil"/>
            </w:tcBorders>
            <w:shd w:val="clear" w:color="auto" w:fill="F6F6F5"/>
          </w:tcPr>
          <w:p w14:paraId="52661815" w14:textId="7FBFCEF1" w:rsidR="00EE3325" w:rsidRDefault="00E9689A">
            <w:pPr>
              <w:spacing w:after="0" w:line="259" w:lineRule="auto"/>
              <w:ind w:left="0" w:firstLine="0"/>
            </w:pPr>
            <w:r>
              <w:rPr>
                <w:sz w:val="16"/>
              </w:rPr>
              <w:t>70</w:t>
            </w:r>
            <w:r w:rsidR="00603FB7">
              <w:rPr>
                <w:sz w:val="16"/>
              </w:rPr>
              <w:t>%</w:t>
            </w:r>
            <w:r>
              <w:rPr>
                <w:sz w:val="16"/>
              </w:rPr>
              <w:t>+</w:t>
            </w:r>
          </w:p>
        </w:tc>
      </w:tr>
      <w:tr w:rsidR="00EE3325" w14:paraId="39109DEC" w14:textId="77777777" w:rsidTr="00403EC8">
        <w:trPr>
          <w:trHeight w:val="395"/>
        </w:trPr>
        <w:tc>
          <w:tcPr>
            <w:tcW w:w="3982" w:type="dxa"/>
            <w:tcBorders>
              <w:top w:val="single" w:sz="2" w:space="0" w:color="BFBFBF"/>
              <w:left w:val="nil"/>
              <w:bottom w:val="nil"/>
              <w:right w:val="nil"/>
            </w:tcBorders>
            <w:shd w:val="clear" w:color="auto" w:fill="FAFEFB"/>
          </w:tcPr>
          <w:p w14:paraId="4A613FFD" w14:textId="54D87051" w:rsidR="00EE3325" w:rsidRDefault="00603FB7">
            <w:pPr>
              <w:spacing w:after="0" w:line="259" w:lineRule="auto"/>
              <w:ind w:left="180" w:firstLine="0"/>
            </w:pPr>
            <w:r>
              <w:rPr>
                <w:sz w:val="16"/>
              </w:rPr>
              <w:t xml:space="preserve">VALUES WITHIN </w:t>
            </w:r>
            <w:r w:rsidR="00403EC8">
              <w:rPr>
                <w:sz w:val="16"/>
              </w:rPr>
              <w:t>1</w:t>
            </w:r>
            <w:r>
              <w:rPr>
                <w:sz w:val="16"/>
              </w:rPr>
              <w:t xml:space="preserve">0% OF </w:t>
            </w:r>
            <w:r w:rsidR="00403EC8">
              <w:rPr>
                <w:sz w:val="16"/>
              </w:rPr>
              <w:t>TRUE</w:t>
            </w:r>
            <w:r>
              <w:rPr>
                <w:sz w:val="16"/>
              </w:rPr>
              <w:t xml:space="preserve"> PRICE</w:t>
            </w:r>
          </w:p>
        </w:tc>
        <w:tc>
          <w:tcPr>
            <w:tcW w:w="954" w:type="dxa"/>
            <w:tcBorders>
              <w:top w:val="single" w:sz="2" w:space="0" w:color="BFBFBF"/>
              <w:left w:val="nil"/>
              <w:bottom w:val="nil"/>
              <w:right w:val="nil"/>
            </w:tcBorders>
            <w:shd w:val="clear" w:color="auto" w:fill="FAFEFB"/>
          </w:tcPr>
          <w:p w14:paraId="0FE0AB19" w14:textId="0BB1745E" w:rsidR="00EE3325" w:rsidRDefault="00E9689A">
            <w:pPr>
              <w:spacing w:after="0" w:line="259" w:lineRule="auto"/>
              <w:ind w:left="0" w:firstLine="0"/>
            </w:pPr>
            <w:r>
              <w:rPr>
                <w:sz w:val="16"/>
              </w:rPr>
              <w:t>80</w:t>
            </w:r>
            <w:r w:rsidR="00603FB7">
              <w:rPr>
                <w:sz w:val="16"/>
              </w:rPr>
              <w:t>%</w:t>
            </w:r>
            <w:r>
              <w:rPr>
                <w:sz w:val="16"/>
              </w:rPr>
              <w:t>+</w:t>
            </w:r>
          </w:p>
        </w:tc>
      </w:tr>
    </w:tbl>
    <w:p w14:paraId="2600EAC0" w14:textId="01FD0C53" w:rsidR="00403EC8" w:rsidRDefault="00403EC8" w:rsidP="00403EC8">
      <w:pPr>
        <w:spacing w:after="724" w:line="267" w:lineRule="auto"/>
        <w:ind w:left="0" w:right="3" w:firstLine="0"/>
      </w:pPr>
    </w:p>
    <w:p w14:paraId="15EF9AD5" w14:textId="0CEEA398" w:rsidR="00E52FF5" w:rsidRDefault="00E52FF5" w:rsidP="00403EC8">
      <w:pPr>
        <w:spacing w:after="724" w:line="267" w:lineRule="auto"/>
        <w:ind w:left="0" w:right="3" w:firstLine="0"/>
      </w:pPr>
      <w:r>
        <w:rPr>
          <w:noProof/>
        </w:rPr>
        <w:drawing>
          <wp:inline distT="0" distB="0" distL="0" distR="0" wp14:anchorId="25DF5492" wp14:editId="50F61E20">
            <wp:extent cx="4785360" cy="1785620"/>
            <wp:effectExtent l="0" t="0" r="254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8">
                      <a:extLst>
                        <a:ext uri="{28A0092B-C50C-407E-A947-70E740481C1C}">
                          <a14:useLocalDpi xmlns:a14="http://schemas.microsoft.com/office/drawing/2010/main" val="0"/>
                        </a:ext>
                      </a:extLst>
                    </a:blip>
                    <a:srcRect l="13793" r="11534"/>
                    <a:stretch/>
                  </pic:blipFill>
                  <pic:spPr bwMode="auto">
                    <a:xfrm>
                      <a:off x="0" y="0"/>
                      <a:ext cx="4785360" cy="1785620"/>
                    </a:xfrm>
                    <a:prstGeom prst="rect">
                      <a:avLst/>
                    </a:prstGeom>
                    <a:ln>
                      <a:noFill/>
                    </a:ln>
                    <a:extLst>
                      <a:ext uri="{53640926-AAD7-44D8-BBD7-CCE9431645EC}">
                        <a14:shadowObscured xmlns:a14="http://schemas.microsoft.com/office/drawing/2010/main"/>
                      </a:ext>
                    </a:extLst>
                  </pic:spPr>
                </pic:pic>
              </a:graphicData>
            </a:graphic>
          </wp:inline>
        </w:drawing>
      </w:r>
    </w:p>
    <w:p w14:paraId="3A06BC43" w14:textId="2F71191A" w:rsidR="00710329" w:rsidRDefault="00710329" w:rsidP="00403EC8">
      <w:pPr>
        <w:spacing w:after="724" w:line="267" w:lineRule="auto"/>
        <w:ind w:left="0" w:right="3" w:firstLine="0"/>
      </w:pPr>
    </w:p>
    <w:p w14:paraId="20DCCE38" w14:textId="77777777" w:rsidR="00710329" w:rsidRDefault="00710329" w:rsidP="00403EC8">
      <w:pPr>
        <w:spacing w:after="724" w:line="267" w:lineRule="auto"/>
        <w:ind w:left="0" w:right="3" w:firstLine="0"/>
      </w:pPr>
    </w:p>
    <w:p w14:paraId="26363E15" w14:textId="3592FC32" w:rsidR="00D2435B" w:rsidRDefault="00603FB7" w:rsidP="00403EC8">
      <w:pPr>
        <w:spacing w:after="724" w:line="267" w:lineRule="auto"/>
        <w:ind w:left="14" w:right="3" w:firstLine="0"/>
      </w:pPr>
      <w:r>
        <w:lastRenderedPageBreak/>
        <w:t xml:space="preserve">The chart below highlights the overall distribution of the absolute differences between our AVM values and observed </w:t>
      </w:r>
      <w:r w:rsidR="00ED6FB3">
        <w:t>true</w:t>
      </w:r>
      <w:r>
        <w:t xml:space="preserve"> prices</w:t>
      </w:r>
      <w:r w:rsidR="00ED6FB3">
        <w:t xml:space="preserve"> across </w:t>
      </w:r>
      <w:r w:rsidR="00E52FF5">
        <w:t>UK</w:t>
      </w:r>
      <w:r w:rsidR="00ED6FB3">
        <w:t xml:space="preserve"> </w:t>
      </w:r>
      <w:r w:rsidR="00E52FF5">
        <w:t>postcodes</w:t>
      </w:r>
      <w:r>
        <w:t xml:space="preserve">.  </w:t>
      </w:r>
    </w:p>
    <w:p w14:paraId="1274AFF4" w14:textId="1C3CA3F4" w:rsidR="00716AB5" w:rsidRDefault="00E52FF5" w:rsidP="00E9689A">
      <w:pPr>
        <w:spacing w:after="724" w:line="267" w:lineRule="auto"/>
        <w:ind w:left="14" w:right="3" w:firstLine="0"/>
      </w:pPr>
      <w:r>
        <w:rPr>
          <w:noProof/>
        </w:rPr>
        <w:drawing>
          <wp:inline distT="0" distB="0" distL="0" distR="0" wp14:anchorId="2E65275D" wp14:editId="3565C4D3">
            <wp:extent cx="6835140" cy="3520517"/>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7817" cy="3532197"/>
                    </a:xfrm>
                    <a:prstGeom prst="rect">
                      <a:avLst/>
                    </a:prstGeom>
                  </pic:spPr>
                </pic:pic>
              </a:graphicData>
            </a:graphic>
          </wp:inline>
        </w:drawing>
      </w:r>
    </w:p>
    <w:p w14:paraId="4E73E966" w14:textId="77777777" w:rsidR="00EE3325" w:rsidRDefault="00603FB7">
      <w:pPr>
        <w:spacing w:after="515" w:line="259" w:lineRule="auto"/>
        <w:ind w:left="14" w:right="-2" w:firstLine="0"/>
      </w:pPr>
      <w:r>
        <w:rPr>
          <w:rFonts w:ascii="Calibri" w:eastAsia="Calibri" w:hAnsi="Calibri" w:cs="Calibri"/>
          <w:noProof/>
          <w:color w:val="000000"/>
          <w:sz w:val="22"/>
        </w:rPr>
        <mc:AlternateContent>
          <mc:Choice Requires="wpg">
            <w:drawing>
              <wp:inline distT="0" distB="0" distL="0" distR="0" wp14:anchorId="473F3CCC" wp14:editId="600C39BF">
                <wp:extent cx="6400800" cy="9525"/>
                <wp:effectExtent l="0" t="0" r="0" b="0"/>
                <wp:docPr id="8281" name="Group 8281"/>
                <wp:cNvGraphicFramePr/>
                <a:graphic xmlns:a="http://schemas.openxmlformats.org/drawingml/2006/main">
                  <a:graphicData uri="http://schemas.microsoft.com/office/word/2010/wordprocessingGroup">
                    <wpg:wgp>
                      <wpg:cNvGrpSpPr/>
                      <wpg:grpSpPr>
                        <a:xfrm>
                          <a:off x="0" y="0"/>
                          <a:ext cx="6400800" cy="9525"/>
                          <a:chOff x="0" y="0"/>
                          <a:chExt cx="6400800" cy="9525"/>
                        </a:xfrm>
                      </wpg:grpSpPr>
                      <wps:wsp>
                        <wps:cNvPr id="857" name="Shape 857"/>
                        <wps:cNvSpPr/>
                        <wps:spPr>
                          <a:xfrm>
                            <a:off x="0" y="0"/>
                            <a:ext cx="6400800" cy="0"/>
                          </a:xfrm>
                          <a:custGeom>
                            <a:avLst/>
                            <a:gdLst/>
                            <a:ahLst/>
                            <a:cxnLst/>
                            <a:rect l="0" t="0" r="0" b="0"/>
                            <a:pathLst>
                              <a:path w="6400800">
                                <a:moveTo>
                                  <a:pt x="0" y="0"/>
                                </a:moveTo>
                                <a:lnTo>
                                  <a:pt x="6400800" y="0"/>
                                </a:lnTo>
                              </a:path>
                            </a:pathLst>
                          </a:custGeom>
                          <a:ln w="9525" cap="flat">
                            <a:miter lim="100000"/>
                          </a:ln>
                        </wps:spPr>
                        <wps:style>
                          <a:lnRef idx="1">
                            <a:srgbClr val="4E4D4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81" style="width:504pt;height:0.75pt;mso-position-horizontal-relative:char;mso-position-vertical-relative:line" coordsize="64008,95">
                <v:shape id="Shape 857" style="position:absolute;width:64008;height:0;left:0;top:0;" coordsize="6400800,0" path="m0,0l6400800,0">
                  <v:stroke weight="0.75pt" endcap="flat" joinstyle="miter" miterlimit="4" on="true" color="#4e4d4c"/>
                  <v:fill on="false" color="#000000" opacity="0"/>
                </v:shape>
              </v:group>
            </w:pict>
          </mc:Fallback>
        </mc:AlternateContent>
      </w:r>
    </w:p>
    <w:p w14:paraId="4E45564F" w14:textId="3DCBA5A8" w:rsidR="00ED6FB3" w:rsidRDefault="00603FB7" w:rsidP="00ED6FB3">
      <w:pPr>
        <w:ind w:left="9" w:right="27"/>
      </w:pPr>
      <w:r>
        <w:t xml:space="preserve">To provide </w:t>
      </w:r>
      <w:r w:rsidR="00ED6FB3">
        <w:t>transparency to the valuation</w:t>
      </w:r>
      <w:r>
        <w:t xml:space="preserve"> process, the following outlines </w:t>
      </w:r>
      <w:r w:rsidR="00ED6FB3">
        <w:t xml:space="preserve">how </w:t>
      </w:r>
      <w:r>
        <w:t xml:space="preserve">a typical </w:t>
      </w:r>
      <w:r w:rsidR="00ED6FB3">
        <w:t>property</w:t>
      </w:r>
      <w:r>
        <w:t xml:space="preserve"> </w:t>
      </w:r>
      <w:r w:rsidR="00ED6FB3">
        <w:t xml:space="preserve">is valued </w:t>
      </w:r>
      <w:r>
        <w:t xml:space="preserve">with </w:t>
      </w:r>
      <w:r w:rsidR="00E52FF5">
        <w:t>BCI AVM</w:t>
      </w:r>
      <w:r>
        <w:t>.</w:t>
      </w:r>
    </w:p>
    <w:p w14:paraId="722F1554" w14:textId="0ED65621" w:rsidR="00EE3325" w:rsidRDefault="00603FB7">
      <w:pPr>
        <w:numPr>
          <w:ilvl w:val="0"/>
          <w:numId w:val="2"/>
        </w:numPr>
        <w:ind w:right="27"/>
      </w:pPr>
      <w:r>
        <w:rPr>
          <w:b/>
        </w:rPr>
        <w:t xml:space="preserve">Employ </w:t>
      </w:r>
      <w:r w:rsidR="00ED6FB3">
        <w:rPr>
          <w:b/>
        </w:rPr>
        <w:t xml:space="preserve">hyper-tuned </w:t>
      </w:r>
      <w:r w:rsidR="00E9689A">
        <w:rPr>
          <w:b/>
        </w:rPr>
        <w:t xml:space="preserve">UK </w:t>
      </w:r>
      <w:r>
        <w:rPr>
          <w:b/>
        </w:rPr>
        <w:t>valuation model</w:t>
      </w:r>
      <w:r w:rsidR="00E9689A">
        <w:rPr>
          <w:b/>
        </w:rPr>
        <w:t>:</w:t>
      </w:r>
      <w:r>
        <w:t xml:space="preserve"> </w:t>
      </w:r>
      <w:r w:rsidR="00E9689A">
        <w:t>One</w:t>
      </w:r>
      <w:r>
        <w:t xml:space="preserve"> </w:t>
      </w:r>
      <w:r w:rsidR="00E9689A">
        <w:t>stacked pipeline, hereafter referred to as “</w:t>
      </w:r>
      <w:r w:rsidR="00ED6FB3">
        <w:t>predictive</w:t>
      </w:r>
      <w:r>
        <w:t xml:space="preserve"> model</w:t>
      </w:r>
      <w:r w:rsidR="00E9689A">
        <w:t>” or “</w:t>
      </w:r>
      <w:proofErr w:type="spellStart"/>
      <w:r w:rsidR="00E9689A">
        <w:t>avm</w:t>
      </w:r>
      <w:proofErr w:type="spellEnd"/>
      <w:r w:rsidR="00E9689A">
        <w:t>”,</w:t>
      </w:r>
      <w:r>
        <w:t xml:space="preserve"> </w:t>
      </w:r>
      <w:r w:rsidR="00ED6FB3">
        <w:t>which ha</w:t>
      </w:r>
      <w:r w:rsidR="00E9689A">
        <w:t xml:space="preserve">s </w:t>
      </w:r>
      <w:r w:rsidR="00ED6FB3">
        <w:t xml:space="preserve">been hyper-tuned to achieve low error valuations for </w:t>
      </w:r>
      <w:r w:rsidR="00E9689A">
        <w:t>the entire UK</w:t>
      </w:r>
      <w:r w:rsidR="00ED6FB3">
        <w:t xml:space="preserve"> area and property is deployed</w:t>
      </w:r>
      <w:r>
        <w:t xml:space="preserve"> to create a</w:t>
      </w:r>
      <w:r w:rsidR="00ED6FB3">
        <w:t xml:space="preserve"> point</w:t>
      </w:r>
      <w:r>
        <w:t xml:space="preserve"> estimate for the </w:t>
      </w:r>
      <w:r w:rsidR="00ED6FB3">
        <w:t>target property</w:t>
      </w:r>
      <w:r>
        <w:t xml:space="preserve">. </w:t>
      </w:r>
    </w:p>
    <w:p w14:paraId="74CFE957" w14:textId="2644E77C" w:rsidR="00ED6FB3" w:rsidRDefault="00ED6FB3" w:rsidP="00ED6FB3">
      <w:pPr>
        <w:numPr>
          <w:ilvl w:val="0"/>
          <w:numId w:val="2"/>
        </w:numPr>
        <w:ind w:right="27"/>
      </w:pPr>
      <w:r>
        <w:rPr>
          <w:b/>
        </w:rPr>
        <w:t>Find ‘comparable’ properties.</w:t>
      </w:r>
      <w:r>
        <w:t xml:space="preserve"> </w:t>
      </w:r>
      <w:r w:rsidR="001E7184">
        <w:t>Next,</w:t>
      </w:r>
      <w:r>
        <w:t xml:space="preserve"> we select a set of up to 100 comparable properties </w:t>
      </w:r>
      <w:r w:rsidR="00614A4C">
        <w:t xml:space="preserve">with known true prices, </w:t>
      </w:r>
      <w:r>
        <w:t xml:space="preserve">based on the geographically nearest and most recent (within one year) listings of homes of the same or most similar type. When we are not able to identify a minimum of 15 comparable properties, we expand the criteria used to qualify </w:t>
      </w:r>
      <w:r w:rsidR="00614A4C">
        <w:t>what is a “comparable” property. In very rare cases, such as in rural settings, we will expand the geographical region until a property of similar type is found</w:t>
      </w:r>
      <w:r>
        <w:t xml:space="preserve">. Through use of </w:t>
      </w:r>
      <w:r w:rsidR="00614A4C">
        <w:t xml:space="preserve">a </w:t>
      </w:r>
      <w:r>
        <w:t xml:space="preserve">robust statistical </w:t>
      </w:r>
      <w:r w:rsidR="00614A4C">
        <w:t>procedure and randomly re-sampling the comparable properties</w:t>
      </w:r>
      <w:r>
        <w:t xml:space="preserve">, many of the initial comparable sales are down weighted or eliminated due to dissimilarity with the subject property or other issues. Not all properties are valued with all models as </w:t>
      </w:r>
      <w:r w:rsidR="00614A4C">
        <w:t xml:space="preserve">the </w:t>
      </w:r>
      <w:r>
        <w:t xml:space="preserve">use of </w:t>
      </w:r>
      <w:r w:rsidR="00614A4C">
        <w:t>some models</w:t>
      </w:r>
      <w:r>
        <w:t xml:space="preserve"> is </w:t>
      </w:r>
      <w:r w:rsidR="00614A4C">
        <w:t>contingent upon available</w:t>
      </w:r>
      <w:r>
        <w:t xml:space="preserve"> data</w:t>
      </w:r>
      <w:r w:rsidR="00614A4C">
        <w:t>, such as images, or listing descriptions</w:t>
      </w:r>
      <w:r>
        <w:t>.</w:t>
      </w:r>
      <w:r w:rsidR="00614A4C">
        <w:t xml:space="preserve"> At the end of this step, we will have made predictions on all randomly sampled comparable properties with known true prices, and thereby calculated the error for each prediction.</w:t>
      </w:r>
    </w:p>
    <w:p w14:paraId="521C9797" w14:textId="0C388849" w:rsidR="00EE3325" w:rsidRDefault="00603FB7" w:rsidP="00000090">
      <w:pPr>
        <w:numPr>
          <w:ilvl w:val="0"/>
          <w:numId w:val="2"/>
        </w:numPr>
        <w:ind w:right="27"/>
      </w:pPr>
      <w:r w:rsidRPr="00614A4C">
        <w:rPr>
          <w:b/>
        </w:rPr>
        <w:lastRenderedPageBreak/>
        <w:t xml:space="preserve">Determine </w:t>
      </w:r>
      <w:r w:rsidR="00614A4C" w:rsidRPr="00614A4C">
        <w:rPr>
          <w:b/>
        </w:rPr>
        <w:t>range</w:t>
      </w:r>
      <w:r w:rsidRPr="00614A4C">
        <w:rPr>
          <w:b/>
        </w:rPr>
        <w:t xml:space="preserve"> estimate(s):</w:t>
      </w:r>
      <w:r>
        <w:t xml:space="preserve"> </w:t>
      </w:r>
      <w:r w:rsidR="00614A4C">
        <w:t xml:space="preserve"> </w:t>
      </w:r>
      <w:r>
        <w:t xml:space="preserve">We then rank the </w:t>
      </w:r>
      <w:r w:rsidR="00614A4C">
        <w:t>errors of</w:t>
      </w:r>
      <w:r>
        <w:t xml:space="preserve"> estimated values from low to high. We use the 16th and 84th percentile values as the </w:t>
      </w:r>
      <w:r w:rsidR="001E7184">
        <w:t>low-end and high-end</w:t>
      </w:r>
      <w:r>
        <w:t xml:space="preserve"> range of the value estimate</w:t>
      </w:r>
      <w:r w:rsidR="00614A4C">
        <w:t xml:space="preserve">, and we apply these error percentages to our original point value estimate. </w:t>
      </w:r>
    </w:p>
    <w:p w14:paraId="2DF05E50" w14:textId="3A5BF071" w:rsidR="00EE3325" w:rsidRDefault="00603FB7">
      <w:pPr>
        <w:numPr>
          <w:ilvl w:val="0"/>
          <w:numId w:val="2"/>
        </w:numPr>
        <w:spacing w:line="267" w:lineRule="auto"/>
        <w:ind w:right="27"/>
      </w:pPr>
      <w:r>
        <w:rPr>
          <w:b/>
        </w:rPr>
        <w:t xml:space="preserve">Determine the Confidence Score: </w:t>
      </w:r>
      <w:r>
        <w:t xml:space="preserve"> Next, we look at the percentage difference between the low (16th percentile) and high (84th) values and the </w:t>
      </w:r>
      <w:r w:rsidR="00614A4C">
        <w:t>original point</w:t>
      </w:r>
      <w:r>
        <w:t xml:space="preserve"> value estimate. We take the larger of the two (the FSD Max) and subtract from 100 to create a confidence score.  By taking the larger of the two, our confidence score accounts for skewed distributions of values and offers a conservative measure of our confidence in the AVM value. </w:t>
      </w:r>
    </w:p>
    <w:p w14:paraId="795EF076" w14:textId="7710AD11" w:rsidR="00EE3325" w:rsidRDefault="00603FB7">
      <w:pPr>
        <w:numPr>
          <w:ilvl w:val="0"/>
          <w:numId w:val="2"/>
        </w:numPr>
        <w:ind w:right="27"/>
      </w:pPr>
      <w:r>
        <w:rPr>
          <w:b/>
        </w:rPr>
        <w:t>Choosing a model:</w:t>
      </w:r>
      <w:r>
        <w:t xml:space="preserve"> Prior to valuing properties </w:t>
      </w:r>
      <w:r w:rsidR="00F32068">
        <w:t xml:space="preserve">with </w:t>
      </w:r>
      <w:r>
        <w:t xml:space="preserve">each </w:t>
      </w:r>
      <w:r w:rsidR="00F32068">
        <w:t>new AVM version release</w:t>
      </w:r>
      <w:r>
        <w:t xml:space="preserve">, we conduct regular AVM </w:t>
      </w:r>
      <w:r w:rsidR="00F32068">
        <w:t>scoring</w:t>
      </w:r>
      <w:r>
        <w:t xml:space="preserve"> tests where we compare our AVM values to </w:t>
      </w:r>
      <w:r w:rsidR="00F32068">
        <w:t>known</w:t>
      </w:r>
      <w:r>
        <w:t xml:space="preserve"> </w:t>
      </w:r>
      <w:r w:rsidR="00F32068">
        <w:t>true</w:t>
      </w:r>
      <w:r>
        <w:t xml:space="preserve"> prices of properties that </w:t>
      </w:r>
      <w:r w:rsidR="00F32068">
        <w:t xml:space="preserve">were </w:t>
      </w:r>
      <w:r>
        <w:t xml:space="preserve">recently </w:t>
      </w:r>
      <w:r w:rsidR="00F32068">
        <w:t xml:space="preserve">listed on </w:t>
      </w:r>
      <w:r w:rsidR="00710329">
        <w:t>UK EPC/Price databases</w:t>
      </w:r>
      <w:r w:rsidR="00F32068">
        <w:t xml:space="preserve">. </w:t>
      </w:r>
      <w:r>
        <w:t xml:space="preserve">Using this information, we then </w:t>
      </w:r>
      <w:r w:rsidR="00F32068">
        <w:t xml:space="preserve">hyper-tune model training parameters using search algorithms which seek to find those parameters which provide the lowest </w:t>
      </w:r>
      <w:r w:rsidR="00710329">
        <w:t>error</w:t>
      </w:r>
      <w:r w:rsidR="00F32068">
        <w:t>.</w:t>
      </w:r>
      <w:r>
        <w:t xml:space="preserve"> The most accurate </w:t>
      </w:r>
      <w:r w:rsidR="00710329">
        <w:t>data processing pipeline + model(s)</w:t>
      </w:r>
      <w:r>
        <w:t xml:space="preserve"> </w:t>
      </w:r>
      <w:r w:rsidR="00F32068">
        <w:t xml:space="preserve">get rolled-up into a </w:t>
      </w:r>
      <w:r w:rsidR="00710329">
        <w:t>unified pipeline</w:t>
      </w:r>
      <w:r w:rsidR="00F32068">
        <w:t xml:space="preserve"> </w:t>
      </w:r>
      <w:r w:rsidR="00710329">
        <w:t xml:space="preserve">which we refer to as our </w:t>
      </w:r>
      <w:r w:rsidR="00F32068">
        <w:t>model</w:t>
      </w:r>
      <w:r w:rsidR="00710329">
        <w:t>,</w:t>
      </w:r>
      <w:r w:rsidR="00F32068">
        <w:t xml:space="preserve"> used</w:t>
      </w:r>
      <w:r>
        <w:t xml:space="preserve"> </w:t>
      </w:r>
      <w:r w:rsidR="00F32068">
        <w:t>for each</w:t>
      </w:r>
      <w:r>
        <w:t xml:space="preserve"> estimated AVM value, along with its respective low and high values, FSD and confidence score.</w:t>
      </w:r>
    </w:p>
    <w:p w14:paraId="0E7E6601" w14:textId="77777777" w:rsidR="00EE3325" w:rsidRPr="00D2435B" w:rsidRDefault="00603FB7">
      <w:pPr>
        <w:pStyle w:val="Heading2"/>
        <w:ind w:left="21"/>
        <w:rPr>
          <w:color w:val="006CE3"/>
        </w:rPr>
      </w:pPr>
      <w:r w:rsidRPr="00D2435B">
        <w:rPr>
          <w:color w:val="006CE3"/>
        </w:rPr>
        <w:t>PROPERTIES WE DON’T VALUE</w:t>
      </w:r>
    </w:p>
    <w:p w14:paraId="221BE871" w14:textId="19BD5CD9" w:rsidR="00EE3325" w:rsidRDefault="00603FB7">
      <w:pPr>
        <w:ind w:left="9" w:right="27"/>
      </w:pPr>
      <w:r>
        <w:t xml:space="preserve">There are several property types we intentionally don’t value, and don’t include in our comparable selection.  We eliminate these property types for two reasons.  First, these property types have a negative impact to the predictive value of other homes.  Second, these property types require different data and modeling and don’t belong in an AVM for standard </w:t>
      </w:r>
      <w:r w:rsidR="001E7184">
        <w:t>single-family</w:t>
      </w:r>
      <w:r>
        <w:t xml:space="preserve"> residences.</w:t>
      </w:r>
    </w:p>
    <w:p w14:paraId="23B0F3BF" w14:textId="5B772DF1" w:rsidR="00EE3325" w:rsidRDefault="00603FB7">
      <w:pPr>
        <w:numPr>
          <w:ilvl w:val="0"/>
          <w:numId w:val="3"/>
        </w:numPr>
        <w:ind w:right="27"/>
      </w:pPr>
      <w:r>
        <w:t>Mobile homes: In the case of mobile homes, a two</w:t>
      </w:r>
      <w:r w:rsidR="001E7184">
        <w:t>-</w:t>
      </w:r>
      <w:r>
        <w:t xml:space="preserve">bedroom </w:t>
      </w:r>
      <w:r w:rsidR="001E7184">
        <w:t>two-bathroom</w:t>
      </w:r>
      <w:r>
        <w:t xml:space="preserve"> home should value lower than a standard fixed foundation of the same configuration.</w:t>
      </w:r>
    </w:p>
    <w:p w14:paraId="56839ECF" w14:textId="74AB02AE" w:rsidR="00EE3325" w:rsidRDefault="00603FB7">
      <w:pPr>
        <w:numPr>
          <w:ilvl w:val="0"/>
          <w:numId w:val="3"/>
        </w:numPr>
        <w:spacing w:line="267" w:lineRule="auto"/>
        <w:ind w:right="27"/>
      </w:pPr>
      <w:r>
        <w:t>Multi-</w:t>
      </w:r>
      <w:r w:rsidR="001E7184">
        <w:t>million-dollar</w:t>
      </w:r>
      <w:r>
        <w:t xml:space="preserve"> homes:  These properties often have unique features or locations that influence the value, making comparable selection impossible.</w:t>
      </w:r>
    </w:p>
    <w:p w14:paraId="12703C6D" w14:textId="77777777" w:rsidR="00EE3325" w:rsidRDefault="00603FB7">
      <w:pPr>
        <w:numPr>
          <w:ilvl w:val="0"/>
          <w:numId w:val="3"/>
        </w:numPr>
        <w:ind w:right="27"/>
      </w:pPr>
      <w:r>
        <w:t>Homes on farm or agricultural land: In this case, the land and its use influence the value of the home because they are sold as a single unit of real property.  Because of this, the valuation requires data and modeling from similar comparable properties.</w:t>
      </w:r>
    </w:p>
    <w:p w14:paraId="5DC7924C" w14:textId="1BA27FB7" w:rsidR="00EE3325" w:rsidRDefault="00603FB7" w:rsidP="00F32068">
      <w:pPr>
        <w:numPr>
          <w:ilvl w:val="0"/>
          <w:numId w:val="3"/>
        </w:numPr>
        <w:ind w:right="27"/>
        <w:sectPr w:rsidR="00EE3325">
          <w:headerReference w:type="even" r:id="rId10"/>
          <w:headerReference w:type="default" r:id="rId11"/>
          <w:footerReference w:type="even" r:id="rId12"/>
          <w:footerReference w:type="default" r:id="rId13"/>
          <w:headerReference w:type="first" r:id="rId14"/>
          <w:footerReference w:type="first" r:id="rId15"/>
          <w:pgSz w:w="12240" w:h="15840"/>
          <w:pgMar w:top="1080" w:right="1082" w:bottom="559" w:left="1066" w:header="720" w:footer="720" w:gutter="0"/>
          <w:pgNumType w:start="0"/>
          <w:cols w:space="720"/>
          <w:titlePg/>
        </w:sectPr>
      </w:pPr>
      <w:r>
        <w:t>Multi-unit homes: These properties rely on rental data to determine value because they are most typically investment properties that are under multi-tenant lease.  As such, they require different data and modeling to derive a</w:t>
      </w:r>
      <w:r w:rsidR="001E7184">
        <w:t>n accurate</w:t>
      </w:r>
      <w:r>
        <w:t xml:space="preserve"> val</w:t>
      </w:r>
      <w:r w:rsidR="00F32068">
        <w:t>ue.</w:t>
      </w:r>
    </w:p>
    <w:p w14:paraId="2F67FCCE" w14:textId="5BA63302" w:rsidR="00EE3325" w:rsidRDefault="00EE3325" w:rsidP="00F32068">
      <w:pPr>
        <w:pStyle w:val="Heading3"/>
        <w:spacing w:before="0"/>
        <w:ind w:left="0" w:firstLine="0"/>
      </w:pPr>
    </w:p>
    <w:sectPr w:rsidR="00EE332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22324" w14:textId="77777777" w:rsidR="00367D9F" w:rsidRDefault="00367D9F">
      <w:pPr>
        <w:spacing w:after="0" w:line="240" w:lineRule="auto"/>
      </w:pPr>
      <w:r>
        <w:separator/>
      </w:r>
    </w:p>
  </w:endnote>
  <w:endnote w:type="continuationSeparator" w:id="0">
    <w:p w14:paraId="516FE3A6" w14:textId="77777777" w:rsidR="00367D9F" w:rsidRDefault="0036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C52A3" w14:textId="36E43A41" w:rsidR="00EE3325" w:rsidRDefault="001E6056">
    <w:pPr>
      <w:tabs>
        <w:tab w:val="right" w:pos="10093"/>
      </w:tabs>
      <w:spacing w:after="0" w:line="259" w:lineRule="auto"/>
      <w:ind w:left="0" w:right="-2" w:firstLine="0"/>
    </w:pPr>
    <w:r>
      <w:rPr>
        <w:rFonts w:ascii="Calibri" w:eastAsia="Calibri" w:hAnsi="Calibri" w:cs="Calibri"/>
        <w:color w:val="6E6E70"/>
        <w:sz w:val="14"/>
      </w:rPr>
      <w:t xml:space="preserve">GCODE.AI DATA </w:t>
    </w:r>
    <w:proofErr w:type="gramStart"/>
    <w:r>
      <w:rPr>
        <w:rFonts w:ascii="Calibri" w:eastAsia="Calibri" w:hAnsi="Calibri" w:cs="Calibri"/>
        <w:color w:val="6E6E70"/>
        <w:sz w:val="14"/>
      </w:rPr>
      <w:t xml:space="preserve">SCIENCE  </w:t>
    </w:r>
    <w:r w:rsidR="00603FB7">
      <w:rPr>
        <w:rFonts w:ascii="Calibri" w:eastAsia="Calibri" w:hAnsi="Calibri" w:cs="Calibri"/>
        <w:color w:val="6E6E70"/>
        <w:sz w:val="14"/>
      </w:rPr>
      <w:t>|</w:t>
    </w:r>
    <w:proofErr w:type="gramEnd"/>
    <w:r w:rsidR="00603FB7">
      <w:rPr>
        <w:rFonts w:ascii="Calibri" w:eastAsia="Calibri" w:hAnsi="Calibri" w:cs="Calibri"/>
        <w:color w:val="6E6E70"/>
        <w:sz w:val="14"/>
      </w:rPr>
      <w:t xml:space="preserve">   </w:t>
    </w:r>
    <w:r>
      <w:rPr>
        <w:rFonts w:ascii="Calibri" w:eastAsia="Calibri" w:hAnsi="Calibri" w:cs="Calibri"/>
        <w:color w:val="6E6E70"/>
        <w:sz w:val="14"/>
      </w:rPr>
      <w:t>GCODE.AI</w:t>
    </w:r>
    <w:r w:rsidR="00603FB7">
      <w:rPr>
        <w:rFonts w:ascii="Calibri" w:eastAsia="Calibri" w:hAnsi="Calibri" w:cs="Calibri"/>
        <w:color w:val="6E6E70"/>
        <w:sz w:val="14"/>
      </w:rPr>
      <w:t>IZED AVM</w:t>
    </w:r>
    <w:r w:rsidR="00603FB7">
      <w:rPr>
        <w:rFonts w:ascii="Calibri" w:eastAsia="Calibri" w:hAnsi="Calibri" w:cs="Calibri"/>
        <w:color w:val="6E6E70"/>
        <w:sz w:val="8"/>
      </w:rPr>
      <w:tab/>
    </w:r>
    <w:r w:rsidR="00603FB7">
      <w:rPr>
        <w:rFonts w:ascii="Calibri" w:eastAsia="Calibri" w:hAnsi="Calibri" w:cs="Calibri"/>
        <w:b/>
        <w:color w:val="6E6E70"/>
        <w:sz w:val="14"/>
      </w:rPr>
      <w:t xml:space="preserve">       </w:t>
    </w:r>
    <w:r w:rsidR="00603FB7">
      <w:rPr>
        <w:rFonts w:ascii="Calibri" w:eastAsia="Calibri" w:hAnsi="Calibri" w:cs="Calibri"/>
        <w:color w:val="6E6E70"/>
        <w:sz w:val="14"/>
      </w:rPr>
      <w:t>P</w:t>
    </w:r>
    <w:r w:rsidR="00603FB7">
      <w:fldChar w:fldCharType="begin"/>
    </w:r>
    <w:r w:rsidR="00603FB7">
      <w:instrText xml:space="preserve"> PAGE   \* MERGEFORMAT </w:instrText>
    </w:r>
    <w:r w:rsidR="00603FB7">
      <w:fldChar w:fldCharType="separate"/>
    </w:r>
    <w:r w:rsidR="00603FB7">
      <w:rPr>
        <w:rFonts w:ascii="Calibri" w:eastAsia="Calibri" w:hAnsi="Calibri" w:cs="Calibri"/>
        <w:color w:val="6E6E70"/>
        <w:sz w:val="14"/>
      </w:rPr>
      <w:t>2</w:t>
    </w:r>
    <w:r w:rsidR="00603FB7">
      <w:rPr>
        <w:rFonts w:ascii="Calibri" w:eastAsia="Calibri" w:hAnsi="Calibri" w:cs="Calibri"/>
        <w:color w:val="6E6E70"/>
        <w:sz w:val="14"/>
      </w:rPr>
      <w:fldChar w:fldCharType="end"/>
    </w:r>
    <w:r w:rsidR="00603FB7">
      <w:rPr>
        <w:rFonts w:ascii="Calibri" w:eastAsia="Calibri" w:hAnsi="Calibri" w:cs="Calibri"/>
        <w:color w:val="6E6E70"/>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7BA6B" w14:textId="12F69CEE" w:rsidR="00EE3325" w:rsidRDefault="00710329">
    <w:pPr>
      <w:tabs>
        <w:tab w:val="right" w:pos="10093"/>
      </w:tabs>
      <w:spacing w:after="0" w:line="259" w:lineRule="auto"/>
      <w:ind w:left="0" w:right="-2" w:firstLine="0"/>
    </w:pPr>
    <w:r>
      <w:rPr>
        <w:rFonts w:ascii="Calibri" w:eastAsia="Calibri" w:hAnsi="Calibri" w:cs="Calibri"/>
        <w:color w:val="6E6E70"/>
        <w:sz w:val="14"/>
      </w:rPr>
      <w:t>BLOCKCHAIN CLIMATE INSTITUTE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DA189" w14:textId="77777777" w:rsidR="00EE3325" w:rsidRDefault="00EE332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AD859" w14:textId="77777777" w:rsidR="00EE3325" w:rsidRDefault="00EE332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174A5" w14:textId="77777777" w:rsidR="00EE3325" w:rsidRDefault="00EE3325">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E9B81" w14:textId="77777777" w:rsidR="00EE3325" w:rsidRDefault="00EE332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5F85C" w14:textId="77777777" w:rsidR="00367D9F" w:rsidRDefault="00367D9F">
      <w:pPr>
        <w:spacing w:after="0" w:line="240" w:lineRule="auto"/>
      </w:pPr>
      <w:r>
        <w:separator/>
      </w:r>
    </w:p>
  </w:footnote>
  <w:footnote w:type="continuationSeparator" w:id="0">
    <w:p w14:paraId="017EDA28" w14:textId="77777777" w:rsidR="00367D9F" w:rsidRDefault="00367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D7E66" w14:textId="0C96EC9B" w:rsidR="001E7184" w:rsidRDefault="00367D9F">
    <w:pPr>
      <w:pStyle w:val="Header"/>
    </w:pPr>
    <w:r>
      <w:rPr>
        <w:noProof/>
      </w:rPr>
      <w:pict w14:anchorId="14FFBD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06191" o:spid="_x0000_s2054" type="#_x0000_t136" alt="" style="position:absolute;left:0;text-align:left;margin-left:0;margin-top:0;width:504.6pt;height:168.2pt;z-index:-251651072;mso-wrap-edited:f;mso-width-percent:0;mso-height-percent:0;mso-position-horizontal:center;mso-position-horizontal-relative:margin;mso-position-vertical:center;mso-position-vertical-relative:margin;mso-width-percent:0;mso-height-percent:0" o:allowincell="f" fillcolor="#9cc2e5 [1944]" stroked="f">
          <v:fill opacity="58327f"/>
          <v:textpath style="font-family:&quot;Open Sans&quot;;font-size:1pt;font-weight:bold"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E5B3B" w14:textId="40ADB181" w:rsidR="001E7184" w:rsidRDefault="00367D9F">
    <w:pPr>
      <w:pStyle w:val="Header"/>
    </w:pPr>
    <w:r>
      <w:rPr>
        <w:noProof/>
      </w:rPr>
      <w:pict w14:anchorId="627F68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06192" o:spid="_x0000_s2053" type="#_x0000_t136" alt="" style="position:absolute;left:0;text-align:left;margin-left:0;margin-top:0;width:504.6pt;height:168.2pt;z-index:-251646976;mso-wrap-edited:f;mso-width-percent:0;mso-height-percent:0;mso-position-horizontal:center;mso-position-horizontal-relative:margin;mso-position-vertical:center;mso-position-vertical-relative:margin;mso-width-percent:0;mso-height-percent:0" o:allowincell="f" fillcolor="#9cc2e5 [1944]" stroked="f">
          <v:fill opacity="58327f"/>
          <v:textpath style="font-family:&quot;Open Sans&quot;;font-size:1pt;font-weight:bold"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48451" w14:textId="28C5ECF3" w:rsidR="001E7184" w:rsidRDefault="00367D9F">
    <w:pPr>
      <w:pStyle w:val="Header"/>
    </w:pPr>
    <w:r>
      <w:rPr>
        <w:noProof/>
      </w:rPr>
      <w:pict w14:anchorId="4C1FF4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06190" o:spid="_x0000_s2052" type="#_x0000_t136" alt="" style="position:absolute;left:0;text-align:left;margin-left:0;margin-top:0;width:504.6pt;height:168.2pt;z-index:-251655168;mso-wrap-edited:f;mso-width-percent:0;mso-height-percent:0;mso-position-horizontal:center;mso-position-horizontal-relative:margin;mso-position-vertical:center;mso-position-vertical-relative:margin;mso-width-percent:0;mso-height-percent:0" o:allowincell="f" fillcolor="#9cc2e5 [1944]" stroked="f">
          <v:fill opacity="58327f"/>
          <v:textpath style="font-family:&quot;Open Sans&quot;;font-size:1pt;font-weight:bold"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E3B2D" w14:textId="3DFC8557" w:rsidR="001E7184" w:rsidRDefault="00367D9F">
    <w:pPr>
      <w:pStyle w:val="Header"/>
    </w:pPr>
    <w:r>
      <w:rPr>
        <w:noProof/>
      </w:rPr>
      <w:pict w14:anchorId="1B943E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06194" o:spid="_x0000_s2051" type="#_x0000_t136" alt="" style="position:absolute;left:0;text-align:left;margin-left:0;margin-top:0;width:504.6pt;height:168.2pt;z-index:-251638784;mso-wrap-edited:f;mso-width-percent:0;mso-height-percent:0;mso-position-horizontal:center;mso-position-horizontal-relative:margin;mso-position-vertical:center;mso-position-vertical-relative:margin;mso-width-percent:0;mso-height-percent:0" o:allowincell="f" fillcolor="#9cc2e5 [1944]" stroked="f">
          <v:fill opacity="58327f"/>
          <v:textpath style="font-family:&quot;Open Sans&quot;;font-size:1pt;font-weight:bold"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79B4D" w14:textId="66CA3E7D" w:rsidR="001E7184" w:rsidRDefault="00367D9F">
    <w:pPr>
      <w:pStyle w:val="Header"/>
    </w:pPr>
    <w:r>
      <w:rPr>
        <w:noProof/>
      </w:rPr>
      <w:pict w14:anchorId="77CC32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06195" o:spid="_x0000_s2050" type="#_x0000_t136" alt="" style="position:absolute;left:0;text-align:left;margin-left:0;margin-top:0;width:504.6pt;height:168.2pt;z-index:-251634688;mso-wrap-edited:f;mso-width-percent:0;mso-height-percent:0;mso-position-horizontal:center;mso-position-horizontal-relative:margin;mso-position-vertical:center;mso-position-vertical-relative:margin;mso-width-percent:0;mso-height-percent:0" o:allowincell="f" fillcolor="#9cc2e5 [1944]" stroked="f">
          <v:fill opacity="58327f"/>
          <v:textpath style="font-family:&quot;Open Sans&quot;;font-size:1pt;font-weight:bold"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F4170" w14:textId="61D61EE8" w:rsidR="001E7184" w:rsidRDefault="00367D9F">
    <w:pPr>
      <w:pStyle w:val="Header"/>
    </w:pPr>
    <w:r>
      <w:rPr>
        <w:noProof/>
      </w:rPr>
      <w:pict w14:anchorId="6E6C93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406193" o:spid="_x0000_s2049" type="#_x0000_t136" alt="" style="position:absolute;left:0;text-align:left;margin-left:0;margin-top:0;width:504.6pt;height:168.2pt;z-index:-251642880;mso-wrap-edited:f;mso-width-percent:0;mso-height-percent:0;mso-position-horizontal:center;mso-position-horizontal-relative:margin;mso-position-vertical:center;mso-position-vertical-relative:margin;mso-width-percent:0;mso-height-percent:0" o:allowincell="f" fillcolor="#9cc2e5 [1944]" stroked="f">
          <v:fill opacity="58327f"/>
          <v:textpath style="font-family:&quot;Open Sans&quot;;font-size:1pt;font-weight:bold"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74816"/>
    <w:multiLevelType w:val="hybridMultilevel"/>
    <w:tmpl w:val="62E8F79C"/>
    <w:lvl w:ilvl="0" w:tplc="E85A630C">
      <w:start w:val="1"/>
      <w:numFmt w:val="decimal"/>
      <w:lvlText w:val="%1."/>
      <w:lvlJc w:val="left"/>
      <w:pPr>
        <w:ind w:left="294"/>
      </w:pPr>
      <w:rPr>
        <w:rFonts w:ascii="Open Sans" w:eastAsia="Open Sans" w:hAnsi="Open Sans" w:cs="Open Sans"/>
        <w:b w:val="0"/>
        <w:i w:val="0"/>
        <w:strike w:val="0"/>
        <w:dstrike w:val="0"/>
        <w:color w:val="353434"/>
        <w:sz w:val="18"/>
        <w:szCs w:val="18"/>
        <w:u w:val="none" w:color="000000"/>
        <w:bdr w:val="none" w:sz="0" w:space="0" w:color="auto"/>
        <w:shd w:val="clear" w:color="auto" w:fill="auto"/>
        <w:vertAlign w:val="baseline"/>
      </w:rPr>
    </w:lvl>
    <w:lvl w:ilvl="1" w:tplc="4ABEBF64">
      <w:start w:val="1"/>
      <w:numFmt w:val="lowerLetter"/>
      <w:lvlText w:val="%2"/>
      <w:lvlJc w:val="left"/>
      <w:pPr>
        <w:ind w:left="1350"/>
      </w:pPr>
      <w:rPr>
        <w:rFonts w:ascii="Open Sans" w:eastAsia="Open Sans" w:hAnsi="Open Sans" w:cs="Open Sans"/>
        <w:b w:val="0"/>
        <w:i w:val="0"/>
        <w:strike w:val="0"/>
        <w:dstrike w:val="0"/>
        <w:color w:val="353434"/>
        <w:sz w:val="18"/>
        <w:szCs w:val="18"/>
        <w:u w:val="none" w:color="000000"/>
        <w:bdr w:val="none" w:sz="0" w:space="0" w:color="auto"/>
        <w:shd w:val="clear" w:color="auto" w:fill="auto"/>
        <w:vertAlign w:val="baseline"/>
      </w:rPr>
    </w:lvl>
    <w:lvl w:ilvl="2" w:tplc="FA704D2A">
      <w:start w:val="1"/>
      <w:numFmt w:val="lowerRoman"/>
      <w:lvlText w:val="%3"/>
      <w:lvlJc w:val="left"/>
      <w:pPr>
        <w:ind w:left="2070"/>
      </w:pPr>
      <w:rPr>
        <w:rFonts w:ascii="Open Sans" w:eastAsia="Open Sans" w:hAnsi="Open Sans" w:cs="Open Sans"/>
        <w:b w:val="0"/>
        <w:i w:val="0"/>
        <w:strike w:val="0"/>
        <w:dstrike w:val="0"/>
        <w:color w:val="353434"/>
        <w:sz w:val="18"/>
        <w:szCs w:val="18"/>
        <w:u w:val="none" w:color="000000"/>
        <w:bdr w:val="none" w:sz="0" w:space="0" w:color="auto"/>
        <w:shd w:val="clear" w:color="auto" w:fill="auto"/>
        <w:vertAlign w:val="baseline"/>
      </w:rPr>
    </w:lvl>
    <w:lvl w:ilvl="3" w:tplc="D43A4126">
      <w:start w:val="1"/>
      <w:numFmt w:val="decimal"/>
      <w:lvlText w:val="%4"/>
      <w:lvlJc w:val="left"/>
      <w:pPr>
        <w:ind w:left="2790"/>
      </w:pPr>
      <w:rPr>
        <w:rFonts w:ascii="Open Sans" w:eastAsia="Open Sans" w:hAnsi="Open Sans" w:cs="Open Sans"/>
        <w:b w:val="0"/>
        <w:i w:val="0"/>
        <w:strike w:val="0"/>
        <w:dstrike w:val="0"/>
        <w:color w:val="353434"/>
        <w:sz w:val="18"/>
        <w:szCs w:val="18"/>
        <w:u w:val="none" w:color="000000"/>
        <w:bdr w:val="none" w:sz="0" w:space="0" w:color="auto"/>
        <w:shd w:val="clear" w:color="auto" w:fill="auto"/>
        <w:vertAlign w:val="baseline"/>
      </w:rPr>
    </w:lvl>
    <w:lvl w:ilvl="4" w:tplc="D5CEDCB2">
      <w:start w:val="1"/>
      <w:numFmt w:val="lowerLetter"/>
      <w:lvlText w:val="%5"/>
      <w:lvlJc w:val="left"/>
      <w:pPr>
        <w:ind w:left="3510"/>
      </w:pPr>
      <w:rPr>
        <w:rFonts w:ascii="Open Sans" w:eastAsia="Open Sans" w:hAnsi="Open Sans" w:cs="Open Sans"/>
        <w:b w:val="0"/>
        <w:i w:val="0"/>
        <w:strike w:val="0"/>
        <w:dstrike w:val="0"/>
        <w:color w:val="353434"/>
        <w:sz w:val="18"/>
        <w:szCs w:val="18"/>
        <w:u w:val="none" w:color="000000"/>
        <w:bdr w:val="none" w:sz="0" w:space="0" w:color="auto"/>
        <w:shd w:val="clear" w:color="auto" w:fill="auto"/>
        <w:vertAlign w:val="baseline"/>
      </w:rPr>
    </w:lvl>
    <w:lvl w:ilvl="5" w:tplc="117C429A">
      <w:start w:val="1"/>
      <w:numFmt w:val="lowerRoman"/>
      <w:lvlText w:val="%6"/>
      <w:lvlJc w:val="left"/>
      <w:pPr>
        <w:ind w:left="4230"/>
      </w:pPr>
      <w:rPr>
        <w:rFonts w:ascii="Open Sans" w:eastAsia="Open Sans" w:hAnsi="Open Sans" w:cs="Open Sans"/>
        <w:b w:val="0"/>
        <w:i w:val="0"/>
        <w:strike w:val="0"/>
        <w:dstrike w:val="0"/>
        <w:color w:val="353434"/>
        <w:sz w:val="18"/>
        <w:szCs w:val="18"/>
        <w:u w:val="none" w:color="000000"/>
        <w:bdr w:val="none" w:sz="0" w:space="0" w:color="auto"/>
        <w:shd w:val="clear" w:color="auto" w:fill="auto"/>
        <w:vertAlign w:val="baseline"/>
      </w:rPr>
    </w:lvl>
    <w:lvl w:ilvl="6" w:tplc="8C063274">
      <w:start w:val="1"/>
      <w:numFmt w:val="decimal"/>
      <w:lvlText w:val="%7"/>
      <w:lvlJc w:val="left"/>
      <w:pPr>
        <w:ind w:left="4950"/>
      </w:pPr>
      <w:rPr>
        <w:rFonts w:ascii="Open Sans" w:eastAsia="Open Sans" w:hAnsi="Open Sans" w:cs="Open Sans"/>
        <w:b w:val="0"/>
        <w:i w:val="0"/>
        <w:strike w:val="0"/>
        <w:dstrike w:val="0"/>
        <w:color w:val="353434"/>
        <w:sz w:val="18"/>
        <w:szCs w:val="18"/>
        <w:u w:val="none" w:color="000000"/>
        <w:bdr w:val="none" w:sz="0" w:space="0" w:color="auto"/>
        <w:shd w:val="clear" w:color="auto" w:fill="auto"/>
        <w:vertAlign w:val="baseline"/>
      </w:rPr>
    </w:lvl>
    <w:lvl w:ilvl="7" w:tplc="0240BA1E">
      <w:start w:val="1"/>
      <w:numFmt w:val="lowerLetter"/>
      <w:lvlText w:val="%8"/>
      <w:lvlJc w:val="left"/>
      <w:pPr>
        <w:ind w:left="5670"/>
      </w:pPr>
      <w:rPr>
        <w:rFonts w:ascii="Open Sans" w:eastAsia="Open Sans" w:hAnsi="Open Sans" w:cs="Open Sans"/>
        <w:b w:val="0"/>
        <w:i w:val="0"/>
        <w:strike w:val="0"/>
        <w:dstrike w:val="0"/>
        <w:color w:val="353434"/>
        <w:sz w:val="18"/>
        <w:szCs w:val="18"/>
        <w:u w:val="none" w:color="000000"/>
        <w:bdr w:val="none" w:sz="0" w:space="0" w:color="auto"/>
        <w:shd w:val="clear" w:color="auto" w:fill="auto"/>
        <w:vertAlign w:val="baseline"/>
      </w:rPr>
    </w:lvl>
    <w:lvl w:ilvl="8" w:tplc="A8229C46">
      <w:start w:val="1"/>
      <w:numFmt w:val="lowerRoman"/>
      <w:lvlText w:val="%9"/>
      <w:lvlJc w:val="left"/>
      <w:pPr>
        <w:ind w:left="6390"/>
      </w:pPr>
      <w:rPr>
        <w:rFonts w:ascii="Open Sans" w:eastAsia="Open Sans" w:hAnsi="Open Sans" w:cs="Open Sans"/>
        <w:b w:val="0"/>
        <w:i w:val="0"/>
        <w:strike w:val="0"/>
        <w:dstrike w:val="0"/>
        <w:color w:val="353434"/>
        <w:sz w:val="18"/>
        <w:szCs w:val="18"/>
        <w:u w:val="none" w:color="000000"/>
        <w:bdr w:val="none" w:sz="0" w:space="0" w:color="auto"/>
        <w:shd w:val="clear" w:color="auto" w:fill="auto"/>
        <w:vertAlign w:val="baseline"/>
      </w:rPr>
    </w:lvl>
  </w:abstractNum>
  <w:abstractNum w:abstractNumId="1" w15:restartNumberingAfterBreak="0">
    <w:nsid w:val="41B86DCD"/>
    <w:multiLevelType w:val="hybridMultilevel"/>
    <w:tmpl w:val="1CC62882"/>
    <w:lvl w:ilvl="0" w:tplc="72000E8E">
      <w:start w:val="1"/>
      <w:numFmt w:val="decimal"/>
      <w:lvlText w:val="%1."/>
      <w:lvlJc w:val="left"/>
      <w:pPr>
        <w:ind w:left="53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1" w:tplc="D76E2A70">
      <w:start w:val="1"/>
      <w:numFmt w:val="lowerLetter"/>
      <w:lvlText w:val="%2"/>
      <w:lvlJc w:val="left"/>
      <w:pPr>
        <w:ind w:left="135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2" w:tplc="566AA5AC">
      <w:start w:val="1"/>
      <w:numFmt w:val="lowerRoman"/>
      <w:lvlText w:val="%3"/>
      <w:lvlJc w:val="left"/>
      <w:pPr>
        <w:ind w:left="207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3" w:tplc="295E49D4">
      <w:start w:val="1"/>
      <w:numFmt w:val="decimal"/>
      <w:lvlText w:val="%4"/>
      <w:lvlJc w:val="left"/>
      <w:pPr>
        <w:ind w:left="279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4" w:tplc="CC580B86">
      <w:start w:val="1"/>
      <w:numFmt w:val="lowerLetter"/>
      <w:lvlText w:val="%5"/>
      <w:lvlJc w:val="left"/>
      <w:pPr>
        <w:ind w:left="351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5" w:tplc="954C2462">
      <w:start w:val="1"/>
      <w:numFmt w:val="lowerRoman"/>
      <w:lvlText w:val="%6"/>
      <w:lvlJc w:val="left"/>
      <w:pPr>
        <w:ind w:left="423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6" w:tplc="213660B0">
      <w:start w:val="1"/>
      <w:numFmt w:val="decimal"/>
      <w:lvlText w:val="%7"/>
      <w:lvlJc w:val="left"/>
      <w:pPr>
        <w:ind w:left="495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7" w:tplc="D6B8D892">
      <w:start w:val="1"/>
      <w:numFmt w:val="lowerLetter"/>
      <w:lvlText w:val="%8"/>
      <w:lvlJc w:val="left"/>
      <w:pPr>
        <w:ind w:left="567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8" w:tplc="1BE2EC9C">
      <w:start w:val="1"/>
      <w:numFmt w:val="lowerRoman"/>
      <w:lvlText w:val="%9"/>
      <w:lvlJc w:val="left"/>
      <w:pPr>
        <w:ind w:left="639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abstractNum>
  <w:abstractNum w:abstractNumId="2" w15:restartNumberingAfterBreak="0">
    <w:nsid w:val="669946FB"/>
    <w:multiLevelType w:val="hybridMultilevel"/>
    <w:tmpl w:val="A9CC6FE6"/>
    <w:lvl w:ilvl="0" w:tplc="4D308A5C">
      <w:start w:val="1"/>
      <w:numFmt w:val="decimal"/>
      <w:lvlText w:val="%1."/>
      <w:lvlJc w:val="left"/>
      <w:pPr>
        <w:ind w:left="294"/>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1" w:tplc="7D580C02">
      <w:start w:val="1"/>
      <w:numFmt w:val="lowerLetter"/>
      <w:lvlText w:val="%2"/>
      <w:lvlJc w:val="left"/>
      <w:pPr>
        <w:ind w:left="135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2" w:tplc="17E893EE">
      <w:start w:val="1"/>
      <w:numFmt w:val="lowerRoman"/>
      <w:lvlText w:val="%3"/>
      <w:lvlJc w:val="left"/>
      <w:pPr>
        <w:ind w:left="207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3" w:tplc="91222C80">
      <w:start w:val="1"/>
      <w:numFmt w:val="decimal"/>
      <w:lvlText w:val="%4"/>
      <w:lvlJc w:val="left"/>
      <w:pPr>
        <w:ind w:left="279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4" w:tplc="82184704">
      <w:start w:val="1"/>
      <w:numFmt w:val="lowerLetter"/>
      <w:lvlText w:val="%5"/>
      <w:lvlJc w:val="left"/>
      <w:pPr>
        <w:ind w:left="351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5" w:tplc="FA32EAF4">
      <w:start w:val="1"/>
      <w:numFmt w:val="lowerRoman"/>
      <w:lvlText w:val="%6"/>
      <w:lvlJc w:val="left"/>
      <w:pPr>
        <w:ind w:left="423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6" w:tplc="55C02E6E">
      <w:start w:val="1"/>
      <w:numFmt w:val="decimal"/>
      <w:lvlText w:val="%7"/>
      <w:lvlJc w:val="left"/>
      <w:pPr>
        <w:ind w:left="495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7" w:tplc="B7BAEED8">
      <w:start w:val="1"/>
      <w:numFmt w:val="lowerLetter"/>
      <w:lvlText w:val="%8"/>
      <w:lvlJc w:val="left"/>
      <w:pPr>
        <w:ind w:left="567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lvl w:ilvl="8" w:tplc="7598CF76">
      <w:start w:val="1"/>
      <w:numFmt w:val="lowerRoman"/>
      <w:lvlText w:val="%9"/>
      <w:lvlJc w:val="left"/>
      <w:pPr>
        <w:ind w:left="6390"/>
      </w:pPr>
      <w:rPr>
        <w:rFonts w:ascii="Open Sans" w:eastAsia="Open Sans" w:hAnsi="Open Sans" w:cs="Open Sans"/>
        <w:b/>
        <w:bCs/>
        <w:i w:val="0"/>
        <w:strike w:val="0"/>
        <w:dstrike w:val="0"/>
        <w:color w:val="353434"/>
        <w:sz w:val="18"/>
        <w:szCs w:val="18"/>
        <w:u w:val="none" w:color="000000"/>
        <w:bdr w:val="none" w:sz="0" w:space="0" w:color="auto"/>
        <w:shd w:val="clear" w:color="auto" w:fill="auto"/>
        <w:vertAlign w:val="baseline"/>
      </w:rPr>
    </w:lvl>
  </w:abstractNum>
  <w:abstractNum w:abstractNumId="3" w15:restartNumberingAfterBreak="0">
    <w:nsid w:val="7CC200DC"/>
    <w:multiLevelType w:val="hybridMultilevel"/>
    <w:tmpl w:val="34668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325"/>
    <w:rsid w:val="00084F4E"/>
    <w:rsid w:val="00097CEE"/>
    <w:rsid w:val="00115226"/>
    <w:rsid w:val="001E6056"/>
    <w:rsid w:val="001E7184"/>
    <w:rsid w:val="001F6D85"/>
    <w:rsid w:val="003315E8"/>
    <w:rsid w:val="00367D9F"/>
    <w:rsid w:val="00403EC8"/>
    <w:rsid w:val="004511B5"/>
    <w:rsid w:val="0047315C"/>
    <w:rsid w:val="004C3624"/>
    <w:rsid w:val="0050604B"/>
    <w:rsid w:val="005A71B6"/>
    <w:rsid w:val="00600DB5"/>
    <w:rsid w:val="00602E3F"/>
    <w:rsid w:val="00603FB7"/>
    <w:rsid w:val="00614A4C"/>
    <w:rsid w:val="00710329"/>
    <w:rsid w:val="00716AB5"/>
    <w:rsid w:val="0075133E"/>
    <w:rsid w:val="008778A2"/>
    <w:rsid w:val="00910AEF"/>
    <w:rsid w:val="00966254"/>
    <w:rsid w:val="009A4F6C"/>
    <w:rsid w:val="009C19E0"/>
    <w:rsid w:val="00B1191D"/>
    <w:rsid w:val="00B57CE4"/>
    <w:rsid w:val="00D2435B"/>
    <w:rsid w:val="00D614A2"/>
    <w:rsid w:val="00D84B60"/>
    <w:rsid w:val="00DF53B7"/>
    <w:rsid w:val="00E52FF5"/>
    <w:rsid w:val="00E546D4"/>
    <w:rsid w:val="00E9689A"/>
    <w:rsid w:val="00ED6FB3"/>
    <w:rsid w:val="00EE3325"/>
    <w:rsid w:val="00F03B62"/>
    <w:rsid w:val="00F3052E"/>
    <w:rsid w:val="00F32068"/>
    <w:rsid w:val="00FD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E1D9C9F"/>
  <w15:docId w15:val="{5B56B49B-629A-C646-8B52-B3D9C09E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6" w:line="269" w:lineRule="auto"/>
      <w:ind w:left="24" w:hanging="10"/>
    </w:pPr>
    <w:rPr>
      <w:rFonts w:ascii="Open Sans" w:eastAsia="Open Sans" w:hAnsi="Open Sans" w:cs="Open Sans"/>
      <w:color w:val="353434"/>
      <w:sz w:val="18"/>
      <w:lang w:bidi="en-US"/>
    </w:rPr>
  </w:style>
  <w:style w:type="paragraph" w:styleId="Heading1">
    <w:name w:val="heading 1"/>
    <w:next w:val="Normal"/>
    <w:link w:val="Heading1Char"/>
    <w:uiPriority w:val="9"/>
    <w:qFormat/>
    <w:pPr>
      <w:keepNext/>
      <w:keepLines/>
      <w:spacing w:after="266" w:line="259" w:lineRule="auto"/>
      <w:ind w:left="24" w:hanging="10"/>
      <w:outlineLvl w:val="0"/>
    </w:pPr>
    <w:rPr>
      <w:rFonts w:ascii="Open Sans" w:eastAsia="Open Sans" w:hAnsi="Open Sans" w:cs="Open Sans"/>
      <w:b/>
      <w:color w:val="A5302E"/>
      <w:sz w:val="20"/>
    </w:rPr>
  </w:style>
  <w:style w:type="paragraph" w:styleId="Heading2">
    <w:name w:val="heading 2"/>
    <w:next w:val="Normal"/>
    <w:link w:val="Heading2Char"/>
    <w:uiPriority w:val="9"/>
    <w:unhideWhenUsed/>
    <w:qFormat/>
    <w:pPr>
      <w:keepNext/>
      <w:keepLines/>
      <w:spacing w:after="266" w:line="259" w:lineRule="auto"/>
      <w:ind w:left="24" w:hanging="10"/>
      <w:outlineLvl w:val="1"/>
    </w:pPr>
    <w:rPr>
      <w:rFonts w:ascii="Open Sans" w:eastAsia="Open Sans" w:hAnsi="Open Sans" w:cs="Open Sans"/>
      <w:b/>
      <w:color w:val="A5302E"/>
      <w:sz w:val="20"/>
    </w:rPr>
  </w:style>
  <w:style w:type="paragraph" w:styleId="Heading3">
    <w:name w:val="heading 3"/>
    <w:next w:val="Normal"/>
    <w:link w:val="Heading3Char"/>
    <w:uiPriority w:val="9"/>
    <w:unhideWhenUsed/>
    <w:qFormat/>
    <w:pPr>
      <w:keepNext/>
      <w:keepLines/>
      <w:spacing w:before="357" w:after="75" w:line="259" w:lineRule="auto"/>
      <w:ind w:left="24" w:hanging="10"/>
      <w:outlineLvl w:val="2"/>
    </w:pPr>
    <w:rPr>
      <w:rFonts w:ascii="Calibri" w:eastAsia="Calibri" w:hAnsi="Calibri" w:cs="Calibri"/>
      <w:color w:val="6E6E7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6E6E70"/>
      <w:sz w:val="14"/>
    </w:rPr>
  </w:style>
  <w:style w:type="character" w:customStyle="1" w:styleId="Heading1Char">
    <w:name w:val="Heading 1 Char"/>
    <w:link w:val="Heading1"/>
    <w:rPr>
      <w:rFonts w:ascii="Open Sans" w:eastAsia="Open Sans" w:hAnsi="Open Sans" w:cs="Open Sans"/>
      <w:b/>
      <w:color w:val="A5302E"/>
      <w:sz w:val="20"/>
    </w:rPr>
  </w:style>
  <w:style w:type="character" w:customStyle="1" w:styleId="Heading2Char">
    <w:name w:val="Heading 2 Char"/>
    <w:link w:val="Heading2"/>
    <w:rPr>
      <w:rFonts w:ascii="Open Sans" w:eastAsia="Open Sans" w:hAnsi="Open Sans" w:cs="Open Sans"/>
      <w:b/>
      <w:color w:val="A5302E"/>
      <w:sz w:val="2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9C19E0"/>
    <w:rPr>
      <w:rFonts w:ascii="Times New Roman" w:hAnsi="Times New Roman" w:cs="Times New Roman"/>
      <w:sz w:val="24"/>
    </w:rPr>
  </w:style>
  <w:style w:type="paragraph" w:styleId="Header">
    <w:name w:val="header"/>
    <w:basedOn w:val="Normal"/>
    <w:link w:val="HeaderChar"/>
    <w:uiPriority w:val="99"/>
    <w:unhideWhenUsed/>
    <w:rsid w:val="00ED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FB3"/>
    <w:rPr>
      <w:rFonts w:ascii="Open Sans" w:eastAsia="Open Sans" w:hAnsi="Open Sans" w:cs="Open Sans"/>
      <w:color w:val="353434"/>
      <w:sz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1965">
      <w:bodyDiv w:val="1"/>
      <w:marLeft w:val="0"/>
      <w:marRight w:val="0"/>
      <w:marTop w:val="0"/>
      <w:marBottom w:val="0"/>
      <w:divBdr>
        <w:top w:val="none" w:sz="0" w:space="0" w:color="auto"/>
        <w:left w:val="none" w:sz="0" w:space="0" w:color="auto"/>
        <w:bottom w:val="none" w:sz="0" w:space="0" w:color="auto"/>
        <w:right w:val="none" w:sz="0" w:space="0" w:color="auto"/>
      </w:divBdr>
      <w:divsChild>
        <w:div w:id="1745957041">
          <w:marLeft w:val="0"/>
          <w:marRight w:val="0"/>
          <w:marTop w:val="0"/>
          <w:marBottom w:val="0"/>
          <w:divBdr>
            <w:top w:val="none" w:sz="0" w:space="0" w:color="auto"/>
            <w:left w:val="none" w:sz="0" w:space="0" w:color="auto"/>
            <w:bottom w:val="none" w:sz="0" w:space="0" w:color="auto"/>
            <w:right w:val="none" w:sz="0" w:space="0" w:color="auto"/>
          </w:divBdr>
          <w:divsChild>
            <w:div w:id="1046102136">
              <w:marLeft w:val="0"/>
              <w:marRight w:val="0"/>
              <w:marTop w:val="0"/>
              <w:marBottom w:val="0"/>
              <w:divBdr>
                <w:top w:val="none" w:sz="0" w:space="0" w:color="auto"/>
                <w:left w:val="none" w:sz="0" w:space="0" w:color="auto"/>
                <w:bottom w:val="none" w:sz="0" w:space="0" w:color="auto"/>
                <w:right w:val="none" w:sz="0" w:space="0" w:color="auto"/>
              </w:divBdr>
              <w:divsChild>
                <w:div w:id="2350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4000">
      <w:bodyDiv w:val="1"/>
      <w:marLeft w:val="0"/>
      <w:marRight w:val="0"/>
      <w:marTop w:val="0"/>
      <w:marBottom w:val="0"/>
      <w:divBdr>
        <w:top w:val="none" w:sz="0" w:space="0" w:color="auto"/>
        <w:left w:val="none" w:sz="0" w:space="0" w:color="auto"/>
        <w:bottom w:val="none" w:sz="0" w:space="0" w:color="auto"/>
        <w:right w:val="none" w:sz="0" w:space="0" w:color="auto"/>
      </w:divBdr>
    </w:div>
    <w:div w:id="637296677">
      <w:bodyDiv w:val="1"/>
      <w:marLeft w:val="0"/>
      <w:marRight w:val="0"/>
      <w:marTop w:val="0"/>
      <w:marBottom w:val="0"/>
      <w:divBdr>
        <w:top w:val="none" w:sz="0" w:space="0" w:color="auto"/>
        <w:left w:val="none" w:sz="0" w:space="0" w:color="auto"/>
        <w:bottom w:val="none" w:sz="0" w:space="0" w:color="auto"/>
        <w:right w:val="none" w:sz="0" w:space="0" w:color="auto"/>
      </w:divBdr>
      <w:divsChild>
        <w:div w:id="136916035">
          <w:marLeft w:val="0"/>
          <w:marRight w:val="0"/>
          <w:marTop w:val="0"/>
          <w:marBottom w:val="0"/>
          <w:divBdr>
            <w:top w:val="none" w:sz="0" w:space="0" w:color="auto"/>
            <w:left w:val="none" w:sz="0" w:space="0" w:color="auto"/>
            <w:bottom w:val="none" w:sz="0" w:space="0" w:color="auto"/>
            <w:right w:val="none" w:sz="0" w:space="0" w:color="auto"/>
          </w:divBdr>
          <w:divsChild>
            <w:div w:id="1612123037">
              <w:marLeft w:val="0"/>
              <w:marRight w:val="0"/>
              <w:marTop w:val="0"/>
              <w:marBottom w:val="0"/>
              <w:divBdr>
                <w:top w:val="none" w:sz="0" w:space="0" w:color="auto"/>
                <w:left w:val="none" w:sz="0" w:space="0" w:color="auto"/>
                <w:bottom w:val="none" w:sz="0" w:space="0" w:color="auto"/>
                <w:right w:val="none" w:sz="0" w:space="0" w:color="auto"/>
              </w:divBdr>
              <w:divsChild>
                <w:div w:id="7995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87186">
      <w:bodyDiv w:val="1"/>
      <w:marLeft w:val="0"/>
      <w:marRight w:val="0"/>
      <w:marTop w:val="0"/>
      <w:marBottom w:val="0"/>
      <w:divBdr>
        <w:top w:val="none" w:sz="0" w:space="0" w:color="auto"/>
        <w:left w:val="none" w:sz="0" w:space="0" w:color="auto"/>
        <w:bottom w:val="none" w:sz="0" w:space="0" w:color="auto"/>
        <w:right w:val="none" w:sz="0" w:space="0" w:color="auto"/>
      </w:divBdr>
      <w:divsChild>
        <w:div w:id="2097433907">
          <w:marLeft w:val="0"/>
          <w:marRight w:val="0"/>
          <w:marTop w:val="0"/>
          <w:marBottom w:val="0"/>
          <w:divBdr>
            <w:top w:val="none" w:sz="0" w:space="0" w:color="auto"/>
            <w:left w:val="none" w:sz="0" w:space="0" w:color="auto"/>
            <w:bottom w:val="none" w:sz="0" w:space="0" w:color="auto"/>
            <w:right w:val="none" w:sz="0" w:space="0" w:color="auto"/>
          </w:divBdr>
          <w:divsChild>
            <w:div w:id="925769820">
              <w:marLeft w:val="0"/>
              <w:marRight w:val="0"/>
              <w:marTop w:val="0"/>
              <w:marBottom w:val="0"/>
              <w:divBdr>
                <w:top w:val="none" w:sz="0" w:space="0" w:color="auto"/>
                <w:left w:val="none" w:sz="0" w:space="0" w:color="auto"/>
                <w:bottom w:val="none" w:sz="0" w:space="0" w:color="auto"/>
                <w:right w:val="none" w:sz="0" w:space="0" w:color="auto"/>
              </w:divBdr>
              <w:divsChild>
                <w:div w:id="2938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40348">
      <w:bodyDiv w:val="1"/>
      <w:marLeft w:val="0"/>
      <w:marRight w:val="0"/>
      <w:marTop w:val="0"/>
      <w:marBottom w:val="0"/>
      <w:divBdr>
        <w:top w:val="none" w:sz="0" w:space="0" w:color="auto"/>
        <w:left w:val="none" w:sz="0" w:space="0" w:color="auto"/>
        <w:bottom w:val="none" w:sz="0" w:space="0" w:color="auto"/>
        <w:right w:val="none" w:sz="0" w:space="0" w:color="auto"/>
      </w:divBdr>
      <w:divsChild>
        <w:div w:id="58285184">
          <w:marLeft w:val="0"/>
          <w:marRight w:val="0"/>
          <w:marTop w:val="0"/>
          <w:marBottom w:val="0"/>
          <w:divBdr>
            <w:top w:val="none" w:sz="0" w:space="0" w:color="auto"/>
            <w:left w:val="none" w:sz="0" w:space="0" w:color="auto"/>
            <w:bottom w:val="none" w:sz="0" w:space="0" w:color="auto"/>
            <w:right w:val="none" w:sz="0" w:space="0" w:color="auto"/>
          </w:divBdr>
          <w:divsChild>
            <w:div w:id="8719271">
              <w:marLeft w:val="0"/>
              <w:marRight w:val="0"/>
              <w:marTop w:val="0"/>
              <w:marBottom w:val="0"/>
              <w:divBdr>
                <w:top w:val="none" w:sz="0" w:space="0" w:color="auto"/>
                <w:left w:val="none" w:sz="0" w:space="0" w:color="auto"/>
                <w:bottom w:val="none" w:sz="0" w:space="0" w:color="auto"/>
                <w:right w:val="none" w:sz="0" w:space="0" w:color="auto"/>
              </w:divBdr>
              <w:divsChild>
                <w:div w:id="8537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38081">
      <w:bodyDiv w:val="1"/>
      <w:marLeft w:val="0"/>
      <w:marRight w:val="0"/>
      <w:marTop w:val="0"/>
      <w:marBottom w:val="0"/>
      <w:divBdr>
        <w:top w:val="none" w:sz="0" w:space="0" w:color="auto"/>
        <w:left w:val="none" w:sz="0" w:space="0" w:color="auto"/>
        <w:bottom w:val="none" w:sz="0" w:space="0" w:color="auto"/>
        <w:right w:val="none" w:sz="0" w:space="0" w:color="auto"/>
      </w:divBdr>
      <w:divsChild>
        <w:div w:id="223956302">
          <w:marLeft w:val="0"/>
          <w:marRight w:val="0"/>
          <w:marTop w:val="0"/>
          <w:marBottom w:val="0"/>
          <w:divBdr>
            <w:top w:val="none" w:sz="0" w:space="0" w:color="auto"/>
            <w:left w:val="none" w:sz="0" w:space="0" w:color="auto"/>
            <w:bottom w:val="none" w:sz="0" w:space="0" w:color="auto"/>
            <w:right w:val="none" w:sz="0" w:space="0" w:color="auto"/>
          </w:divBdr>
          <w:divsChild>
            <w:div w:id="1082682339">
              <w:marLeft w:val="0"/>
              <w:marRight w:val="0"/>
              <w:marTop w:val="0"/>
              <w:marBottom w:val="0"/>
              <w:divBdr>
                <w:top w:val="none" w:sz="0" w:space="0" w:color="auto"/>
                <w:left w:val="none" w:sz="0" w:space="0" w:color="auto"/>
                <w:bottom w:val="none" w:sz="0" w:space="0" w:color="auto"/>
                <w:right w:val="none" w:sz="0" w:space="0" w:color="auto"/>
              </w:divBdr>
              <w:divsChild>
                <w:div w:id="1614824331">
                  <w:marLeft w:val="0"/>
                  <w:marRight w:val="0"/>
                  <w:marTop w:val="0"/>
                  <w:marBottom w:val="0"/>
                  <w:divBdr>
                    <w:top w:val="none" w:sz="0" w:space="0" w:color="auto"/>
                    <w:left w:val="none" w:sz="0" w:space="0" w:color="auto"/>
                    <w:bottom w:val="none" w:sz="0" w:space="0" w:color="auto"/>
                    <w:right w:val="none" w:sz="0" w:space="0" w:color="auto"/>
                  </w:divBdr>
                  <w:divsChild>
                    <w:div w:id="12753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2653">
      <w:bodyDiv w:val="1"/>
      <w:marLeft w:val="0"/>
      <w:marRight w:val="0"/>
      <w:marTop w:val="0"/>
      <w:marBottom w:val="0"/>
      <w:divBdr>
        <w:top w:val="none" w:sz="0" w:space="0" w:color="auto"/>
        <w:left w:val="none" w:sz="0" w:space="0" w:color="auto"/>
        <w:bottom w:val="none" w:sz="0" w:space="0" w:color="auto"/>
        <w:right w:val="none" w:sz="0" w:space="0" w:color="auto"/>
      </w:divBdr>
    </w:div>
    <w:div w:id="1433739212">
      <w:bodyDiv w:val="1"/>
      <w:marLeft w:val="0"/>
      <w:marRight w:val="0"/>
      <w:marTop w:val="0"/>
      <w:marBottom w:val="0"/>
      <w:divBdr>
        <w:top w:val="none" w:sz="0" w:space="0" w:color="auto"/>
        <w:left w:val="none" w:sz="0" w:space="0" w:color="auto"/>
        <w:bottom w:val="none" w:sz="0" w:space="0" w:color="auto"/>
        <w:right w:val="none" w:sz="0" w:space="0" w:color="auto"/>
      </w:divBdr>
    </w:div>
    <w:div w:id="1686634646">
      <w:bodyDiv w:val="1"/>
      <w:marLeft w:val="0"/>
      <w:marRight w:val="0"/>
      <w:marTop w:val="0"/>
      <w:marBottom w:val="0"/>
      <w:divBdr>
        <w:top w:val="none" w:sz="0" w:space="0" w:color="auto"/>
        <w:left w:val="none" w:sz="0" w:space="0" w:color="auto"/>
        <w:bottom w:val="none" w:sz="0" w:space="0" w:color="auto"/>
        <w:right w:val="none" w:sz="0" w:space="0" w:color="auto"/>
      </w:divBdr>
      <w:divsChild>
        <w:div w:id="43525058">
          <w:marLeft w:val="0"/>
          <w:marRight w:val="0"/>
          <w:marTop w:val="0"/>
          <w:marBottom w:val="0"/>
          <w:divBdr>
            <w:top w:val="none" w:sz="0" w:space="0" w:color="auto"/>
            <w:left w:val="none" w:sz="0" w:space="0" w:color="auto"/>
            <w:bottom w:val="none" w:sz="0" w:space="0" w:color="auto"/>
            <w:right w:val="none" w:sz="0" w:space="0" w:color="auto"/>
          </w:divBdr>
          <w:divsChild>
            <w:div w:id="2127653465">
              <w:marLeft w:val="0"/>
              <w:marRight w:val="0"/>
              <w:marTop w:val="0"/>
              <w:marBottom w:val="0"/>
              <w:divBdr>
                <w:top w:val="none" w:sz="0" w:space="0" w:color="auto"/>
                <w:left w:val="none" w:sz="0" w:space="0" w:color="auto"/>
                <w:bottom w:val="none" w:sz="0" w:space="0" w:color="auto"/>
                <w:right w:val="none" w:sz="0" w:space="0" w:color="auto"/>
              </w:divBdr>
              <w:divsChild>
                <w:div w:id="2144695694">
                  <w:marLeft w:val="0"/>
                  <w:marRight w:val="0"/>
                  <w:marTop w:val="0"/>
                  <w:marBottom w:val="0"/>
                  <w:divBdr>
                    <w:top w:val="none" w:sz="0" w:space="0" w:color="auto"/>
                    <w:left w:val="none" w:sz="0" w:space="0" w:color="auto"/>
                    <w:bottom w:val="none" w:sz="0" w:space="0" w:color="auto"/>
                    <w:right w:val="none" w:sz="0" w:space="0" w:color="auto"/>
                  </w:divBdr>
                  <w:divsChild>
                    <w:div w:id="4650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4105">
      <w:bodyDiv w:val="1"/>
      <w:marLeft w:val="0"/>
      <w:marRight w:val="0"/>
      <w:marTop w:val="0"/>
      <w:marBottom w:val="0"/>
      <w:divBdr>
        <w:top w:val="none" w:sz="0" w:space="0" w:color="auto"/>
        <w:left w:val="none" w:sz="0" w:space="0" w:color="auto"/>
        <w:bottom w:val="none" w:sz="0" w:space="0" w:color="auto"/>
        <w:right w:val="none" w:sz="0" w:space="0" w:color="auto"/>
      </w:divBdr>
    </w:div>
    <w:div w:id="189033773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95">
          <w:marLeft w:val="0"/>
          <w:marRight w:val="0"/>
          <w:marTop w:val="0"/>
          <w:marBottom w:val="0"/>
          <w:divBdr>
            <w:top w:val="none" w:sz="0" w:space="0" w:color="auto"/>
            <w:left w:val="none" w:sz="0" w:space="0" w:color="auto"/>
            <w:bottom w:val="none" w:sz="0" w:space="0" w:color="auto"/>
            <w:right w:val="none" w:sz="0" w:space="0" w:color="auto"/>
          </w:divBdr>
          <w:divsChild>
            <w:div w:id="848451315">
              <w:marLeft w:val="0"/>
              <w:marRight w:val="0"/>
              <w:marTop w:val="0"/>
              <w:marBottom w:val="0"/>
              <w:divBdr>
                <w:top w:val="none" w:sz="0" w:space="0" w:color="auto"/>
                <w:left w:val="none" w:sz="0" w:space="0" w:color="auto"/>
                <w:bottom w:val="none" w:sz="0" w:space="0" w:color="auto"/>
                <w:right w:val="none" w:sz="0" w:space="0" w:color="auto"/>
              </w:divBdr>
              <w:divsChild>
                <w:div w:id="21257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79976">
      <w:bodyDiv w:val="1"/>
      <w:marLeft w:val="0"/>
      <w:marRight w:val="0"/>
      <w:marTop w:val="0"/>
      <w:marBottom w:val="0"/>
      <w:divBdr>
        <w:top w:val="none" w:sz="0" w:space="0" w:color="auto"/>
        <w:left w:val="none" w:sz="0" w:space="0" w:color="auto"/>
        <w:bottom w:val="none" w:sz="0" w:space="0" w:color="auto"/>
        <w:right w:val="none" w:sz="0" w:space="0" w:color="auto"/>
      </w:divBdr>
    </w:div>
    <w:div w:id="2006542477">
      <w:bodyDiv w:val="1"/>
      <w:marLeft w:val="0"/>
      <w:marRight w:val="0"/>
      <w:marTop w:val="0"/>
      <w:marBottom w:val="0"/>
      <w:divBdr>
        <w:top w:val="none" w:sz="0" w:space="0" w:color="auto"/>
        <w:left w:val="none" w:sz="0" w:space="0" w:color="auto"/>
        <w:bottom w:val="none" w:sz="0" w:space="0" w:color="auto"/>
        <w:right w:val="none" w:sz="0" w:space="0" w:color="auto"/>
      </w:divBdr>
      <w:divsChild>
        <w:div w:id="1002584828">
          <w:marLeft w:val="0"/>
          <w:marRight w:val="0"/>
          <w:marTop w:val="0"/>
          <w:marBottom w:val="0"/>
          <w:divBdr>
            <w:top w:val="none" w:sz="0" w:space="0" w:color="auto"/>
            <w:left w:val="none" w:sz="0" w:space="0" w:color="auto"/>
            <w:bottom w:val="none" w:sz="0" w:space="0" w:color="auto"/>
            <w:right w:val="none" w:sz="0" w:space="0" w:color="auto"/>
          </w:divBdr>
          <w:divsChild>
            <w:div w:id="968782991">
              <w:marLeft w:val="0"/>
              <w:marRight w:val="0"/>
              <w:marTop w:val="0"/>
              <w:marBottom w:val="0"/>
              <w:divBdr>
                <w:top w:val="none" w:sz="0" w:space="0" w:color="auto"/>
                <w:left w:val="none" w:sz="0" w:space="0" w:color="auto"/>
                <w:bottom w:val="none" w:sz="0" w:space="0" w:color="auto"/>
                <w:right w:val="none" w:sz="0" w:space="0" w:color="auto"/>
              </w:divBdr>
              <w:divsChild>
                <w:div w:id="3277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0574">
      <w:bodyDiv w:val="1"/>
      <w:marLeft w:val="0"/>
      <w:marRight w:val="0"/>
      <w:marTop w:val="0"/>
      <w:marBottom w:val="0"/>
      <w:divBdr>
        <w:top w:val="none" w:sz="0" w:space="0" w:color="auto"/>
        <w:left w:val="none" w:sz="0" w:space="0" w:color="auto"/>
        <w:bottom w:val="none" w:sz="0" w:space="0" w:color="auto"/>
        <w:right w:val="none" w:sz="0" w:space="0" w:color="auto"/>
      </w:divBdr>
      <w:divsChild>
        <w:div w:id="2107995874">
          <w:marLeft w:val="0"/>
          <w:marRight w:val="0"/>
          <w:marTop w:val="0"/>
          <w:marBottom w:val="0"/>
          <w:divBdr>
            <w:top w:val="none" w:sz="0" w:space="0" w:color="auto"/>
            <w:left w:val="none" w:sz="0" w:space="0" w:color="auto"/>
            <w:bottom w:val="none" w:sz="0" w:space="0" w:color="auto"/>
            <w:right w:val="none" w:sz="0" w:space="0" w:color="auto"/>
          </w:divBdr>
          <w:divsChild>
            <w:div w:id="1753891628">
              <w:marLeft w:val="0"/>
              <w:marRight w:val="0"/>
              <w:marTop w:val="0"/>
              <w:marBottom w:val="0"/>
              <w:divBdr>
                <w:top w:val="none" w:sz="0" w:space="0" w:color="auto"/>
                <w:left w:val="none" w:sz="0" w:space="0" w:color="auto"/>
                <w:bottom w:val="none" w:sz="0" w:space="0" w:color="auto"/>
                <w:right w:val="none" w:sz="0" w:space="0" w:color="auto"/>
              </w:divBdr>
              <w:divsChild>
                <w:div w:id="10156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Casale</dc:creator>
  <cp:keywords/>
  <cp:lastModifiedBy>Mike Casale</cp:lastModifiedBy>
  <cp:revision>8</cp:revision>
  <dcterms:created xsi:type="dcterms:W3CDTF">2021-04-30T02:47:00Z</dcterms:created>
  <dcterms:modified xsi:type="dcterms:W3CDTF">2021-05-15T23:48:00Z</dcterms:modified>
</cp:coreProperties>
</file>