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D4A63" w14:textId="1A703981" w:rsidR="004A4D12" w:rsidRPr="004A4D12" w:rsidRDefault="004A4D12" w:rsidP="00C67184">
      <w:pPr>
        <w:widowControl w:val="0"/>
        <w:autoSpaceDE w:val="0"/>
        <w:autoSpaceDN w:val="0"/>
        <w:adjustRightInd w:val="0"/>
        <w:spacing w:line="360" w:lineRule="auto"/>
        <w:rPr>
          <w:rFonts w:cs="Times"/>
          <w:color w:val="000000"/>
        </w:rPr>
      </w:pPr>
      <w:r w:rsidRPr="004A4D12">
        <w:rPr>
          <w:rFonts w:cs="Times"/>
          <w:color w:val="000000"/>
        </w:rPr>
        <w:t>Daniel Wong</w:t>
      </w:r>
    </w:p>
    <w:p w14:paraId="5E5AD9BC" w14:textId="5E5FF343" w:rsidR="004A4D12" w:rsidRDefault="004A4D12" w:rsidP="00C67184">
      <w:pPr>
        <w:widowControl w:val="0"/>
        <w:autoSpaceDE w:val="0"/>
        <w:autoSpaceDN w:val="0"/>
        <w:adjustRightInd w:val="0"/>
        <w:spacing w:line="360" w:lineRule="auto"/>
        <w:jc w:val="center"/>
        <w:rPr>
          <w:rFonts w:cs="Times"/>
          <w:color w:val="000000"/>
        </w:rPr>
      </w:pPr>
      <w:r w:rsidRPr="004A4D12">
        <w:rPr>
          <w:rFonts w:cs="Times"/>
          <w:color w:val="000000"/>
        </w:rPr>
        <w:t>Annotated Bibliography for Mini Qual</w:t>
      </w:r>
    </w:p>
    <w:p w14:paraId="612996EB" w14:textId="76C94825" w:rsidR="002C50C5" w:rsidRDefault="002C50C5" w:rsidP="002C50C5">
      <w:pPr>
        <w:widowControl w:val="0"/>
        <w:autoSpaceDE w:val="0"/>
        <w:autoSpaceDN w:val="0"/>
        <w:adjustRightInd w:val="0"/>
        <w:spacing w:line="360" w:lineRule="auto"/>
        <w:rPr>
          <w:rFonts w:cs="Times"/>
          <w:color w:val="000000"/>
        </w:rPr>
      </w:pPr>
      <w:r>
        <w:rPr>
          <w:rFonts w:cs="Times"/>
          <w:color w:val="000000"/>
        </w:rPr>
        <w:t>Generally</w:t>
      </w:r>
      <w:r w:rsidR="009E5573">
        <w:rPr>
          <w:rFonts w:cs="Times"/>
          <w:color w:val="000000"/>
        </w:rPr>
        <w:t xml:space="preserve"> speaking</w:t>
      </w:r>
      <w:r>
        <w:rPr>
          <w:rFonts w:cs="Times"/>
          <w:color w:val="000000"/>
        </w:rPr>
        <w:t xml:space="preserve">, I’ll be working </w:t>
      </w:r>
      <w:r w:rsidR="00D81AD3">
        <w:rPr>
          <w:rFonts w:cs="Times"/>
          <w:color w:val="000000"/>
        </w:rPr>
        <w:t>o</w:t>
      </w:r>
      <w:r w:rsidR="00CA6158">
        <w:rPr>
          <w:rFonts w:cs="Times"/>
          <w:color w:val="000000"/>
        </w:rPr>
        <w:t>n a project that looks at the protein aggregates of alpha synuclein in neurodegeneration</w:t>
      </w:r>
      <w:r w:rsidR="00114FB3">
        <w:rPr>
          <w:rFonts w:cs="Times"/>
          <w:color w:val="000000"/>
        </w:rPr>
        <w:t xml:space="preserve"> and discovering the pathway mechanisms of disease</w:t>
      </w:r>
      <w:bookmarkStart w:id="0" w:name="_GoBack"/>
      <w:bookmarkEnd w:id="0"/>
      <w:r w:rsidR="00CA6158">
        <w:rPr>
          <w:rFonts w:cs="Times"/>
          <w:color w:val="000000"/>
        </w:rPr>
        <w:t xml:space="preserve">. We will be approaching aggregation and how to inhibit it from a </w:t>
      </w:r>
      <w:r w:rsidR="005E75FC">
        <w:rPr>
          <w:rFonts w:cs="Times"/>
          <w:color w:val="000000"/>
        </w:rPr>
        <w:t>large</w:t>
      </w:r>
      <w:r w:rsidR="00807E27">
        <w:rPr>
          <w:rFonts w:cs="Times"/>
          <w:color w:val="000000"/>
        </w:rPr>
        <w:t xml:space="preserve"> data screen</w:t>
      </w:r>
      <w:r w:rsidR="00642A04">
        <w:rPr>
          <w:rFonts w:cs="Times"/>
          <w:color w:val="000000"/>
        </w:rPr>
        <w:t xml:space="preserve">. </w:t>
      </w:r>
      <w:r w:rsidR="0066475C">
        <w:rPr>
          <w:rFonts w:cs="Times"/>
          <w:color w:val="000000"/>
        </w:rPr>
        <w:t>This will require usage and building off of previous work done in the Keiser lab, particular</w:t>
      </w:r>
      <w:r w:rsidR="009E5573">
        <w:rPr>
          <w:rFonts w:cs="Times"/>
          <w:color w:val="000000"/>
        </w:rPr>
        <w:t>l</w:t>
      </w:r>
      <w:r w:rsidR="0066475C">
        <w:rPr>
          <w:rFonts w:cs="Times"/>
          <w:color w:val="000000"/>
        </w:rPr>
        <w:t>y the similarity ensemble approach</w:t>
      </w:r>
      <w:r w:rsidR="00384237">
        <w:rPr>
          <w:rFonts w:cs="Times"/>
          <w:color w:val="000000"/>
        </w:rPr>
        <w:t xml:space="preserve"> (SEA)</w:t>
      </w:r>
      <w:r w:rsidR="0066475C">
        <w:rPr>
          <w:rFonts w:cs="Times"/>
          <w:color w:val="000000"/>
        </w:rPr>
        <w:t xml:space="preserve"> to find drugs</w:t>
      </w:r>
      <w:r w:rsidR="00384237">
        <w:rPr>
          <w:rFonts w:cs="Times"/>
          <w:color w:val="000000"/>
        </w:rPr>
        <w:t xml:space="preserve"> and their corresponding targets</w:t>
      </w:r>
      <w:r w:rsidR="0066475C">
        <w:rPr>
          <w:rFonts w:cs="Times"/>
          <w:color w:val="000000"/>
        </w:rPr>
        <w:t xml:space="preserve"> that may be of use</w:t>
      </w:r>
      <w:r w:rsidR="00384237">
        <w:rPr>
          <w:rFonts w:cs="Times"/>
          <w:color w:val="000000"/>
        </w:rPr>
        <w:t xml:space="preserve"> in ameliorating protein aggregation</w:t>
      </w:r>
      <w:r w:rsidR="0066475C">
        <w:rPr>
          <w:rFonts w:cs="Times"/>
          <w:color w:val="000000"/>
        </w:rPr>
        <w:t>. After in silico hits, we can then validate in vitro and then build phenotypic profiles in vivo</w:t>
      </w:r>
      <w:r w:rsidR="006D4E11">
        <w:rPr>
          <w:rFonts w:cs="Times"/>
          <w:color w:val="000000"/>
        </w:rPr>
        <w:t xml:space="preserve"> and analyze them</w:t>
      </w:r>
      <w:r w:rsidR="0066475C">
        <w:rPr>
          <w:rFonts w:cs="Times"/>
          <w:color w:val="000000"/>
        </w:rPr>
        <w:t xml:space="preserve">. </w:t>
      </w:r>
    </w:p>
    <w:p w14:paraId="1382C4D8" w14:textId="77777777" w:rsidR="00CB5D2F" w:rsidRDefault="00CB5D2F" w:rsidP="002C50C5">
      <w:pPr>
        <w:widowControl w:val="0"/>
        <w:autoSpaceDE w:val="0"/>
        <w:autoSpaceDN w:val="0"/>
        <w:adjustRightInd w:val="0"/>
        <w:spacing w:line="360" w:lineRule="auto"/>
        <w:rPr>
          <w:rFonts w:cs="Times"/>
          <w:color w:val="000000"/>
        </w:rPr>
      </w:pPr>
    </w:p>
    <w:p w14:paraId="1AC65D8D" w14:textId="46FF9DD9" w:rsidR="00CB5D2F" w:rsidRPr="00CB5D2F" w:rsidRDefault="00CB5D2F" w:rsidP="002C50C5">
      <w:pPr>
        <w:widowControl w:val="0"/>
        <w:autoSpaceDE w:val="0"/>
        <w:autoSpaceDN w:val="0"/>
        <w:adjustRightInd w:val="0"/>
        <w:spacing w:line="360" w:lineRule="auto"/>
        <w:rPr>
          <w:rFonts w:cs="Times"/>
          <w:b/>
          <w:color w:val="000000"/>
        </w:rPr>
      </w:pPr>
      <w:r w:rsidRPr="00CB5D2F">
        <w:rPr>
          <w:rFonts w:cs="Times"/>
          <w:b/>
          <w:color w:val="000000"/>
        </w:rPr>
        <w:t>References:</w:t>
      </w:r>
    </w:p>
    <w:p w14:paraId="37399D96" w14:textId="78264974" w:rsidR="00BC3070" w:rsidRPr="002D2704" w:rsidRDefault="002D2704" w:rsidP="002D2704">
      <w:pPr>
        <w:widowControl w:val="0"/>
        <w:autoSpaceDE w:val="0"/>
        <w:autoSpaceDN w:val="0"/>
        <w:adjustRightInd w:val="0"/>
        <w:spacing w:line="360" w:lineRule="auto"/>
        <w:rPr>
          <w:rFonts w:cs="Times"/>
          <w:b/>
          <w:color w:val="000000"/>
        </w:rPr>
      </w:pPr>
      <w:r w:rsidRPr="002D2704">
        <w:rPr>
          <w:rFonts w:cs="Times"/>
          <w:b/>
          <w:color w:val="000000"/>
        </w:rPr>
        <w:t>1.</w:t>
      </w:r>
      <w:r>
        <w:rPr>
          <w:rFonts w:cs="Times"/>
          <w:b/>
          <w:color w:val="000000"/>
        </w:rPr>
        <w:t xml:space="preserve"> </w:t>
      </w:r>
      <w:r w:rsidR="00BC3070" w:rsidRPr="002D2704">
        <w:rPr>
          <w:rFonts w:cs="Times"/>
          <w:b/>
          <w:color w:val="000000"/>
        </w:rPr>
        <w:t xml:space="preserve">Large-scale prediction and testing of drug </w:t>
      </w:r>
      <w:r w:rsidR="00BC3070" w:rsidRPr="002D2704">
        <w:rPr>
          <w:rFonts w:cs="Times"/>
          <w:b/>
          <w:color w:val="000000"/>
        </w:rPr>
        <w:t>activity on side-effect targets</w:t>
      </w:r>
    </w:p>
    <w:p w14:paraId="5F2DD352" w14:textId="0E3DA5A4" w:rsidR="00857C0B" w:rsidRPr="000E2ADF" w:rsidRDefault="00BC3070" w:rsidP="00C67184">
      <w:pPr>
        <w:widowControl w:val="0"/>
        <w:autoSpaceDE w:val="0"/>
        <w:autoSpaceDN w:val="0"/>
        <w:adjustRightInd w:val="0"/>
        <w:spacing w:line="360" w:lineRule="auto"/>
        <w:rPr>
          <w:rFonts w:cs="Times"/>
          <w:color w:val="000000"/>
          <w:u w:val="single"/>
        </w:rPr>
      </w:pPr>
      <w:r>
        <w:rPr>
          <w:rFonts w:cs="Times"/>
          <w:color w:val="000000"/>
        </w:rPr>
        <w:t xml:space="preserve">SEA </w:t>
      </w:r>
      <w:r w:rsidR="00805498">
        <w:rPr>
          <w:rFonts w:cs="Times"/>
          <w:color w:val="000000"/>
        </w:rPr>
        <w:t xml:space="preserve">was </w:t>
      </w:r>
      <w:r>
        <w:rPr>
          <w:rFonts w:cs="Times"/>
          <w:color w:val="000000"/>
        </w:rPr>
        <w:t>used to</w:t>
      </w:r>
      <w:r w:rsidR="00B231B1">
        <w:rPr>
          <w:rFonts w:cs="Times"/>
          <w:color w:val="000000"/>
        </w:rPr>
        <w:t xml:space="preserve"> identify new drug-off </w:t>
      </w:r>
      <w:r>
        <w:rPr>
          <w:rFonts w:cs="Times"/>
          <w:color w:val="000000"/>
        </w:rPr>
        <w:t xml:space="preserve">target </w:t>
      </w:r>
      <w:r w:rsidR="00805498">
        <w:rPr>
          <w:rFonts w:cs="Times"/>
          <w:color w:val="000000"/>
        </w:rPr>
        <w:t>pairs.</w:t>
      </w:r>
      <w:r>
        <w:rPr>
          <w:rFonts w:cs="Times"/>
          <w:color w:val="000000"/>
        </w:rPr>
        <w:t xml:space="preserve"> </w:t>
      </w:r>
      <w:r w:rsidR="00805498">
        <w:rPr>
          <w:rFonts w:cs="Times"/>
          <w:color w:val="000000"/>
        </w:rPr>
        <w:t xml:space="preserve">A </w:t>
      </w:r>
      <w:r>
        <w:rPr>
          <w:rFonts w:cs="Times"/>
          <w:color w:val="000000"/>
        </w:rPr>
        <w:t>drug of interest</w:t>
      </w:r>
      <w:r w:rsidR="00805498">
        <w:rPr>
          <w:rFonts w:cs="Times"/>
          <w:color w:val="000000"/>
        </w:rPr>
        <w:t xml:space="preserve"> is</w:t>
      </w:r>
      <w:r>
        <w:rPr>
          <w:rFonts w:cs="Times"/>
          <w:color w:val="000000"/>
        </w:rPr>
        <w:t xml:space="preserve"> compared to</w:t>
      </w:r>
      <w:r w:rsidR="00805498">
        <w:rPr>
          <w:rFonts w:cs="Times"/>
          <w:color w:val="000000"/>
        </w:rPr>
        <w:t xml:space="preserve"> the</w:t>
      </w:r>
      <w:r>
        <w:rPr>
          <w:rFonts w:cs="Times"/>
          <w:color w:val="000000"/>
        </w:rPr>
        <w:t xml:space="preserve"> drug set defined by</w:t>
      </w:r>
      <w:r w:rsidR="00805498">
        <w:rPr>
          <w:rFonts w:cs="Times"/>
          <w:color w:val="000000"/>
        </w:rPr>
        <w:t xml:space="preserve"> the target. I</w:t>
      </w:r>
      <w:r>
        <w:rPr>
          <w:rFonts w:cs="Times"/>
          <w:color w:val="000000"/>
        </w:rPr>
        <w:t xml:space="preserve">f </w:t>
      </w:r>
      <w:r w:rsidR="00B615D9">
        <w:rPr>
          <w:rFonts w:cs="Times"/>
          <w:color w:val="000000"/>
        </w:rPr>
        <w:t xml:space="preserve">the </w:t>
      </w:r>
      <w:r>
        <w:rPr>
          <w:rFonts w:cs="Times"/>
          <w:color w:val="000000"/>
        </w:rPr>
        <w:t xml:space="preserve">SEA score </w:t>
      </w:r>
      <w:r w:rsidR="00B615D9">
        <w:rPr>
          <w:rFonts w:cs="Times"/>
          <w:color w:val="000000"/>
        </w:rPr>
        <w:t xml:space="preserve">is </w:t>
      </w:r>
      <w:r>
        <w:rPr>
          <w:rFonts w:cs="Times"/>
          <w:color w:val="000000"/>
        </w:rPr>
        <w:t>relevant</w:t>
      </w:r>
      <w:r w:rsidR="00B615D9">
        <w:rPr>
          <w:rFonts w:cs="Times"/>
          <w:color w:val="000000"/>
        </w:rPr>
        <w:t xml:space="preserve"> (below a specific threshold)</w:t>
      </w:r>
      <w:r>
        <w:rPr>
          <w:rFonts w:cs="Times"/>
          <w:color w:val="000000"/>
        </w:rPr>
        <w:t>,</w:t>
      </w:r>
      <w:r w:rsidR="00B615D9">
        <w:rPr>
          <w:rFonts w:cs="Times"/>
          <w:color w:val="000000"/>
        </w:rPr>
        <w:t xml:space="preserve"> it can be</w:t>
      </w:r>
      <w:r>
        <w:rPr>
          <w:rFonts w:cs="Times"/>
          <w:color w:val="000000"/>
        </w:rPr>
        <w:t xml:space="preserve"> test</w:t>
      </w:r>
      <w:r w:rsidR="00B615D9">
        <w:rPr>
          <w:rFonts w:cs="Times"/>
          <w:color w:val="000000"/>
        </w:rPr>
        <w:t>ed</w:t>
      </w:r>
      <w:r>
        <w:rPr>
          <w:rFonts w:cs="Times"/>
          <w:color w:val="000000"/>
        </w:rPr>
        <w:t xml:space="preserve"> in vitro or confirm</w:t>
      </w:r>
      <w:r w:rsidR="00B615D9">
        <w:rPr>
          <w:rFonts w:cs="Times"/>
          <w:color w:val="000000"/>
        </w:rPr>
        <w:t>ed</w:t>
      </w:r>
      <w:r>
        <w:rPr>
          <w:rFonts w:cs="Times"/>
          <w:color w:val="000000"/>
        </w:rPr>
        <w:t xml:space="preserve"> in</w:t>
      </w:r>
      <w:r w:rsidR="00B615D9">
        <w:rPr>
          <w:rFonts w:cs="Times"/>
          <w:color w:val="000000"/>
        </w:rPr>
        <w:t xml:space="preserve"> external</w:t>
      </w:r>
      <w:r>
        <w:rPr>
          <w:rFonts w:cs="Times"/>
          <w:color w:val="000000"/>
        </w:rPr>
        <w:t xml:space="preserve"> database</w:t>
      </w:r>
      <w:r w:rsidR="00B615D9">
        <w:rPr>
          <w:rFonts w:cs="Times"/>
          <w:color w:val="000000"/>
        </w:rPr>
        <w:t xml:space="preserve">s that SEA did not view.  </w:t>
      </w:r>
      <w:r w:rsidR="000A732B">
        <w:rPr>
          <w:rFonts w:cs="Times"/>
          <w:color w:val="000000"/>
        </w:rPr>
        <w:t>26% of n</w:t>
      </w:r>
      <w:r w:rsidR="00F33937">
        <w:rPr>
          <w:rFonts w:cs="Times"/>
          <w:color w:val="000000"/>
        </w:rPr>
        <w:t>ewly discovered off target</w:t>
      </w:r>
      <w:r w:rsidR="00B94507">
        <w:rPr>
          <w:rFonts w:cs="Times"/>
          <w:color w:val="000000"/>
        </w:rPr>
        <w:t>s</w:t>
      </w:r>
      <w:r w:rsidR="00F33937">
        <w:rPr>
          <w:rFonts w:cs="Times"/>
          <w:color w:val="000000"/>
        </w:rPr>
        <w:t xml:space="preserve"> </w:t>
      </w:r>
      <w:r w:rsidR="000A732B">
        <w:rPr>
          <w:rFonts w:cs="Times"/>
          <w:color w:val="000000"/>
        </w:rPr>
        <w:t xml:space="preserve">had no sequence similarity to </w:t>
      </w:r>
      <w:r w:rsidR="00211B15">
        <w:rPr>
          <w:rFonts w:cs="Times"/>
          <w:color w:val="000000"/>
        </w:rPr>
        <w:t xml:space="preserve">the </w:t>
      </w:r>
      <w:r w:rsidR="000A732B">
        <w:rPr>
          <w:rFonts w:cs="Times"/>
          <w:color w:val="000000"/>
        </w:rPr>
        <w:t>drug’s known target</w:t>
      </w:r>
      <w:r w:rsidR="00211B15">
        <w:rPr>
          <w:rFonts w:cs="Times"/>
          <w:color w:val="000000"/>
        </w:rPr>
        <w:t>.</w:t>
      </w:r>
      <w:r w:rsidR="00211B15" w:rsidRPr="00211B15">
        <w:rPr>
          <w:rFonts w:cs="Times"/>
          <w:color w:val="000000"/>
        </w:rPr>
        <w:t xml:space="preserve"> S</w:t>
      </w:r>
      <w:r w:rsidR="007C786F" w:rsidRPr="00211B15">
        <w:rPr>
          <w:rFonts w:cs="Times"/>
          <w:color w:val="000000"/>
        </w:rPr>
        <w:t xml:space="preserve">o </w:t>
      </w:r>
      <w:r w:rsidR="007C786F">
        <w:rPr>
          <w:rFonts w:cs="Times"/>
          <w:color w:val="000000"/>
        </w:rPr>
        <w:t>similar targets don’t ne</w:t>
      </w:r>
      <w:r w:rsidR="00211B15">
        <w:rPr>
          <w:rFonts w:cs="Times"/>
          <w:color w:val="000000"/>
        </w:rPr>
        <w:t xml:space="preserve">cessarily bind similar drugs, and a </w:t>
      </w:r>
      <w:r w:rsidR="007C786F">
        <w:rPr>
          <w:rFonts w:cs="Times"/>
          <w:color w:val="000000"/>
        </w:rPr>
        <w:t>shift to</w:t>
      </w:r>
      <w:r w:rsidR="00DB0407">
        <w:rPr>
          <w:rFonts w:cs="Times"/>
          <w:color w:val="000000"/>
        </w:rPr>
        <w:t xml:space="preserve"> a</w:t>
      </w:r>
      <w:r w:rsidR="007C786F">
        <w:rPr>
          <w:rFonts w:cs="Times"/>
          <w:color w:val="000000"/>
        </w:rPr>
        <w:t xml:space="preserve"> ligand based approach </w:t>
      </w:r>
      <w:r w:rsidR="002D1613">
        <w:rPr>
          <w:rFonts w:cs="Times"/>
          <w:color w:val="000000"/>
        </w:rPr>
        <w:t>in which we think similar drugs behave similarly and</w:t>
      </w:r>
      <w:r w:rsidR="007C786F">
        <w:rPr>
          <w:rFonts w:cs="Times"/>
          <w:color w:val="000000"/>
        </w:rPr>
        <w:t xml:space="preserve"> bind to similar targets</w:t>
      </w:r>
      <w:r w:rsidR="00DB0407">
        <w:rPr>
          <w:rFonts w:cs="Times"/>
          <w:color w:val="000000"/>
        </w:rPr>
        <w:t xml:space="preserve"> is more appropriate</w:t>
      </w:r>
      <w:r w:rsidR="00C501E8">
        <w:rPr>
          <w:rFonts w:cs="Times"/>
          <w:color w:val="000000"/>
        </w:rPr>
        <w:t xml:space="preserve">. </w:t>
      </w:r>
      <w:r w:rsidR="00C501E8">
        <w:rPr>
          <w:rFonts w:cs="Times"/>
          <w:color w:val="000000"/>
          <w:u w:val="single"/>
        </w:rPr>
        <w:t>O</w:t>
      </w:r>
      <w:r w:rsidR="00B231B1">
        <w:rPr>
          <w:rFonts w:cs="Times"/>
          <w:color w:val="000000"/>
        </w:rPr>
        <w:t xml:space="preserve">ff </w:t>
      </w:r>
      <w:r w:rsidR="00B32CEC">
        <w:rPr>
          <w:rFonts w:cs="Times"/>
          <w:color w:val="000000"/>
        </w:rPr>
        <w:t>tar</w:t>
      </w:r>
      <w:r w:rsidR="00B231B1">
        <w:rPr>
          <w:rFonts w:cs="Times"/>
          <w:color w:val="000000"/>
        </w:rPr>
        <w:t>get-</w:t>
      </w:r>
      <w:r w:rsidR="002E337E">
        <w:rPr>
          <w:rFonts w:cs="Times"/>
          <w:color w:val="000000"/>
        </w:rPr>
        <w:t>ADR pairs</w:t>
      </w:r>
      <w:r w:rsidR="00580BD9">
        <w:rPr>
          <w:rFonts w:cs="Times"/>
          <w:color w:val="000000"/>
        </w:rPr>
        <w:t xml:space="preserve"> were</w:t>
      </w:r>
      <w:r w:rsidR="002E337E">
        <w:rPr>
          <w:rFonts w:cs="Times"/>
          <w:color w:val="000000"/>
        </w:rPr>
        <w:t xml:space="preserve"> constructed from </w:t>
      </w:r>
      <w:r w:rsidR="005C7DB9">
        <w:rPr>
          <w:rFonts w:cs="Times"/>
          <w:color w:val="000000"/>
        </w:rPr>
        <w:t>databases (getting counts and checking significance</w:t>
      </w:r>
      <w:r w:rsidR="007E67B3">
        <w:rPr>
          <w:rFonts w:cs="Times"/>
          <w:color w:val="000000"/>
        </w:rPr>
        <w:t xml:space="preserve">, </w:t>
      </w:r>
      <w:r w:rsidR="00046A8B">
        <w:rPr>
          <w:rFonts w:cs="Times"/>
          <w:color w:val="000000"/>
        </w:rPr>
        <w:t>also have info on drug-ADR pairs</w:t>
      </w:r>
      <w:r w:rsidR="00076A15">
        <w:rPr>
          <w:rFonts w:cs="Times"/>
          <w:color w:val="000000"/>
        </w:rPr>
        <w:t>, pg 363-</w:t>
      </w:r>
      <w:r w:rsidR="00720D62">
        <w:rPr>
          <w:rFonts w:cs="Times"/>
          <w:color w:val="000000"/>
        </w:rPr>
        <w:t>associating in vitro targets with ADRs</w:t>
      </w:r>
      <w:r w:rsidR="00076A15">
        <w:rPr>
          <w:rFonts w:cs="Times"/>
          <w:color w:val="000000"/>
        </w:rPr>
        <w:t>).</w:t>
      </w:r>
      <w:r w:rsidR="000F73D8">
        <w:rPr>
          <w:rFonts w:cs="Times"/>
          <w:color w:val="000000"/>
          <w:u w:val="single"/>
        </w:rPr>
        <w:t xml:space="preserve"> </w:t>
      </w:r>
      <w:r w:rsidR="000F73D8">
        <w:rPr>
          <w:rFonts w:cs="Times"/>
          <w:color w:val="000000"/>
        </w:rPr>
        <w:t>D</w:t>
      </w:r>
      <w:r w:rsidR="00F91C8C">
        <w:rPr>
          <w:rFonts w:cs="Times"/>
          <w:color w:val="000000"/>
        </w:rPr>
        <w:t>rug-</w:t>
      </w:r>
      <w:r w:rsidR="00755442">
        <w:rPr>
          <w:rFonts w:cs="Times"/>
          <w:color w:val="000000"/>
        </w:rPr>
        <w:t xml:space="preserve">off </w:t>
      </w:r>
      <w:r w:rsidR="00F91C8C">
        <w:rPr>
          <w:rFonts w:cs="Times"/>
          <w:color w:val="000000"/>
        </w:rPr>
        <w:t xml:space="preserve">target-ADR links </w:t>
      </w:r>
      <w:r w:rsidR="000F73D8">
        <w:rPr>
          <w:rFonts w:cs="Times"/>
          <w:color w:val="000000"/>
        </w:rPr>
        <w:t xml:space="preserve">were then </w:t>
      </w:r>
      <w:r w:rsidR="00F91C8C">
        <w:rPr>
          <w:rFonts w:cs="Times"/>
          <w:color w:val="000000"/>
        </w:rPr>
        <w:t>formed</w:t>
      </w:r>
      <w:r w:rsidR="000F73D8">
        <w:rPr>
          <w:rFonts w:cs="Times"/>
          <w:color w:val="000000"/>
        </w:rPr>
        <w:t xml:space="preserve"> (</w:t>
      </w:r>
      <w:r w:rsidR="00FD0FF5">
        <w:rPr>
          <w:rFonts w:cs="Times"/>
          <w:color w:val="000000"/>
        </w:rPr>
        <w:t>we have the drug-off target pairs from SEA)</w:t>
      </w:r>
      <w:r w:rsidR="000F73D8">
        <w:rPr>
          <w:rFonts w:cs="Times"/>
          <w:color w:val="000000"/>
        </w:rPr>
        <w:t>.</w:t>
      </w:r>
      <w:r w:rsidR="000F73D8">
        <w:rPr>
          <w:rFonts w:cs="Times"/>
          <w:color w:val="000000"/>
          <w:u w:val="single"/>
        </w:rPr>
        <w:t xml:space="preserve"> L</w:t>
      </w:r>
      <w:r w:rsidR="00755442">
        <w:rPr>
          <w:rFonts w:cs="Times"/>
          <w:color w:val="000000"/>
        </w:rPr>
        <w:t>inks showed new connections of drug to ADR</w:t>
      </w:r>
      <w:r w:rsidR="000F73D8">
        <w:rPr>
          <w:rFonts w:cs="Times"/>
          <w:color w:val="000000"/>
        </w:rPr>
        <w:t>, which is interesting because</w:t>
      </w:r>
      <w:r w:rsidR="00755442">
        <w:rPr>
          <w:rFonts w:cs="Times"/>
          <w:color w:val="000000"/>
        </w:rPr>
        <w:t xml:space="preserve"> known targets of drug are not associated with</w:t>
      </w:r>
      <w:r w:rsidR="000F73D8">
        <w:rPr>
          <w:rFonts w:cs="Times"/>
          <w:color w:val="000000"/>
        </w:rPr>
        <w:t xml:space="preserve"> the</w:t>
      </w:r>
      <w:r w:rsidR="00755442">
        <w:rPr>
          <w:rFonts w:cs="Times"/>
          <w:color w:val="000000"/>
        </w:rPr>
        <w:t xml:space="preserve"> ADR</w:t>
      </w:r>
      <w:r w:rsidR="00FB01A6">
        <w:rPr>
          <w:rFonts w:cs="Times"/>
          <w:color w:val="000000"/>
        </w:rPr>
        <w:t>.</w:t>
      </w:r>
      <w:r w:rsidR="00FB01A6">
        <w:rPr>
          <w:rFonts w:cs="Times"/>
          <w:color w:val="000000"/>
          <w:u w:val="single"/>
        </w:rPr>
        <w:t xml:space="preserve"> </w:t>
      </w:r>
      <w:r w:rsidR="00AD0FB2">
        <w:rPr>
          <w:rFonts w:cs="Times"/>
          <w:color w:val="000000"/>
        </w:rPr>
        <w:t xml:space="preserve">SEA needs work, </w:t>
      </w:r>
      <w:r w:rsidR="00FB01A6">
        <w:rPr>
          <w:rFonts w:cs="Times"/>
          <w:color w:val="000000"/>
        </w:rPr>
        <w:t xml:space="preserve">and it </w:t>
      </w:r>
      <w:r w:rsidR="00AD0FB2">
        <w:rPr>
          <w:rFonts w:cs="Times"/>
          <w:color w:val="000000"/>
        </w:rPr>
        <w:t>cannot</w:t>
      </w:r>
      <w:r w:rsidR="00FB01A6">
        <w:rPr>
          <w:rFonts w:cs="Times"/>
          <w:color w:val="000000"/>
        </w:rPr>
        <w:t xml:space="preserve"> yet</w:t>
      </w:r>
      <w:r w:rsidR="00AD0FB2">
        <w:rPr>
          <w:rFonts w:cs="Times"/>
          <w:color w:val="000000"/>
        </w:rPr>
        <w:t xml:space="preserve"> replace traditional compound-target testing. </w:t>
      </w:r>
      <w:r w:rsidR="000E2ADF" w:rsidRPr="000E2ADF">
        <w:rPr>
          <w:rFonts w:cs="Times"/>
          <w:color w:val="000000"/>
        </w:rPr>
        <w:t xml:space="preserve">The open question remains as to </w:t>
      </w:r>
      <w:r w:rsidR="000E2ADF">
        <w:rPr>
          <w:rFonts w:cs="Times"/>
          <w:color w:val="000000"/>
        </w:rPr>
        <w:t>w</w:t>
      </w:r>
      <w:r w:rsidR="002C0D48" w:rsidRPr="002C0D48">
        <w:rPr>
          <w:rFonts w:cs="Times"/>
          <w:color w:val="000000"/>
        </w:rPr>
        <w:t>hat</w:t>
      </w:r>
      <w:r w:rsidR="007B42D8">
        <w:rPr>
          <w:rFonts w:cs="Times"/>
          <w:color w:val="000000"/>
        </w:rPr>
        <w:t xml:space="preserve"> would happen</w:t>
      </w:r>
      <w:r w:rsidR="002C0D48" w:rsidRPr="002C0D48">
        <w:rPr>
          <w:rFonts w:cs="Times"/>
          <w:color w:val="000000"/>
        </w:rPr>
        <w:t xml:space="preserve"> if we a</w:t>
      </w:r>
      <w:r w:rsidR="002C0D48">
        <w:rPr>
          <w:rFonts w:cs="Times"/>
          <w:color w:val="000000"/>
        </w:rPr>
        <w:t>pply</w:t>
      </w:r>
      <w:r w:rsidR="00EA4308">
        <w:rPr>
          <w:rFonts w:cs="Times"/>
          <w:color w:val="000000"/>
        </w:rPr>
        <w:t xml:space="preserve"> this</w:t>
      </w:r>
      <w:r w:rsidR="002C0D48">
        <w:rPr>
          <w:rFonts w:cs="Times"/>
          <w:color w:val="000000"/>
        </w:rPr>
        <w:t xml:space="preserve"> method specifically to a subset of drugs and targets in neurodegeneration?</w:t>
      </w:r>
    </w:p>
    <w:p w14:paraId="1A09B659" w14:textId="77777777" w:rsidR="00C67184" w:rsidRDefault="00C67184" w:rsidP="00C67184">
      <w:pPr>
        <w:widowControl w:val="0"/>
        <w:autoSpaceDE w:val="0"/>
        <w:autoSpaceDN w:val="0"/>
        <w:adjustRightInd w:val="0"/>
        <w:spacing w:line="360" w:lineRule="auto"/>
        <w:rPr>
          <w:rFonts w:cs="Times"/>
          <w:color w:val="000000"/>
        </w:rPr>
      </w:pPr>
    </w:p>
    <w:p w14:paraId="41AB51A8" w14:textId="0737AAA5" w:rsidR="00EA3D88" w:rsidRPr="00EA3D88" w:rsidRDefault="002D2704" w:rsidP="00C67184">
      <w:pPr>
        <w:widowControl w:val="0"/>
        <w:autoSpaceDE w:val="0"/>
        <w:autoSpaceDN w:val="0"/>
        <w:adjustRightInd w:val="0"/>
        <w:spacing w:line="360" w:lineRule="auto"/>
        <w:rPr>
          <w:rFonts w:cs="Times"/>
          <w:b/>
          <w:color w:val="000000"/>
        </w:rPr>
      </w:pPr>
      <w:r>
        <w:rPr>
          <w:rFonts w:cs="Times"/>
          <w:b/>
          <w:color w:val="000000"/>
        </w:rPr>
        <w:t xml:space="preserve">2. </w:t>
      </w:r>
      <w:r w:rsidR="00EA3D88" w:rsidRPr="00EA3D88">
        <w:rPr>
          <w:rFonts w:cs="Times"/>
          <w:b/>
          <w:color w:val="000000"/>
        </w:rPr>
        <w:t xml:space="preserve">Leveraging Large-scale Behavioral Profiling in Zebrafish to Explore </w:t>
      </w:r>
      <w:r w:rsidR="002025AF">
        <w:rPr>
          <w:rFonts w:cs="Times"/>
          <w:b/>
          <w:color w:val="000000"/>
        </w:rPr>
        <w:t xml:space="preserve">Neuroactive </w:t>
      </w:r>
      <w:r w:rsidR="00EA3D88" w:rsidRPr="00EA3D88">
        <w:rPr>
          <w:rFonts w:cs="Times"/>
          <w:b/>
          <w:color w:val="000000"/>
        </w:rPr>
        <w:t xml:space="preserve">Polypharmacology </w:t>
      </w:r>
    </w:p>
    <w:p w14:paraId="12A4E260" w14:textId="3B283D04" w:rsidR="001112FC" w:rsidRDefault="005330CB" w:rsidP="00C67184">
      <w:pPr>
        <w:widowControl w:val="0"/>
        <w:autoSpaceDE w:val="0"/>
        <w:autoSpaceDN w:val="0"/>
        <w:adjustRightInd w:val="0"/>
        <w:spacing w:line="360" w:lineRule="auto"/>
        <w:rPr>
          <w:rFonts w:cs="Times"/>
          <w:color w:val="000000"/>
        </w:rPr>
      </w:pPr>
      <w:r w:rsidRPr="005330CB">
        <w:rPr>
          <w:rFonts w:cs="Times"/>
          <w:color w:val="000000"/>
        </w:rPr>
        <w:t>In vitro testing for d</w:t>
      </w:r>
      <w:r w:rsidR="00333ACF" w:rsidRPr="005330CB">
        <w:rPr>
          <w:rFonts w:cs="Times"/>
          <w:color w:val="000000"/>
        </w:rPr>
        <w:t xml:space="preserve">iscovering new drugs has its limitations, mainly because they merely </w:t>
      </w:r>
      <w:r w:rsidR="00333ACF" w:rsidRPr="005330CB">
        <w:rPr>
          <w:rFonts w:cs="Times"/>
          <w:color w:val="000000"/>
        </w:rPr>
        <w:lastRenderedPageBreak/>
        <w:t>confirm or deny</w:t>
      </w:r>
      <w:r w:rsidR="00C81E39">
        <w:rPr>
          <w:rFonts w:cs="Times"/>
          <w:color w:val="000000"/>
        </w:rPr>
        <w:t xml:space="preserve"> target candidates. Phenotypic profiling and predictive multi-target enrichment from the Similarity Ensemble Approach (SEA) can help identify new compounds with complex polypharmacology in vivo. </w:t>
      </w:r>
      <w:r w:rsidR="00EE083F">
        <w:rPr>
          <w:rFonts w:cs="Times"/>
          <w:color w:val="000000"/>
        </w:rPr>
        <w:t>Especially for psychiatric drugs, therapeutic effects are often the result of multi-target actions.</w:t>
      </w:r>
      <w:r w:rsidR="0097040A">
        <w:rPr>
          <w:rFonts w:cs="Times"/>
          <w:color w:val="000000"/>
        </w:rPr>
        <w:t xml:space="preserve"> There are multiple ways of telling if two drugs yield similar phenotypic effect, like through comparing plots of motion vs time in zebrafish, </w:t>
      </w:r>
      <w:r w:rsidR="006074FB">
        <w:rPr>
          <w:rFonts w:cs="Times"/>
          <w:color w:val="000000"/>
        </w:rPr>
        <w:t>clustering drugs on axe</w:t>
      </w:r>
      <w:r w:rsidR="008E6C78">
        <w:rPr>
          <w:rFonts w:cs="Times"/>
          <w:color w:val="000000"/>
        </w:rPr>
        <w:t>s with specific pheontypes,</w:t>
      </w:r>
      <w:r w:rsidR="006074FB">
        <w:rPr>
          <w:rFonts w:cs="Times"/>
          <w:color w:val="000000"/>
        </w:rPr>
        <w:t xml:space="preserve"> and manual inspection (figure 2).</w:t>
      </w:r>
      <w:r w:rsidR="008E6C78">
        <w:rPr>
          <w:rFonts w:cs="Times"/>
          <w:color w:val="000000"/>
        </w:rPr>
        <w:t xml:space="preserve"> </w:t>
      </w:r>
      <w:r w:rsidR="00EE083F">
        <w:rPr>
          <w:rFonts w:cs="Times"/>
          <w:color w:val="000000"/>
        </w:rPr>
        <w:t xml:space="preserve"> </w:t>
      </w:r>
      <w:r w:rsidR="00BB6323">
        <w:rPr>
          <w:rFonts w:cs="Times"/>
          <w:color w:val="000000"/>
        </w:rPr>
        <w:t>From phenotypically similar drugs, we can look at their targets through SEA, and map phenotype to the set of targets (pathway)</w:t>
      </w:r>
      <w:r w:rsidR="002D66A9">
        <w:rPr>
          <w:rFonts w:cs="Times"/>
          <w:color w:val="000000"/>
        </w:rPr>
        <w:t xml:space="preserve">. </w:t>
      </w:r>
      <w:r w:rsidR="00185638">
        <w:rPr>
          <w:rFonts w:cs="Times"/>
          <w:color w:val="000000"/>
        </w:rPr>
        <w:t>Joint enrichment fa</w:t>
      </w:r>
      <w:r w:rsidR="0062704B">
        <w:rPr>
          <w:rFonts w:cs="Times"/>
          <w:color w:val="000000"/>
        </w:rPr>
        <w:t>ctors are calculated to predict m</w:t>
      </w:r>
      <w:r w:rsidR="00185638">
        <w:rPr>
          <w:rFonts w:cs="Times"/>
          <w:color w:val="000000"/>
        </w:rPr>
        <w:t xml:space="preserve">ultiple targets potentially required for phenotype. </w:t>
      </w:r>
      <w:r w:rsidR="008C16F2">
        <w:rPr>
          <w:rFonts w:cs="Times"/>
          <w:color w:val="000000"/>
        </w:rPr>
        <w:t xml:space="preserve">This approach can help discover the complex pathways of neurodegeneration for my project. </w:t>
      </w:r>
    </w:p>
    <w:p w14:paraId="11B9843F" w14:textId="77777777" w:rsidR="00C67184" w:rsidRPr="00C67184" w:rsidRDefault="00C67184" w:rsidP="00C67184">
      <w:pPr>
        <w:widowControl w:val="0"/>
        <w:autoSpaceDE w:val="0"/>
        <w:autoSpaceDN w:val="0"/>
        <w:adjustRightInd w:val="0"/>
        <w:spacing w:line="360" w:lineRule="auto"/>
        <w:rPr>
          <w:rFonts w:cs="Times"/>
          <w:color w:val="000000"/>
        </w:rPr>
      </w:pPr>
    </w:p>
    <w:p w14:paraId="76C31CE5" w14:textId="0FA7052A" w:rsidR="00000730" w:rsidRDefault="008449D4" w:rsidP="00C67184">
      <w:pPr>
        <w:widowControl w:val="0"/>
        <w:autoSpaceDE w:val="0"/>
        <w:autoSpaceDN w:val="0"/>
        <w:adjustRightInd w:val="0"/>
        <w:spacing w:line="360" w:lineRule="auto"/>
        <w:rPr>
          <w:rFonts w:cs="Times"/>
          <w:b/>
          <w:color w:val="000000"/>
        </w:rPr>
      </w:pPr>
      <w:r>
        <w:rPr>
          <w:rFonts w:cs="Times"/>
          <w:b/>
          <w:color w:val="000000"/>
        </w:rPr>
        <w:t xml:space="preserve">3. </w:t>
      </w:r>
      <w:r w:rsidR="002D2704">
        <w:rPr>
          <w:rFonts w:cs="Times"/>
          <w:b/>
          <w:color w:val="000000"/>
        </w:rPr>
        <w:t>P</w:t>
      </w:r>
      <w:r w:rsidR="001112FC" w:rsidRPr="001112FC">
        <w:rPr>
          <w:rFonts w:cs="Times"/>
          <w:b/>
          <w:color w:val="000000"/>
        </w:rPr>
        <w:t xml:space="preserve">ropagation of prions causing synucleinopathies in cultured cells </w:t>
      </w:r>
    </w:p>
    <w:p w14:paraId="76D8174F" w14:textId="0D910930" w:rsidR="00835E67" w:rsidRPr="00000730" w:rsidRDefault="00C20D71" w:rsidP="00C67184">
      <w:pPr>
        <w:widowControl w:val="0"/>
        <w:autoSpaceDE w:val="0"/>
        <w:autoSpaceDN w:val="0"/>
        <w:adjustRightInd w:val="0"/>
        <w:spacing w:line="360" w:lineRule="auto"/>
        <w:rPr>
          <w:rFonts w:cs="Times"/>
          <w:b/>
          <w:color w:val="000000"/>
        </w:rPr>
      </w:pPr>
      <w:r>
        <w:rPr>
          <w:rFonts w:cs="Times"/>
          <w:color w:val="000000"/>
        </w:rPr>
        <w:t xml:space="preserve">Many neurodegenerative diseases exhibit prion like behavior, including </w:t>
      </w:r>
      <w:r w:rsidR="00AC1184">
        <w:rPr>
          <w:rFonts w:cs="Times"/>
          <w:color w:val="000000"/>
        </w:rPr>
        <w:t>diseases like supranuclear palsy and multiple system atrophy. MSA prions</w:t>
      </w:r>
      <w:r w:rsidR="003F6346">
        <w:rPr>
          <w:rFonts w:cs="Times"/>
          <w:color w:val="000000"/>
        </w:rPr>
        <w:t xml:space="preserve"> exists in more than one strain. However, this does not currently hold for all neurodegenerative diseases, as attempts to demonstrate alpha synuclein prions in brain homogenates from Parkinson’s were unsuccessful. </w:t>
      </w:r>
      <w:r w:rsidR="003745F9">
        <w:rPr>
          <w:rFonts w:cs="Times"/>
          <w:color w:val="000000"/>
        </w:rPr>
        <w:t xml:space="preserve">In mouse models, the researchers are able to induce prion like </w:t>
      </w:r>
      <w:r w:rsidR="005D6DCD">
        <w:rPr>
          <w:rFonts w:cs="Times"/>
          <w:color w:val="000000"/>
        </w:rPr>
        <w:t>propagation of</w:t>
      </w:r>
      <w:r w:rsidR="00C80F45">
        <w:rPr>
          <w:rFonts w:cs="Times"/>
          <w:color w:val="000000"/>
        </w:rPr>
        <w:t xml:space="preserve"> alpha synuclein, yet the mice do not exhibit </w:t>
      </w:r>
      <w:r w:rsidR="005D6DCD">
        <w:rPr>
          <w:rFonts w:cs="Times"/>
          <w:color w:val="000000"/>
        </w:rPr>
        <w:t>neurological disease</w:t>
      </w:r>
      <w:r w:rsidR="00A75FB1">
        <w:rPr>
          <w:rFonts w:cs="Times"/>
          <w:color w:val="000000"/>
        </w:rPr>
        <w:t xml:space="preserve">. </w:t>
      </w:r>
      <w:r w:rsidR="00265FB0">
        <w:rPr>
          <w:rFonts w:cs="Times"/>
          <w:color w:val="000000"/>
        </w:rPr>
        <w:t xml:space="preserve">This paper is useful in showing the type of protein aggregate screen data that is available and </w:t>
      </w:r>
      <w:r w:rsidR="007C14D0">
        <w:rPr>
          <w:rFonts w:cs="Times"/>
          <w:color w:val="000000"/>
        </w:rPr>
        <w:t xml:space="preserve">what </w:t>
      </w:r>
      <w:r w:rsidR="002900BB">
        <w:rPr>
          <w:rFonts w:cs="Times"/>
          <w:color w:val="000000"/>
        </w:rPr>
        <w:t xml:space="preserve">we </w:t>
      </w:r>
      <w:r w:rsidR="007C14D0">
        <w:rPr>
          <w:rFonts w:cs="Times"/>
          <w:color w:val="000000"/>
        </w:rPr>
        <w:t xml:space="preserve">will be working on next quarter. Investigating the exact mechanism and why prions can propagate without </w:t>
      </w:r>
      <w:r w:rsidR="000074E4">
        <w:rPr>
          <w:rFonts w:cs="Times"/>
          <w:color w:val="000000"/>
        </w:rPr>
        <w:t xml:space="preserve">inducing </w:t>
      </w:r>
      <w:r w:rsidR="007C14D0">
        <w:rPr>
          <w:rFonts w:cs="Times"/>
          <w:color w:val="000000"/>
        </w:rPr>
        <w:t>disease</w:t>
      </w:r>
      <w:r w:rsidR="000074E4">
        <w:rPr>
          <w:rFonts w:cs="Times"/>
          <w:color w:val="000000"/>
        </w:rPr>
        <w:t xml:space="preserve"> is still a myste</w:t>
      </w:r>
      <w:r w:rsidR="0036531A">
        <w:rPr>
          <w:rFonts w:cs="Times"/>
          <w:color w:val="000000"/>
        </w:rPr>
        <w:t>r</w:t>
      </w:r>
      <w:r w:rsidR="000074E4">
        <w:rPr>
          <w:rFonts w:cs="Times"/>
          <w:color w:val="000000"/>
        </w:rPr>
        <w:t>y.</w:t>
      </w:r>
      <w:r w:rsidR="003C0178">
        <w:rPr>
          <w:rFonts w:cs="Times"/>
          <w:color w:val="000000"/>
        </w:rPr>
        <w:t xml:space="preserve"> Finding drugs that prevent aggregation can be a future direction, and discovering the underlying mechanism from effective drugs will be crucial to our understanding of neurodegenerative diseases. </w:t>
      </w:r>
    </w:p>
    <w:p w14:paraId="157DF23E" w14:textId="77777777" w:rsidR="00EA3D88" w:rsidRDefault="00EA3D88" w:rsidP="00C67184">
      <w:pPr>
        <w:widowControl w:val="0"/>
        <w:autoSpaceDE w:val="0"/>
        <w:autoSpaceDN w:val="0"/>
        <w:adjustRightInd w:val="0"/>
        <w:spacing w:line="360" w:lineRule="auto"/>
        <w:rPr>
          <w:rFonts w:cs="Times"/>
          <w:color w:val="000000"/>
          <w:u w:val="single"/>
        </w:rPr>
      </w:pPr>
    </w:p>
    <w:p w14:paraId="37249ECB" w14:textId="18B67887" w:rsidR="00E50582" w:rsidRPr="00E50582" w:rsidRDefault="008449D4" w:rsidP="00C67184">
      <w:pPr>
        <w:widowControl w:val="0"/>
        <w:autoSpaceDE w:val="0"/>
        <w:autoSpaceDN w:val="0"/>
        <w:adjustRightInd w:val="0"/>
        <w:spacing w:line="360" w:lineRule="auto"/>
        <w:rPr>
          <w:rFonts w:cs="Times"/>
          <w:b/>
          <w:color w:val="000000"/>
        </w:rPr>
      </w:pPr>
      <w:r>
        <w:rPr>
          <w:rFonts w:cs="Times"/>
          <w:b/>
          <w:bCs/>
          <w:color w:val="000000"/>
        </w:rPr>
        <w:t xml:space="preserve">4. </w:t>
      </w:r>
      <w:r w:rsidR="00E50582" w:rsidRPr="00E50582">
        <w:rPr>
          <w:rFonts w:cs="Times"/>
          <w:b/>
          <w:bCs/>
          <w:color w:val="000000"/>
        </w:rPr>
        <w:t xml:space="preserve">Zebrafish behavioral profiling identifies multitarget antipsychotic-like compounds </w:t>
      </w:r>
    </w:p>
    <w:p w14:paraId="7F8AF5CA" w14:textId="286D0BBD" w:rsidR="00AD0FB2" w:rsidRDefault="00E50582" w:rsidP="00E46B9B">
      <w:pPr>
        <w:widowControl w:val="0"/>
        <w:autoSpaceDE w:val="0"/>
        <w:autoSpaceDN w:val="0"/>
        <w:adjustRightInd w:val="0"/>
        <w:spacing w:line="360" w:lineRule="auto"/>
        <w:rPr>
          <w:rFonts w:cs="Times"/>
          <w:color w:val="000000"/>
        </w:rPr>
      </w:pPr>
      <w:r>
        <w:rPr>
          <w:rFonts w:cs="Times"/>
          <w:color w:val="000000"/>
        </w:rPr>
        <w:t xml:space="preserve">Zebrafish phenotypic profiling when treated with different antipsychotic drugs can </w:t>
      </w:r>
      <w:r w:rsidR="00CD60FE">
        <w:rPr>
          <w:rFonts w:cs="Times"/>
          <w:color w:val="000000"/>
        </w:rPr>
        <w:t>provide readouts that cluster by drug class</w:t>
      </w:r>
      <w:r w:rsidR="007E2FBD">
        <w:rPr>
          <w:rFonts w:cs="Times"/>
          <w:color w:val="000000"/>
        </w:rPr>
        <w:t xml:space="preserve"> (PhenoBlast)</w:t>
      </w:r>
      <w:r w:rsidR="00CD60FE">
        <w:rPr>
          <w:rFonts w:cs="Times"/>
          <w:color w:val="000000"/>
        </w:rPr>
        <w:t xml:space="preserve">. New unknown drugs can be screened phenotypically, and we can take this new phenotypic profile and check which class it is closest to. SEA can then take a drug class (of </w:t>
      </w:r>
      <w:r w:rsidR="002D3EBF">
        <w:rPr>
          <w:rFonts w:cs="Times"/>
          <w:color w:val="000000"/>
        </w:rPr>
        <w:t xml:space="preserve">both </w:t>
      </w:r>
      <w:r w:rsidR="00CD60FE">
        <w:rPr>
          <w:rFonts w:cs="Times"/>
          <w:color w:val="000000"/>
        </w:rPr>
        <w:t xml:space="preserve">known and unconfirmed drugs) and look at the targets of those drugs through a ‘guilt by association’ measure similar to the 2012 nature paper (first reference). </w:t>
      </w:r>
      <w:r w:rsidR="00DB65A0">
        <w:rPr>
          <w:rFonts w:cs="Times"/>
          <w:color w:val="000000"/>
        </w:rPr>
        <w:t xml:space="preserve">We now have a drug class that induces a phenotype, and a set of corresponding targets that these drugs reach, which underscores the mechanism of action. </w:t>
      </w:r>
      <w:r w:rsidR="00923E80">
        <w:rPr>
          <w:rFonts w:cs="Times"/>
          <w:color w:val="000000"/>
        </w:rPr>
        <w:t>A drug that they named fi</w:t>
      </w:r>
      <w:r w:rsidR="00125D4C">
        <w:rPr>
          <w:rFonts w:cs="Times"/>
          <w:color w:val="000000"/>
        </w:rPr>
        <w:t xml:space="preserve">nazine had similarities to the reference haloperidol, and was further investigated in </w:t>
      </w:r>
      <w:r w:rsidR="00125D4C" w:rsidRPr="00125D4C">
        <w:rPr>
          <w:rFonts w:cs="Times"/>
          <w:i/>
          <w:color w:val="000000"/>
        </w:rPr>
        <w:t>in vitro</w:t>
      </w:r>
      <w:r w:rsidR="00125D4C">
        <w:rPr>
          <w:rFonts w:cs="Times"/>
          <w:color w:val="000000"/>
        </w:rPr>
        <w:t xml:space="preserve"> tests and in mouse models. It showed similar target binding, and showed antipsychotic properties in mice given PCP. Open questions remain as to how reliable these results will be in humans since zebra fish are different</w:t>
      </w:r>
      <w:r w:rsidR="004A5B2D">
        <w:rPr>
          <w:rFonts w:cs="Times"/>
          <w:color w:val="000000"/>
        </w:rPr>
        <w:t xml:space="preserve">. Also, further investigation into finazine remains a future direction. </w:t>
      </w:r>
    </w:p>
    <w:p w14:paraId="068CCAF2" w14:textId="77777777" w:rsidR="00EC42B8" w:rsidRDefault="00EC42B8" w:rsidP="00E46B9B">
      <w:pPr>
        <w:widowControl w:val="0"/>
        <w:autoSpaceDE w:val="0"/>
        <w:autoSpaceDN w:val="0"/>
        <w:adjustRightInd w:val="0"/>
        <w:spacing w:line="360" w:lineRule="auto"/>
        <w:rPr>
          <w:rFonts w:cs="Times"/>
          <w:b/>
          <w:color w:val="000000"/>
        </w:rPr>
      </w:pPr>
    </w:p>
    <w:p w14:paraId="62525977" w14:textId="2B3AA0D2" w:rsidR="00EC42B8" w:rsidRDefault="008449D4" w:rsidP="00E46B9B">
      <w:pPr>
        <w:widowControl w:val="0"/>
        <w:autoSpaceDE w:val="0"/>
        <w:autoSpaceDN w:val="0"/>
        <w:adjustRightInd w:val="0"/>
        <w:spacing w:line="360" w:lineRule="auto"/>
        <w:rPr>
          <w:rFonts w:cs="Times"/>
          <w:b/>
          <w:color w:val="000000"/>
        </w:rPr>
      </w:pPr>
      <w:r>
        <w:rPr>
          <w:rFonts w:cs="Times"/>
          <w:b/>
          <w:color w:val="000000"/>
        </w:rPr>
        <w:t xml:space="preserve">5. </w:t>
      </w:r>
      <w:r w:rsidR="00EC42B8" w:rsidRPr="00EC42B8">
        <w:rPr>
          <w:rFonts w:cs="Times"/>
          <w:b/>
          <w:color w:val="000000"/>
        </w:rPr>
        <w:t>Evidence for α-synuclein prions causing multiple system atrophy in humans with parkinsonism</w:t>
      </w:r>
    </w:p>
    <w:p w14:paraId="75DC8883" w14:textId="713D48C7" w:rsidR="0005598B" w:rsidRDefault="00EC42B8" w:rsidP="00E46B9B">
      <w:pPr>
        <w:widowControl w:val="0"/>
        <w:autoSpaceDE w:val="0"/>
        <w:autoSpaceDN w:val="0"/>
        <w:adjustRightInd w:val="0"/>
        <w:spacing w:line="360" w:lineRule="auto"/>
        <w:rPr>
          <w:rFonts w:cs="Times"/>
          <w:color w:val="000000"/>
        </w:rPr>
      </w:pPr>
      <w:r>
        <w:rPr>
          <w:rFonts w:cs="Times"/>
          <w:color w:val="000000"/>
        </w:rPr>
        <w:t xml:space="preserve">Similar to the prion paper mentioned before (reference 3). It seems that alpha synuclein deposits from patients who had MSA are infectious and can induce propagation and central nervous system degeneration. It is odd though how alpha synuclein from Parkinson’s does not induce CNS damage or prion like propagation. </w:t>
      </w:r>
      <w:r w:rsidR="0005223E">
        <w:rPr>
          <w:rFonts w:cs="Times"/>
          <w:color w:val="000000"/>
        </w:rPr>
        <w:t xml:space="preserve">Alpha synuclein </w:t>
      </w:r>
      <w:r w:rsidR="00D4258B">
        <w:rPr>
          <w:rFonts w:cs="Times"/>
          <w:color w:val="000000"/>
        </w:rPr>
        <w:t>p</w:t>
      </w:r>
      <w:r w:rsidR="001E6E26">
        <w:rPr>
          <w:rFonts w:cs="Times"/>
          <w:color w:val="000000"/>
        </w:rPr>
        <w:t xml:space="preserve">rions can exists in different strains that have different biochemical implications. </w:t>
      </w:r>
      <w:r w:rsidR="005F26F0">
        <w:rPr>
          <w:rFonts w:cs="Times"/>
          <w:color w:val="000000"/>
        </w:rPr>
        <w:t xml:space="preserve">The prions are able to replicate to the same levels as the source (prions taken from human brain given to mouse generation 1-&gt; mouse generation 1 prions given to mouse generation 2-&gt; reached same levels as human brain level!). </w:t>
      </w:r>
      <w:r w:rsidR="00545BF5">
        <w:rPr>
          <w:rFonts w:cs="Times"/>
          <w:color w:val="000000"/>
        </w:rPr>
        <w:t>When attempting transfection</w:t>
      </w:r>
      <w:r w:rsidR="00E97462">
        <w:rPr>
          <w:rFonts w:cs="Times"/>
          <w:color w:val="000000"/>
        </w:rPr>
        <w:t xml:space="preserve"> of A53T mutant alpha synuclein</w:t>
      </w:r>
      <w:r w:rsidR="00545BF5">
        <w:rPr>
          <w:rFonts w:cs="Times"/>
          <w:color w:val="000000"/>
        </w:rPr>
        <w:t xml:space="preserve"> into mice expressing human alpha synuclein or WT mouse alpha synuclein, transfection and CNS dysregulation did not occur</w:t>
      </w:r>
      <w:r w:rsidR="00E97462">
        <w:rPr>
          <w:rFonts w:cs="Times"/>
          <w:color w:val="000000"/>
        </w:rPr>
        <w:t xml:space="preserve"> (</w:t>
      </w:r>
      <w:r w:rsidR="00545BF5">
        <w:rPr>
          <w:rFonts w:cs="Times"/>
          <w:color w:val="000000"/>
        </w:rPr>
        <w:t xml:space="preserve">the A53T point mutation </w:t>
      </w:r>
      <w:r w:rsidR="00E97462">
        <w:rPr>
          <w:rFonts w:cs="Times"/>
          <w:color w:val="000000"/>
        </w:rPr>
        <w:t>seems to be causal for infection).</w:t>
      </w:r>
      <w:r w:rsidR="00D5242B">
        <w:rPr>
          <w:rFonts w:cs="Times"/>
          <w:color w:val="000000"/>
        </w:rPr>
        <w:t xml:space="preserve"> Future directions into how the st</w:t>
      </w:r>
      <w:r w:rsidR="009F4E99">
        <w:rPr>
          <w:rFonts w:cs="Times"/>
          <w:color w:val="000000"/>
        </w:rPr>
        <w:t>rains are different and how these implications</w:t>
      </w:r>
      <w:r w:rsidR="00D5242B">
        <w:rPr>
          <w:rFonts w:cs="Times"/>
          <w:color w:val="000000"/>
        </w:rPr>
        <w:t xml:space="preserve"> </w:t>
      </w:r>
      <w:r w:rsidR="009F4E99">
        <w:rPr>
          <w:rFonts w:cs="Times"/>
          <w:color w:val="000000"/>
        </w:rPr>
        <w:t>c</w:t>
      </w:r>
      <w:r w:rsidR="00D5242B">
        <w:rPr>
          <w:rFonts w:cs="Times"/>
          <w:color w:val="000000"/>
        </w:rPr>
        <w:t xml:space="preserve">an carry over to humans </w:t>
      </w:r>
      <w:r w:rsidR="009F4E99">
        <w:rPr>
          <w:rFonts w:cs="Times"/>
          <w:color w:val="000000"/>
        </w:rPr>
        <w:t>remain. MSA as a prion disease in humans</w:t>
      </w:r>
      <w:r w:rsidR="006035DA">
        <w:rPr>
          <w:rFonts w:cs="Times"/>
          <w:color w:val="000000"/>
        </w:rPr>
        <w:t xml:space="preserve"> as opposed to mice</w:t>
      </w:r>
      <w:r w:rsidR="009F4E99">
        <w:rPr>
          <w:rFonts w:cs="Times"/>
          <w:color w:val="000000"/>
        </w:rPr>
        <w:t xml:space="preserve"> is also a question to be answered. </w:t>
      </w:r>
    </w:p>
    <w:p w14:paraId="7D269EF8" w14:textId="77777777" w:rsidR="002D2704" w:rsidRDefault="002D2704" w:rsidP="00E46B9B">
      <w:pPr>
        <w:widowControl w:val="0"/>
        <w:autoSpaceDE w:val="0"/>
        <w:autoSpaceDN w:val="0"/>
        <w:adjustRightInd w:val="0"/>
        <w:spacing w:line="360" w:lineRule="auto"/>
        <w:rPr>
          <w:rFonts w:cs="Times"/>
          <w:color w:val="000000"/>
        </w:rPr>
      </w:pPr>
    </w:p>
    <w:p w14:paraId="45D763EB" w14:textId="56748F3C" w:rsidR="002D2704" w:rsidRDefault="002D2704" w:rsidP="002D2704">
      <w:pPr>
        <w:pStyle w:val="ListParagraph"/>
        <w:numPr>
          <w:ilvl w:val="0"/>
          <w:numId w:val="3"/>
        </w:numPr>
        <w:spacing w:before="60"/>
        <w:jc w:val="both"/>
        <w:rPr>
          <w:rFonts w:eastAsia="Times New Roman"/>
          <w:sz w:val="20"/>
          <w:szCs w:val="20"/>
        </w:rPr>
      </w:pPr>
      <w:r w:rsidRPr="002D2704">
        <w:rPr>
          <w:rFonts w:eastAsia="Times New Roman"/>
          <w:sz w:val="20"/>
          <w:szCs w:val="20"/>
        </w:rPr>
        <w:t>Lounkine, E. et al. (2012</w:t>
      </w:r>
      <w:r w:rsidRPr="002D2704">
        <w:rPr>
          <w:rFonts w:eastAsia="Times New Roman"/>
          <w:sz w:val="20"/>
          <w:szCs w:val="20"/>
        </w:rPr>
        <w:t xml:space="preserve">) </w:t>
      </w:r>
      <w:r w:rsidRPr="002D2704">
        <w:rPr>
          <w:rFonts w:eastAsia="Times New Roman"/>
          <w:i/>
          <w:sz w:val="20"/>
          <w:szCs w:val="20"/>
        </w:rPr>
        <w:t>Nature</w:t>
      </w:r>
      <w:r w:rsidRPr="002D2704">
        <w:rPr>
          <w:rFonts w:eastAsia="Times New Roman"/>
          <w:i/>
          <w:sz w:val="20"/>
          <w:szCs w:val="20"/>
        </w:rPr>
        <w:t xml:space="preserve">. </w:t>
      </w:r>
      <w:r w:rsidRPr="002D2704">
        <w:rPr>
          <w:rFonts w:eastAsia="Times New Roman"/>
          <w:b/>
          <w:sz w:val="20"/>
          <w:szCs w:val="20"/>
        </w:rPr>
        <w:t>486</w:t>
      </w:r>
      <w:r w:rsidRPr="002D2704">
        <w:rPr>
          <w:rFonts w:eastAsia="Times New Roman"/>
          <w:sz w:val="20"/>
          <w:szCs w:val="20"/>
        </w:rPr>
        <w:t>, 361-367</w:t>
      </w:r>
      <w:r w:rsidRPr="002D2704">
        <w:rPr>
          <w:rFonts w:eastAsia="Times New Roman"/>
          <w:sz w:val="20"/>
          <w:szCs w:val="20"/>
        </w:rPr>
        <w:t>.</w:t>
      </w:r>
    </w:p>
    <w:p w14:paraId="6F24B4A2" w14:textId="1F9533BB" w:rsidR="002D2704" w:rsidRDefault="002D2704" w:rsidP="002D2704">
      <w:pPr>
        <w:pStyle w:val="ListParagraph"/>
        <w:numPr>
          <w:ilvl w:val="0"/>
          <w:numId w:val="3"/>
        </w:numPr>
        <w:spacing w:before="60"/>
        <w:jc w:val="both"/>
        <w:rPr>
          <w:rFonts w:eastAsia="Times New Roman"/>
          <w:sz w:val="20"/>
          <w:szCs w:val="20"/>
        </w:rPr>
      </w:pPr>
      <w:r>
        <w:rPr>
          <w:rFonts w:eastAsia="Times New Roman"/>
          <w:sz w:val="20"/>
          <w:szCs w:val="20"/>
        </w:rPr>
        <w:t xml:space="preserve">McCarrol, M. et al. (2016) </w:t>
      </w:r>
      <w:r w:rsidRPr="002D2704">
        <w:rPr>
          <w:rFonts w:eastAsia="Times New Roman"/>
          <w:i/>
          <w:sz w:val="20"/>
          <w:szCs w:val="20"/>
        </w:rPr>
        <w:t>ACS Chem Biol</w:t>
      </w:r>
      <w:r>
        <w:rPr>
          <w:rFonts w:eastAsia="Times New Roman"/>
          <w:sz w:val="20"/>
          <w:szCs w:val="20"/>
        </w:rPr>
        <w:t xml:space="preserve">. </w:t>
      </w:r>
      <w:r w:rsidRPr="002D2704">
        <w:rPr>
          <w:rFonts w:eastAsia="Times New Roman"/>
          <w:b/>
          <w:sz w:val="20"/>
          <w:szCs w:val="20"/>
        </w:rPr>
        <w:t>11</w:t>
      </w:r>
      <w:r>
        <w:rPr>
          <w:rFonts w:eastAsia="Times New Roman"/>
          <w:sz w:val="20"/>
          <w:szCs w:val="20"/>
        </w:rPr>
        <w:t>, 842-849.</w:t>
      </w:r>
    </w:p>
    <w:p w14:paraId="39EE54CA" w14:textId="44E9DF4F" w:rsidR="002D2704" w:rsidRDefault="002D2704" w:rsidP="002D2704">
      <w:pPr>
        <w:pStyle w:val="ListParagraph"/>
        <w:numPr>
          <w:ilvl w:val="0"/>
          <w:numId w:val="3"/>
        </w:numPr>
        <w:spacing w:before="60"/>
        <w:jc w:val="both"/>
        <w:rPr>
          <w:rFonts w:eastAsia="Times New Roman"/>
          <w:sz w:val="20"/>
          <w:szCs w:val="20"/>
        </w:rPr>
      </w:pPr>
      <w:r>
        <w:rPr>
          <w:rFonts w:eastAsia="Times New Roman"/>
          <w:sz w:val="20"/>
          <w:szCs w:val="20"/>
        </w:rPr>
        <w:t xml:space="preserve">Woerman, A. et al. (2015). </w:t>
      </w:r>
      <w:r w:rsidRPr="002D2704">
        <w:rPr>
          <w:rFonts w:eastAsia="Times New Roman"/>
          <w:i/>
          <w:sz w:val="20"/>
          <w:szCs w:val="20"/>
        </w:rPr>
        <w:t>PNAS</w:t>
      </w:r>
      <w:r>
        <w:rPr>
          <w:rFonts w:eastAsia="Times New Roman"/>
          <w:sz w:val="20"/>
          <w:szCs w:val="20"/>
        </w:rPr>
        <w:t xml:space="preserve">. </w:t>
      </w:r>
      <w:r w:rsidRPr="002D2704">
        <w:rPr>
          <w:rFonts w:eastAsia="Times New Roman"/>
          <w:b/>
          <w:sz w:val="20"/>
          <w:szCs w:val="20"/>
        </w:rPr>
        <w:t>35</w:t>
      </w:r>
      <w:r>
        <w:rPr>
          <w:rFonts w:eastAsia="Times New Roman"/>
          <w:sz w:val="20"/>
          <w:szCs w:val="20"/>
        </w:rPr>
        <w:t>, 4949-4958.</w:t>
      </w:r>
    </w:p>
    <w:p w14:paraId="5B28C585" w14:textId="4C947154" w:rsidR="002D2704" w:rsidRDefault="008449D4" w:rsidP="002D2704">
      <w:pPr>
        <w:pStyle w:val="ListParagraph"/>
        <w:numPr>
          <w:ilvl w:val="0"/>
          <w:numId w:val="3"/>
        </w:numPr>
        <w:spacing w:before="60"/>
        <w:jc w:val="both"/>
        <w:rPr>
          <w:rFonts w:eastAsia="Times New Roman"/>
          <w:sz w:val="20"/>
          <w:szCs w:val="20"/>
        </w:rPr>
      </w:pPr>
      <w:r>
        <w:rPr>
          <w:rFonts w:eastAsia="Times New Roman"/>
          <w:sz w:val="20"/>
          <w:szCs w:val="20"/>
        </w:rPr>
        <w:t xml:space="preserve">Bruni, G. et al (2016). Nat Chem Biol. </w:t>
      </w:r>
      <w:r w:rsidRPr="008449D4">
        <w:rPr>
          <w:rFonts w:eastAsia="Times New Roman"/>
          <w:b/>
          <w:color w:val="000000" w:themeColor="text1"/>
          <w:sz w:val="20"/>
          <w:szCs w:val="20"/>
        </w:rPr>
        <w:t>12(7)</w:t>
      </w:r>
      <w:r w:rsidRPr="008449D4">
        <w:rPr>
          <w:rFonts w:eastAsia="Times New Roman"/>
          <w:color w:val="000000" w:themeColor="text1"/>
          <w:sz w:val="20"/>
          <w:szCs w:val="20"/>
        </w:rPr>
        <w:t xml:space="preserve">, </w:t>
      </w:r>
      <w:r>
        <w:rPr>
          <w:rFonts w:eastAsia="Times New Roman"/>
          <w:sz w:val="20"/>
          <w:szCs w:val="20"/>
        </w:rPr>
        <w:t>559-566.</w:t>
      </w:r>
    </w:p>
    <w:p w14:paraId="75CC74F6" w14:textId="547710B8" w:rsidR="008449D4" w:rsidRPr="002D2704" w:rsidRDefault="006F2B19" w:rsidP="002D2704">
      <w:pPr>
        <w:pStyle w:val="ListParagraph"/>
        <w:numPr>
          <w:ilvl w:val="0"/>
          <w:numId w:val="3"/>
        </w:numPr>
        <w:spacing w:before="60"/>
        <w:jc w:val="both"/>
        <w:rPr>
          <w:rFonts w:eastAsia="Times New Roman"/>
          <w:sz w:val="20"/>
          <w:szCs w:val="20"/>
        </w:rPr>
      </w:pPr>
      <w:r>
        <w:rPr>
          <w:rFonts w:eastAsia="Times New Roman"/>
          <w:sz w:val="20"/>
          <w:szCs w:val="20"/>
        </w:rPr>
        <w:t xml:space="preserve">Prusiner, S. et al (2015). </w:t>
      </w:r>
      <w:r w:rsidRPr="00114FB3">
        <w:rPr>
          <w:rFonts w:eastAsia="Times New Roman"/>
          <w:i/>
          <w:sz w:val="20"/>
          <w:szCs w:val="20"/>
        </w:rPr>
        <w:t>PNAS</w:t>
      </w:r>
      <w:r>
        <w:rPr>
          <w:rFonts w:eastAsia="Times New Roman"/>
          <w:sz w:val="20"/>
          <w:szCs w:val="20"/>
        </w:rPr>
        <w:t>. 38, 5308-5317</w:t>
      </w:r>
      <w:r w:rsidR="00114FB3">
        <w:rPr>
          <w:rFonts w:eastAsia="Times New Roman"/>
          <w:sz w:val="20"/>
          <w:szCs w:val="20"/>
        </w:rPr>
        <w:t>.</w:t>
      </w:r>
    </w:p>
    <w:p w14:paraId="0A9CCECD" w14:textId="73210057" w:rsidR="002D2704" w:rsidRPr="00DB481A" w:rsidRDefault="002D2704" w:rsidP="002D2704">
      <w:pPr>
        <w:spacing w:before="60"/>
        <w:jc w:val="both"/>
        <w:rPr>
          <w:rFonts w:eastAsia="Times New Roman"/>
          <w:sz w:val="20"/>
          <w:szCs w:val="20"/>
        </w:rPr>
      </w:pPr>
      <w:r w:rsidRPr="00DB481A">
        <w:rPr>
          <w:rFonts w:eastAsia="Times New Roman"/>
          <w:sz w:val="20"/>
          <w:szCs w:val="20"/>
        </w:rPr>
        <w:t xml:space="preserve"> </w:t>
      </w:r>
    </w:p>
    <w:p w14:paraId="4DAD9671" w14:textId="6DE7BF73" w:rsidR="002D2704" w:rsidRPr="002D2704" w:rsidRDefault="002D2704" w:rsidP="002D2704">
      <w:pPr>
        <w:widowControl w:val="0"/>
        <w:autoSpaceDE w:val="0"/>
        <w:autoSpaceDN w:val="0"/>
        <w:adjustRightInd w:val="0"/>
        <w:spacing w:line="360" w:lineRule="auto"/>
        <w:rPr>
          <w:rFonts w:cs="Times"/>
          <w:color w:val="000000"/>
        </w:rPr>
      </w:pPr>
    </w:p>
    <w:sectPr w:rsidR="002D2704" w:rsidRPr="002D2704" w:rsidSect="002667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A6124"/>
    <w:multiLevelType w:val="hybridMultilevel"/>
    <w:tmpl w:val="4152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B34D9"/>
    <w:multiLevelType w:val="hybridMultilevel"/>
    <w:tmpl w:val="BF5E2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75106"/>
    <w:multiLevelType w:val="hybridMultilevel"/>
    <w:tmpl w:val="2CFC4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A75266"/>
    <w:multiLevelType w:val="hybridMultilevel"/>
    <w:tmpl w:val="24C27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070"/>
    <w:rsid w:val="00000730"/>
    <w:rsid w:val="000074E4"/>
    <w:rsid w:val="00046A8B"/>
    <w:rsid w:val="0005223E"/>
    <w:rsid w:val="0005598B"/>
    <w:rsid w:val="00076A15"/>
    <w:rsid w:val="000A732B"/>
    <w:rsid w:val="000E2ADF"/>
    <w:rsid w:val="000F73D8"/>
    <w:rsid w:val="001112FC"/>
    <w:rsid w:val="00114FB3"/>
    <w:rsid w:val="00125D4C"/>
    <w:rsid w:val="001451EF"/>
    <w:rsid w:val="00185638"/>
    <w:rsid w:val="001B4174"/>
    <w:rsid w:val="001E6E26"/>
    <w:rsid w:val="002025AF"/>
    <w:rsid w:val="00206FAC"/>
    <w:rsid w:val="00211B15"/>
    <w:rsid w:val="00265FB0"/>
    <w:rsid w:val="002900BB"/>
    <w:rsid w:val="002A15F9"/>
    <w:rsid w:val="002A36A4"/>
    <w:rsid w:val="002C0D48"/>
    <w:rsid w:val="002C50C5"/>
    <w:rsid w:val="002D1613"/>
    <w:rsid w:val="002D2704"/>
    <w:rsid w:val="002D3EBF"/>
    <w:rsid w:val="002D66A9"/>
    <w:rsid w:val="002E337E"/>
    <w:rsid w:val="00333ACF"/>
    <w:rsid w:val="0036531A"/>
    <w:rsid w:val="003745F9"/>
    <w:rsid w:val="00381689"/>
    <w:rsid w:val="00384237"/>
    <w:rsid w:val="003B17C6"/>
    <w:rsid w:val="003C0178"/>
    <w:rsid w:val="003F6346"/>
    <w:rsid w:val="00492E94"/>
    <w:rsid w:val="004A4D12"/>
    <w:rsid w:val="004A5B2D"/>
    <w:rsid w:val="004F4DC0"/>
    <w:rsid w:val="005330CB"/>
    <w:rsid w:val="00545BF5"/>
    <w:rsid w:val="00557A7E"/>
    <w:rsid w:val="00580BD9"/>
    <w:rsid w:val="005C7DB9"/>
    <w:rsid w:val="005D6DCD"/>
    <w:rsid w:val="005E75FC"/>
    <w:rsid w:val="005F26F0"/>
    <w:rsid w:val="006035DA"/>
    <w:rsid w:val="006074FB"/>
    <w:rsid w:val="0062704B"/>
    <w:rsid w:val="00642A04"/>
    <w:rsid w:val="0066475C"/>
    <w:rsid w:val="006D4E11"/>
    <w:rsid w:val="006F2B19"/>
    <w:rsid w:val="00715286"/>
    <w:rsid w:val="00720D62"/>
    <w:rsid w:val="00755442"/>
    <w:rsid w:val="007B42D8"/>
    <w:rsid w:val="007C14D0"/>
    <w:rsid w:val="007C786F"/>
    <w:rsid w:val="007E2FBD"/>
    <w:rsid w:val="007E67B3"/>
    <w:rsid w:val="00805498"/>
    <w:rsid w:val="0080560E"/>
    <w:rsid w:val="00807E27"/>
    <w:rsid w:val="00830538"/>
    <w:rsid w:val="00831509"/>
    <w:rsid w:val="00835E67"/>
    <w:rsid w:val="00842F30"/>
    <w:rsid w:val="008449D4"/>
    <w:rsid w:val="00857C0B"/>
    <w:rsid w:val="00897AF1"/>
    <w:rsid w:val="008C16F2"/>
    <w:rsid w:val="008D7B88"/>
    <w:rsid w:val="008E6C78"/>
    <w:rsid w:val="00923E80"/>
    <w:rsid w:val="0097040A"/>
    <w:rsid w:val="00995DF2"/>
    <w:rsid w:val="009E5573"/>
    <w:rsid w:val="009F4E99"/>
    <w:rsid w:val="00A026DA"/>
    <w:rsid w:val="00A6460E"/>
    <w:rsid w:val="00A75FB1"/>
    <w:rsid w:val="00AC1184"/>
    <w:rsid w:val="00AD0FB2"/>
    <w:rsid w:val="00B137CA"/>
    <w:rsid w:val="00B143BD"/>
    <w:rsid w:val="00B231B1"/>
    <w:rsid w:val="00B32CEC"/>
    <w:rsid w:val="00B615D9"/>
    <w:rsid w:val="00B94507"/>
    <w:rsid w:val="00BB6323"/>
    <w:rsid w:val="00BC1618"/>
    <w:rsid w:val="00BC3070"/>
    <w:rsid w:val="00C20D71"/>
    <w:rsid w:val="00C501E8"/>
    <w:rsid w:val="00C67184"/>
    <w:rsid w:val="00C80F45"/>
    <w:rsid w:val="00C81E39"/>
    <w:rsid w:val="00CA6158"/>
    <w:rsid w:val="00CB08CF"/>
    <w:rsid w:val="00CB192F"/>
    <w:rsid w:val="00CB5D2F"/>
    <w:rsid w:val="00CD60FE"/>
    <w:rsid w:val="00D36110"/>
    <w:rsid w:val="00D4258B"/>
    <w:rsid w:val="00D5242B"/>
    <w:rsid w:val="00D6116C"/>
    <w:rsid w:val="00D81AD3"/>
    <w:rsid w:val="00DB0407"/>
    <w:rsid w:val="00DB65A0"/>
    <w:rsid w:val="00E30473"/>
    <w:rsid w:val="00E46B9B"/>
    <w:rsid w:val="00E50582"/>
    <w:rsid w:val="00E97462"/>
    <w:rsid w:val="00EA3D88"/>
    <w:rsid w:val="00EA4308"/>
    <w:rsid w:val="00EC42B8"/>
    <w:rsid w:val="00EE083F"/>
    <w:rsid w:val="00F33937"/>
    <w:rsid w:val="00F404A6"/>
    <w:rsid w:val="00F74F0C"/>
    <w:rsid w:val="00F91C8C"/>
    <w:rsid w:val="00FB01A6"/>
    <w:rsid w:val="00FD0FF5"/>
    <w:rsid w:val="00FD1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3F8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978</Words>
  <Characters>5578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Daniel Wong</cp:lastModifiedBy>
  <cp:revision>104</cp:revision>
  <dcterms:created xsi:type="dcterms:W3CDTF">2018-02-19T20:01:00Z</dcterms:created>
  <dcterms:modified xsi:type="dcterms:W3CDTF">2018-02-24T00:06:00Z</dcterms:modified>
</cp:coreProperties>
</file>