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Employee Share Option Plan (ESOP) — AU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Company: [[COMPANY_NAME]] Pty Ltd (ACN [[ACN]])</w:t>
      </w:r>
    </w:p>
    <w:p>
      <w:r>
        <w:t xml:space="preserve">Plan type: Start-up concessions per Division 83A ITAA 1997</w:t>
      </w:r>
    </w:p>
    <w:p>
      <w:r>
        <w:t xml:space="preserve">Eligible participants: Full-time employees, contractors on 12-month</w:t>
      </w:r>
    </w:p>
    <w:p>
      <w:r>
        <w:t xml:space="preserve">engagement (subject to ATO integrity rules)</w:t>
      </w:r>
    </w:p>
    <w:p>
      <w:r>
        <w:t xml:space="preserve">Vesting: 4 years, 1-year cliff, monthly thereafter</w:t>
      </w:r>
    </w:p>
    <w:p>
      <w:r>
        <w:t xml:space="preserve">Exercise price: At market value as at grant date (valuation attached)</w:t>
      </w:r>
    </w:p>
    <w:p>
      <w:r>
        <w:t xml:space="preserve">Exercise window: 90 days post good-leaver termination, 7 years max</w:t>
      </w:r>
    </w:p>
    <w:p>
      <w:r>
        <w:t xml:space="preserve">Governing law: NSW, Australia</w:t>
      </w:r>
    </w:p>
    <w:p>
      <w:r>
        <w:t xml:space="preserve">ATO reporting: Employer must lodge ESS statement by 14 July annually</w:t>
      </w:r>
    </w:p>
  </w:body>
</w:document>
</file>