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SAFE — Simple Agreement for Future Equity (AU-adapted)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Post-money valuation cap: A$[[CAP]]</w:t>
      </w:r>
    </w:p>
    <w:p>
      <w:r>
        <w:t xml:space="preserve">Discount: [[20]]%</w:t>
      </w:r>
    </w:p>
    <w:p>
      <w:r>
        <w:t xml:space="preserve">Most-favoured nation: [[Yes/No]]</w:t>
      </w:r>
    </w:p>
    <w:p>
      <w:r>
        <w:t xml:space="preserve">Investor: [[INVESTOR_NAME]]</w:t>
      </w:r>
    </w:p>
    <w:p>
      <w:r>
        <w:t xml:space="preserve">Purchase amount: A$[[AMOUNT]]</w:t>
      </w:r>
    </w:p>
    <w:p>
      <w:r>
        <w:t xml:space="preserve">Company: [[COMPANY_NAME]] Pty Ltd (ACN [[ACN]])</w:t>
      </w:r>
    </w:p>
    <w:p>
      <w:r>
        <w:t xml:space="preserve">Conversion triggers: Equity financing, liquidity event, dissolution</w:t>
      </w:r>
    </w:p>
    <w:p>
      <w:r>
        <w:t xml:space="preserve">Governing law: New South Wales, Australia</w:t>
      </w:r>
    </w:p>
    <w:p>
      <w:r>
        <w:t xml:space="preserve">NOTE: The YC SAFE was drafted for Delaware — this AU adaptation aligns</w:t>
      </w:r>
    </w:p>
    <w:p>
      <w:r>
        <w:t xml:space="preserve">with the Corporations Act 2001 (Cth) and standard Sydney seed practice.</w:t>
      </w:r>
    </w:p>
  </w:body>
</w:document>
</file>