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Seed Term Sheet — AU (Non-binding)</w:t>
      </w:r>
    </w:p>
    <w:p>
      <w:r>
        <w:rPr>
          <w:b/>
          <w:color w:val="C00000"/>
        </w:rPr>
        <w:t xml:space="preserve">REPLACE ME — NOT LEGAL ADVICE. Have your lawyer review this template before use.</w:t>
      </w:r>
    </w:p>
    <w:p>
      <w:r>
        <w:t xml:space="preserve">Company: [[COMPANY_NAME]] Pty Ltd (ACN [[ACN]])</w:t>
      </w:r>
    </w:p>
    <w:p>
      <w:r>
        <w:t xml:space="preserve">Round size: A$[[AMOUNT]] on pre-money valuation A$[[VALUATION]]</w:t>
      </w:r>
    </w:p>
    <w:p>
      <w:r>
        <w:t xml:space="preserve">Instrument: Preference shares (or SAFE — see /safe.docx)</w:t>
      </w:r>
    </w:p>
    <w:p>
      <w:r>
        <w:t xml:space="preserve">Board: 1 investor seat, 2 founder seats, 1 independent to be agreed</w:t>
      </w:r>
    </w:p>
    <w:p>
      <w:r>
        <w:t xml:space="preserve">Liquidation preference: 1x non-participating</w:t>
      </w:r>
    </w:p>
    <w:p>
      <w:r>
        <w:t xml:space="preserve">Anti-dilution: Broad-based weighted average</w:t>
      </w:r>
    </w:p>
    <w:p>
      <w:r>
        <w:t xml:space="preserve">Pre-emptive rights, drag-along, tag-along per AU market practice</w:t>
      </w:r>
    </w:p>
    <w:p>
      <w:r>
        <w:t xml:space="preserve">Founder vesting: 4 years, 1-year cliff (retroactive if applicable)</w:t>
      </w:r>
    </w:p>
    <w:p>
      <w:r>
        <w:t xml:space="preserve">ESOP: [[10]]% of post-money fully diluted</w:t>
      </w:r>
    </w:p>
    <w:p>
      <w:r>
        <w:t xml:space="preserve">Conditions precedent: DD, board consent, executed SHA</w:t>
      </w:r>
    </w:p>
    <w:p>
      <w:r>
        <w:t xml:space="preserve">Governing law: New South Wales, Australia</w:t>
      </w:r>
    </w:p>
    <w:p>
      <w:r>
        <w:t xml:space="preserve">Exclusivity: 45 days from signing</w:t>
      </w:r>
    </w:p>
  </w:body>
</w:document>
</file>