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CD" w:rsidRDefault="001D5BFF">
      <w:r>
        <w:rPr>
          <w:noProof/>
        </w:rPr>
        <w:drawing>
          <wp:anchor distT="0" distB="0" distL="114300" distR="114300" simplePos="0" relativeHeight="251662848" behindDoc="0" locked="0" layoutInCell="1" allowOverlap="1" wp14:anchorId="7061B0FB" wp14:editId="6ECF843E">
            <wp:simplePos x="0" y="0"/>
            <wp:positionH relativeFrom="column">
              <wp:posOffset>1823720</wp:posOffset>
            </wp:positionH>
            <wp:positionV relativeFrom="paragraph">
              <wp:posOffset>4686300</wp:posOffset>
            </wp:positionV>
            <wp:extent cx="2114550" cy="1610360"/>
            <wp:effectExtent l="0" t="0" r="0" b="889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DB02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0" allowOverlap="1" wp14:anchorId="0EC53BC5" wp14:editId="3F929C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1D5BF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0D0E2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F67CD" w:rsidRDefault="00BF67CD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D5BF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18AB3" w:themeFill="accent1"/>
                                      <w:vAlign w:val="center"/>
                                    </w:tcPr>
                                    <w:p w:rsidR="00BF67CD" w:rsidRDefault="00DB02A1" w:rsidP="001D5BFF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BD1808B9975421EA0ED175684B20A3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D5BF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Rapport de Data-Mining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D5BF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EC30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F67CD" w:rsidRDefault="00BF67CD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1D5BF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BF67CD" w:rsidRDefault="00DB02A1" w:rsidP="001D5BFF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D149CACC34B94FE7B06889C3713C138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D5BF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Méthode de classification : k plus proches voisins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F67CD" w:rsidRDefault="00BF67C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C53BC5" id="Rectangle 619" o:spid="_x0000_s1026" style="position:absolute;margin-left:0;margin-top:0;width:561.1pt;height:173.7pt;z-index:25166080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1D5BF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0D0E2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F67CD" w:rsidRDefault="00BF67CD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D5BF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18AB3" w:themeFill="accent1"/>
                                <w:vAlign w:val="center"/>
                              </w:tcPr>
                              <w:p w:rsidR="00BF67CD" w:rsidRDefault="00DB02A1" w:rsidP="001D5BFF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BD1808B9975421EA0ED175684B20A3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5BF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Rapport de Data-Mining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D5BF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EC30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F67CD" w:rsidRDefault="00BF67CD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1D5BF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BF67CD" w:rsidRDefault="00DB02A1" w:rsidP="001D5BFF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D149CACC34B94FE7B06889C3713C138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5BFF">
                                      <w:rPr>
                                        <w:sz w:val="36"/>
                                        <w:szCs w:val="36"/>
                                      </w:rPr>
                                      <w:t>Méthode de classification : k plus proches voisins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F67CD" w:rsidRDefault="00BF67C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B02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6965310" wp14:editId="7FFD90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F67CD" w:rsidRDefault="00DB02A1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18AB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18AB3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5BFF">
                                      <w:rPr>
                                        <w:b/>
                                        <w:bCs/>
                                        <w:caps/>
                                        <w:color w:val="418AB3" w:themeColor="accent1"/>
                                      </w:rPr>
                                      <w:t>EISTI</w:t>
                                    </w:r>
                                  </w:sdtContent>
                                </w:sdt>
                              </w:p>
                              <w:p w:rsidR="00BF67CD" w:rsidRDefault="00BF67CD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18AB3" w:themeColor="accent1"/>
                                  </w:rPr>
                                </w:pPr>
                              </w:p>
                              <w:p w:rsidR="00BF67CD" w:rsidRDefault="00DB02A1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12-14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D5BFF">
                                      <w:t>14 décembre 2015</w:t>
                                    </w:r>
                                  </w:sdtContent>
                                </w:sdt>
                              </w:p>
                              <w:p w:rsidR="00BF67CD" w:rsidRDefault="00DB02A1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5BFF">
                                      <w:t>Hugo LEGRAND</w:t>
                                    </w:r>
                                  </w:sdtContent>
                                </w:sdt>
                                <w:r w:rsidR="001D5BFF">
                                  <w:t xml:space="preserve"> et Simon ESPIGOLÉ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6965310" id="Rectangle 618" o:spid="_x0000_s1027" style="position:absolute;margin-left:0;margin-top:0;width:468pt;height:94pt;z-index:25165772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BF67CD" w:rsidRDefault="00DB02A1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18AB3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18AB3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5BFF">
                                <w:rPr>
                                  <w:b/>
                                  <w:bCs/>
                                  <w:caps/>
                                  <w:color w:val="418AB3" w:themeColor="accent1"/>
                                </w:rPr>
                                <w:t>EISTI</w:t>
                              </w:r>
                            </w:sdtContent>
                          </w:sdt>
                        </w:p>
                        <w:p w:rsidR="00BF67CD" w:rsidRDefault="00BF67CD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18AB3" w:themeColor="accent1"/>
                            </w:rPr>
                          </w:pPr>
                        </w:p>
                        <w:p w:rsidR="00BF67CD" w:rsidRDefault="00DB02A1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14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D5BFF">
                                <w:t>14 décembre 2015</w:t>
                              </w:r>
                            </w:sdtContent>
                          </w:sdt>
                        </w:p>
                        <w:p w:rsidR="00BF67CD" w:rsidRDefault="00DB02A1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D5BFF">
                                <w:t>Hugo LEGRAND</w:t>
                              </w:r>
                            </w:sdtContent>
                          </w:sdt>
                          <w:r w:rsidR="001D5BFF">
                            <w:t xml:space="preserve"> et Simon ESPIGOLÉ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B02A1">
            <w:br w:type="page"/>
          </w:r>
        </w:sdtContent>
      </w:sdt>
    </w:p>
    <w:sdt>
      <w:sdtPr>
        <w:rPr>
          <w:sz w:val="36"/>
        </w:rPr>
        <w:id w:val="1122118514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b/>
          <w:bCs/>
          <w:color w:val="000000" w:themeColor="text1"/>
          <w:sz w:val="24"/>
          <w:szCs w:val="20"/>
        </w:rPr>
      </w:sdtEndPr>
      <w:sdtContent>
        <w:p w:rsidR="001D5BFF" w:rsidRPr="00EF0A9E" w:rsidRDefault="001D5BFF">
          <w:pPr>
            <w:pStyle w:val="En-ttedetabledesmatires"/>
            <w:rPr>
              <w:sz w:val="36"/>
            </w:rPr>
          </w:pPr>
          <w:r w:rsidRPr="00EF0A9E">
            <w:rPr>
              <w:sz w:val="36"/>
            </w:rPr>
            <w:t>Table des matières</w:t>
          </w:r>
        </w:p>
        <w:p w:rsidR="00070AA7" w:rsidRDefault="001D5BFF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EF0A9E">
            <w:fldChar w:fldCharType="begin"/>
          </w:r>
          <w:r w:rsidRPr="00EF0A9E">
            <w:instrText xml:space="preserve"> TOC \o "1-3" \h \z \u </w:instrText>
          </w:r>
          <w:r w:rsidRPr="00EF0A9E">
            <w:fldChar w:fldCharType="separate"/>
          </w:r>
          <w:hyperlink w:anchor="_Toc437726546" w:history="1">
            <w:r w:rsidR="00070AA7" w:rsidRPr="00980F10">
              <w:rPr>
                <w:rStyle w:val="Lienhypertexte"/>
                <w:noProof/>
              </w:rPr>
              <w:t>Introduction</w:t>
            </w:r>
            <w:r w:rsidR="00070AA7">
              <w:rPr>
                <w:noProof/>
                <w:webHidden/>
              </w:rPr>
              <w:tab/>
            </w:r>
            <w:r w:rsidR="00070AA7">
              <w:rPr>
                <w:noProof/>
                <w:webHidden/>
              </w:rPr>
              <w:fldChar w:fldCharType="begin"/>
            </w:r>
            <w:r w:rsidR="00070AA7">
              <w:rPr>
                <w:noProof/>
                <w:webHidden/>
              </w:rPr>
              <w:instrText xml:space="preserve"> PAGEREF _Toc437726546 \h </w:instrText>
            </w:r>
            <w:r w:rsidR="00070AA7">
              <w:rPr>
                <w:noProof/>
                <w:webHidden/>
              </w:rPr>
            </w:r>
            <w:r w:rsidR="00070AA7">
              <w:rPr>
                <w:noProof/>
                <w:webHidden/>
              </w:rPr>
              <w:fldChar w:fldCharType="separate"/>
            </w:r>
            <w:r w:rsidR="00070AA7">
              <w:rPr>
                <w:noProof/>
                <w:webHidden/>
              </w:rPr>
              <w:t>2</w:t>
            </w:r>
            <w:r w:rsidR="00070AA7">
              <w:rPr>
                <w:noProof/>
                <w:webHidden/>
              </w:rPr>
              <w:fldChar w:fldCharType="end"/>
            </w:r>
          </w:hyperlink>
        </w:p>
        <w:p w:rsidR="00070AA7" w:rsidRDefault="00070AA7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37726547" w:history="1">
            <w:r w:rsidRPr="00980F10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AA7" w:rsidRDefault="00070AA7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37726548" w:history="1">
            <w:r w:rsidRPr="00980F10">
              <w:rPr>
                <w:rStyle w:val="Lienhypertexte"/>
                <w:noProof/>
              </w:rPr>
              <w:t>Génération du jeu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_Toc437726548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AA7" w:rsidRDefault="00070AA7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37726549" w:history="1">
            <w:r w:rsidRPr="00980F10">
              <w:rPr>
                <w:rStyle w:val="Lienhypertexte"/>
                <w:noProof/>
              </w:rPr>
              <w:t>La méthode des k plus proches voisins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_Toc437726549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AA7" w:rsidRDefault="00070AA7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437726550" w:history="1">
            <w:r w:rsidRPr="00980F10">
              <w:rPr>
                <w:rStyle w:val="Lienhypertexte"/>
                <w:noProof/>
              </w:rPr>
              <w:t>Résultats et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BFF" w:rsidRPr="00EF0A9E" w:rsidRDefault="001D5BFF">
          <w:r w:rsidRPr="00EF0A9E">
            <w:rPr>
              <w:b/>
              <w:bCs/>
            </w:rPr>
            <w:fldChar w:fldCharType="end"/>
          </w:r>
        </w:p>
      </w:sdtContent>
    </w:sdt>
    <w:p w:rsidR="00BF67CD" w:rsidRDefault="00BF67CD">
      <w:pPr>
        <w:pStyle w:val="Sous-titre"/>
      </w:pPr>
    </w:p>
    <w:p w:rsidR="001D5BFF" w:rsidRDefault="001D5BFF">
      <w:pPr>
        <w:spacing w:after="200"/>
        <w:rPr>
          <w:rFonts w:asciiTheme="majorHAnsi" w:hAnsiTheme="majorHAnsi" w:cstheme="minorBidi"/>
          <w:color w:val="000000"/>
          <w:sz w:val="28"/>
          <w:szCs w:val="28"/>
        </w:rPr>
      </w:pPr>
      <w:r>
        <w:br w:type="page"/>
      </w:r>
    </w:p>
    <w:p w:rsidR="001D5BFF" w:rsidRPr="00EF0A9E" w:rsidRDefault="001D5BFF" w:rsidP="001D5BFF">
      <w:pPr>
        <w:pStyle w:val="Titre1"/>
        <w:rPr>
          <w:color w:val="306785" w:themeColor="accent1" w:themeShade="BF"/>
        </w:rPr>
      </w:pPr>
      <w:bookmarkStart w:id="0" w:name="_Toc437726546"/>
      <w:r w:rsidRPr="00EF0A9E">
        <w:rPr>
          <w:color w:val="306785" w:themeColor="accent1" w:themeShade="BF"/>
        </w:rPr>
        <w:lastRenderedPageBreak/>
        <w:t>Introduction</w:t>
      </w:r>
      <w:bookmarkEnd w:id="0"/>
    </w:p>
    <w:p w:rsidR="001D5BFF" w:rsidRPr="00EF0A9E" w:rsidRDefault="001D5BFF" w:rsidP="001D5BFF"/>
    <w:p w:rsidR="001D5BFF" w:rsidRPr="00EF0A9E" w:rsidRDefault="00C224CD" w:rsidP="00883416">
      <w:pPr>
        <w:jc w:val="both"/>
        <w:rPr>
          <w:szCs w:val="22"/>
        </w:rPr>
      </w:pPr>
      <w:r w:rsidRPr="00EF0A9E">
        <w:tab/>
      </w:r>
      <w:r w:rsidRPr="00EF0A9E">
        <w:rPr>
          <w:szCs w:val="22"/>
        </w:rPr>
        <w:t xml:space="preserve">Afin de mieux appréhender les différentes méthodes de Data-Mining, nous avons réalisé une implémentation de la méthode de classification des k plus proches voisins. </w:t>
      </w:r>
      <w:r w:rsidR="00883416" w:rsidRPr="00EF0A9E">
        <w:rPr>
          <w:szCs w:val="22"/>
        </w:rPr>
        <w:t>Cette méthode</w:t>
      </w:r>
      <w:r w:rsidR="00883416" w:rsidRPr="00EF0A9E">
        <w:rPr>
          <w:szCs w:val="22"/>
        </w:rPr>
        <w:t xml:space="preserve"> est dite supervisée : elle nécessite en effet une base d’apprentissage pour fonctionner puisqu’elle</w:t>
      </w:r>
      <w:r w:rsidR="00883416" w:rsidRPr="00EF0A9E">
        <w:rPr>
          <w:szCs w:val="22"/>
        </w:rPr>
        <w:t xml:space="preserve"> consiste à se référer à des données déjà</w:t>
      </w:r>
      <w:r w:rsidR="00883416" w:rsidRPr="00EF0A9E">
        <w:rPr>
          <w:szCs w:val="22"/>
        </w:rPr>
        <w:t xml:space="preserve"> </w:t>
      </w:r>
      <w:r w:rsidR="00883416" w:rsidRPr="00EF0A9E">
        <w:rPr>
          <w:szCs w:val="22"/>
        </w:rPr>
        <w:t xml:space="preserve">existantes pour pouvoir classer un nouvel individu dans la même </w:t>
      </w:r>
      <w:r w:rsidR="00883416" w:rsidRPr="00EF0A9E">
        <w:rPr>
          <w:szCs w:val="22"/>
        </w:rPr>
        <w:t>c</w:t>
      </w:r>
      <w:r w:rsidR="00883416" w:rsidRPr="00EF0A9E">
        <w:rPr>
          <w:szCs w:val="22"/>
        </w:rPr>
        <w:t>atégorie que ceux</w:t>
      </w:r>
      <w:r w:rsidR="00883416" w:rsidRPr="00EF0A9E">
        <w:rPr>
          <w:szCs w:val="22"/>
        </w:rPr>
        <w:t xml:space="preserve"> </w:t>
      </w:r>
      <w:r w:rsidR="00883416" w:rsidRPr="00EF0A9E">
        <w:rPr>
          <w:szCs w:val="22"/>
        </w:rPr>
        <w:t>ayant des caractéristiques semblables.</w:t>
      </w:r>
    </w:p>
    <w:p w:rsidR="00883416" w:rsidRPr="00EF0A9E" w:rsidRDefault="00883416" w:rsidP="00883416">
      <w:pPr>
        <w:jc w:val="both"/>
        <w:rPr>
          <w:szCs w:val="22"/>
        </w:rPr>
      </w:pPr>
      <w:r w:rsidRPr="00EF0A9E">
        <w:rPr>
          <w:szCs w:val="22"/>
        </w:rPr>
        <w:tab/>
        <w:t>Pour réaliser et tester cette méthode dans des conditions acceptables, il est nécessaire de construire des jeux de données de différentes formes (pseudo-aléatoires, fortement dépendant, peu dépendant).</w:t>
      </w:r>
    </w:p>
    <w:p w:rsidR="001C0128" w:rsidRPr="00EF0A9E" w:rsidRDefault="00883416" w:rsidP="00883416">
      <w:pPr>
        <w:jc w:val="both"/>
        <w:rPr>
          <w:szCs w:val="22"/>
        </w:rPr>
      </w:pPr>
      <w:r w:rsidRPr="00EF0A9E">
        <w:rPr>
          <w:szCs w:val="22"/>
        </w:rPr>
        <w:tab/>
        <w:t xml:space="preserve">Les jeux de données que nous utilisons sont constitués de valeurs non nommées que nous générons et que nous pouvons paramétrer </w:t>
      </w:r>
      <w:r w:rsidR="001C0128" w:rsidRPr="00EF0A9E">
        <w:rPr>
          <w:szCs w:val="22"/>
        </w:rPr>
        <w:t>par leur nombre d’individus, d’attributs et de classes.</w:t>
      </w:r>
    </w:p>
    <w:p w:rsidR="001C0128" w:rsidRPr="00EF0A9E" w:rsidRDefault="001C0128">
      <w:pPr>
        <w:spacing w:after="200"/>
        <w:rPr>
          <w:szCs w:val="22"/>
        </w:rPr>
      </w:pPr>
      <w:r w:rsidRPr="00EF0A9E">
        <w:rPr>
          <w:szCs w:val="22"/>
        </w:rPr>
        <w:br w:type="page"/>
      </w:r>
    </w:p>
    <w:p w:rsidR="00883416" w:rsidRPr="00EF0A9E" w:rsidRDefault="001C0128" w:rsidP="001C0128">
      <w:pPr>
        <w:pStyle w:val="Titre1"/>
        <w:rPr>
          <w:color w:val="306785" w:themeColor="accent1" w:themeShade="BF"/>
        </w:rPr>
      </w:pPr>
      <w:bookmarkStart w:id="1" w:name="_Toc437726547"/>
      <w:r w:rsidRPr="00EF0A9E">
        <w:rPr>
          <w:color w:val="306785" w:themeColor="accent1" w:themeShade="BF"/>
        </w:rPr>
        <w:lastRenderedPageBreak/>
        <w:t>Algorithme</w:t>
      </w:r>
      <w:bookmarkEnd w:id="1"/>
    </w:p>
    <w:p w:rsidR="001C0128" w:rsidRPr="00EF0A9E" w:rsidRDefault="001C0128" w:rsidP="001C0128"/>
    <w:p w:rsidR="00657D20" w:rsidRPr="00173CBF" w:rsidRDefault="00657D20" w:rsidP="00173CBF">
      <w:pPr>
        <w:pStyle w:val="Titre2"/>
        <w:rPr>
          <w:color w:val="306785" w:themeColor="accent1" w:themeShade="BF"/>
        </w:rPr>
      </w:pPr>
      <w:bookmarkStart w:id="2" w:name="_Toc437726548"/>
      <w:r w:rsidRPr="00EF0A9E">
        <w:rPr>
          <w:color w:val="306785" w:themeColor="accent1" w:themeShade="BF"/>
        </w:rPr>
        <w:t>Génération du jeu de données</w:t>
      </w:r>
      <w:bookmarkEnd w:id="2"/>
    </w:p>
    <w:p w:rsidR="00657D20" w:rsidRDefault="00657D20" w:rsidP="00EF0A9E">
      <w:pPr>
        <w:jc w:val="both"/>
      </w:pPr>
      <w:r w:rsidRPr="00EF0A9E">
        <w:tab/>
        <w:t xml:space="preserve">Le jeu de donnée que nous générons est pseudo-aléatoire, nous utilisons la méthode de Box-Muller pour générer des nombres aléatoires à distribution normale centrée réduite, à partir d’une source de nombres aléatoires de </w:t>
      </w:r>
      <w:r w:rsidR="00173CBF">
        <w:t>loi uniforme, dont la formule mathématique est la suivante :</w:t>
      </w:r>
    </w:p>
    <w:p w:rsidR="00173CBF" w:rsidRPr="00302900" w:rsidRDefault="00173CBF" w:rsidP="00EF0A9E">
      <w:pPr>
        <w:jc w:val="both"/>
        <w:rPr>
          <w:rFonts w:ascii="Cambria Math" w:eastAsiaTheme="minorEastAsia" w:hAnsi="Cambria Math"/>
          <w:i/>
          <w:color w:val="222222"/>
          <w:szCs w:val="1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22222"/>
                  <w:szCs w:val="1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color w:val="222222"/>
              <w:szCs w:val="1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1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>R</m:t>
              </m:r>
            </m:num>
            <m:den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color w:val="222222"/>
                      <w:szCs w:val="1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color w:val="222222"/>
              <w:szCs w:val="18"/>
              <w:shd w:val="clear" w:color="auto" w:fill="FFFFFF"/>
            </w:rPr>
            <m:t xml:space="preserve"> 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22222"/>
                  <w:szCs w:val="1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>-2 ln⁡(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1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>)</m:t>
              </m:r>
            </m:e>
          </m:rad>
          <m:r>
            <w:rPr>
              <w:rFonts w:ascii="Cambria Math" w:eastAsiaTheme="minorEastAsia" w:hAnsi="Cambria Math"/>
              <w:color w:val="222222"/>
              <w:szCs w:val="18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color w:val="222222"/>
              <w:szCs w:val="18"/>
              <w:shd w:val="clear" w:color="auto" w:fill="FFFFFF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222222"/>
                  <w:szCs w:val="1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Cs w:val="18"/>
                  <w:shd w:val="clear" w:color="auto" w:fill="FFFFFF"/>
                </w:rPr>
                <m:t xml:space="preserve">2 π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1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222222"/>
              <w:szCs w:val="18"/>
              <w:shd w:val="clear" w:color="auto" w:fill="FFFFFF"/>
            </w:rPr>
            <w:tab/>
          </m:r>
        </m:oMath>
      </m:oMathPara>
    </w:p>
    <w:p w:rsidR="00302900" w:rsidRPr="00173CBF" w:rsidRDefault="00302900" w:rsidP="00302900">
      <w:pPr>
        <w:rPr>
          <w:shd w:val="clear" w:color="auto" w:fill="FFFFFF"/>
        </w:rPr>
      </w:pPr>
      <w:r>
        <w:rPr>
          <w:shd w:val="clear" w:color="auto" w:fill="FFFFFF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shd w:val="clear" w:color="auto" w:fill="FFFFFF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b>
        </m:sSub>
      </m:oMath>
      <w:r>
        <w:rPr>
          <w:rFonts w:eastAsiaTheme="minorEastAsia"/>
          <w:shd w:val="clear" w:color="auto" w:fill="FFFFFF"/>
        </w:rPr>
        <w:t xml:space="preserve"> deux variables aléatoires indépendantes uniformément distribuées sur</w:t>
      </w:r>
      <m:oMath>
        <m:r>
          <w:rPr>
            <w:rFonts w:ascii="Cambria Math" w:eastAsiaTheme="minorEastAsia" w:hAnsi="Cambria Math"/>
            <w:shd w:val="clear" w:color="auto" w:fill="FFFFFF"/>
          </w:rPr>
          <m:t>]0;1]</m:t>
        </m:r>
      </m:oMath>
      <w:r>
        <w:rPr>
          <w:rFonts w:eastAsiaTheme="minorEastAsia"/>
          <w:shd w:val="clear" w:color="auto" w:fill="FFFFFF"/>
        </w:rPr>
        <w:t>.</w:t>
      </w:r>
    </w:p>
    <w:p w:rsidR="00EF0A9E" w:rsidRDefault="00EF0A9E" w:rsidP="00EF0A9E">
      <w:pPr>
        <w:jc w:val="both"/>
      </w:pPr>
      <w:r w:rsidRPr="00EF0A9E">
        <w:tab/>
        <w:t xml:space="preserve">Pour maîtriser la répartition des valeurs, nous avons choisi de les borner pour les situer entre 0 et 10 environ. L’avantage d’avoir choisi un jeu de donnée non nommé nous permet d’avoir des valeurs sans grand rapport entre les différents attributs de chaque individu. Nos données sont des réels tronqués à une décimale. </w:t>
      </w:r>
    </w:p>
    <w:p w:rsidR="00173CBF" w:rsidRDefault="00173CBF" w:rsidP="00173CBF">
      <w:pPr>
        <w:pStyle w:val="Titre2"/>
        <w:rPr>
          <w:color w:val="306785" w:themeColor="accent1" w:themeShade="BF"/>
        </w:rPr>
      </w:pPr>
      <w:bookmarkStart w:id="3" w:name="_Toc437726549"/>
      <w:r w:rsidRPr="00173CBF">
        <w:rPr>
          <w:color w:val="306785" w:themeColor="accent1" w:themeShade="BF"/>
        </w:rPr>
        <w:t>La méthode des k plus proches voisins</w:t>
      </w:r>
      <w:bookmarkEnd w:id="3"/>
    </w:p>
    <w:p w:rsidR="00302900" w:rsidRDefault="00302900" w:rsidP="005F2C33">
      <w:pPr>
        <w:jc w:val="both"/>
      </w:pPr>
      <w:r>
        <w:tab/>
        <w:t>Nous pouvons grâce aux paramètres variables de notre programme changer le nombre d’individus et d’attributs de chaque jeu de données généré : cela nous a notamment permis de tester notre algorithme sur des jeux de test plus réduits pour étudier chaque étape de celui-ci. En effet, nous avons eu beaucoup de mal au début de l’implémentation de l’algorithme de par la difficulté de celui-ci : des valeurs totalement aberrantes ont été observées dans les résultats des classes calculées lors de l’exécution du programme, ce qui avait pour cause de pousser le pourcentage d’erreur à des valeurs maximales, dont nous n’arrivions pas à trouver les causes malgré plusieurs heures de recherche.</w:t>
      </w:r>
    </w:p>
    <w:p w:rsidR="00302900" w:rsidRDefault="00302900" w:rsidP="005F2C33">
      <w:pPr>
        <w:ind w:firstLine="720"/>
        <w:jc w:val="both"/>
      </w:pPr>
      <w:r>
        <w:t xml:space="preserve">En outre, il est aussi possible de choisir dans notre programme la proportion du jeu de données à utiliser en tant que base d’apprentissage, la partie restante étant celle </w:t>
      </w:r>
      <w:r w:rsidR="005F2C33">
        <w:t>à classifier parmi les autres. La première partie de l’algorithme consiste à calculer la distance entre l’individu en cours de classification et tous les autres individus. Nous avons choisis d’utiliser la distance euclidienne représentée mathématiquement comme suit :</w:t>
      </w:r>
    </w:p>
    <w:p w:rsidR="005F2C33" w:rsidRPr="005F2C33" w:rsidRDefault="005F2C33" w:rsidP="005F2C33">
      <w:pPr>
        <w:ind w:firstLine="720"/>
        <w:jc w:val="both"/>
        <w:rPr>
          <w:rFonts w:eastAsiaTheme="minorEastAsia"/>
          <w:i/>
          <w:color w:val="222222"/>
          <w:szCs w:val="18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222222"/>
              <w:szCs w:val="18"/>
              <w:shd w:val="clear" w:color="auto" w:fill="FFFFFF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22222"/>
                  <w:szCs w:val="18"/>
                  <w:shd w:val="clear" w:color="auto" w:fill="FFFFFF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1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18"/>
                      <w:shd w:val="clear" w:color="auto" w:fill="FFFFFF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1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18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1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18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1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22222"/>
                              <w:szCs w:val="18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1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18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1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1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5F2C33" w:rsidRDefault="005F2C33" w:rsidP="00F61CA4">
      <w:pPr>
        <w:jc w:val="both"/>
        <w:rPr>
          <w:rFonts w:eastAsiaTheme="minorEastAsia"/>
        </w:rPr>
      </w:pPr>
      <w:r>
        <w:tab/>
        <w:t xml:space="preserve">Les k individus ayant la distance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la plus petite sont retenus comme étant les k plus proches voisins de notre individu en cours de classification. </w:t>
      </w:r>
      <w:r w:rsidR="00F61CA4">
        <w:rPr>
          <w:rFonts w:eastAsiaTheme="minorEastAsia"/>
        </w:rPr>
        <w:t>Ces individus nous permettent de déterminer la classe de notre individu : en effet la classe de l’individu sera celle qui est la plus représentée parmi les k plus proches voisins.</w:t>
      </w:r>
    </w:p>
    <w:p w:rsidR="00F61CA4" w:rsidRDefault="00F61CA4" w:rsidP="00F61CA4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Cette méthode est alors itérée sur tous les individus qui n’ont pas été utilisés dans la base d’apprentissage. Nous en déduisons à la suite un taux d’erreur </w:t>
      </w:r>
      <w:r w:rsidR="00070AA7">
        <w:rPr>
          <w:rFonts w:eastAsiaTheme="minorEastAsia"/>
        </w:rPr>
        <w:t>sur la détermination de ces classes. Celui-ci est tout simplement le nombre de classes non correctement calculées par le nombre d’individus à classifier.</w:t>
      </w:r>
    </w:p>
    <w:p w:rsidR="00070AA7" w:rsidRDefault="00070AA7" w:rsidP="00070AA7">
      <w:pPr>
        <w:pStyle w:val="Titre1"/>
        <w:rPr>
          <w:color w:val="306785" w:themeColor="accent1" w:themeShade="BF"/>
        </w:rPr>
      </w:pPr>
      <w:bookmarkStart w:id="4" w:name="_Toc437726550"/>
      <w:r>
        <w:rPr>
          <w:color w:val="306785" w:themeColor="accent1" w:themeShade="BF"/>
        </w:rPr>
        <w:t>Résultats et analyses</w:t>
      </w:r>
      <w:bookmarkEnd w:id="4"/>
    </w:p>
    <w:p w:rsidR="00070AA7" w:rsidRDefault="00070AA7" w:rsidP="00070AA7"/>
    <w:p w:rsidR="00070AA7" w:rsidRPr="00070AA7" w:rsidRDefault="00070AA7" w:rsidP="00070AA7">
      <w:pPr>
        <w:pStyle w:val="Titre2"/>
        <w:rPr>
          <w:color w:val="306785" w:themeColor="accent1" w:themeShade="BF"/>
        </w:rPr>
      </w:pPr>
      <w:bookmarkStart w:id="5" w:name="_GoBack"/>
      <w:bookmarkEnd w:id="5"/>
    </w:p>
    <w:sectPr w:rsidR="00070AA7" w:rsidRPr="00070AA7" w:rsidSect="001D5BFF">
      <w:footerReference w:type="even" r:id="rId12"/>
      <w:footerReference w:type="default" r:id="rId13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A1" w:rsidRDefault="00DB02A1">
      <w:pPr>
        <w:spacing w:after="0" w:line="240" w:lineRule="auto"/>
      </w:pPr>
      <w:r>
        <w:separator/>
      </w:r>
    </w:p>
  </w:endnote>
  <w:endnote w:type="continuationSeparator" w:id="0">
    <w:p w:rsidR="00DB02A1" w:rsidRDefault="00DB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CD" w:rsidRDefault="00DB02A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F67CD" w:rsidRDefault="00DB02A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D5BF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Rapport de Data-Mining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1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D5BF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14/12/2015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BF67CD" w:rsidRDefault="00DB02A1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D5BF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Rapport de Data-Mining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12-14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D5BF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14/12/2015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4E3D92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F67CD" w:rsidRDefault="00DB02A1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1D5BFF" w:rsidRPr="001D5BF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418ab3 [3204]" stroked="f">
              <v:textbox inset="0,0,0,0">
                <w:txbxContent>
                  <w:p w:rsidR="00BF67CD" w:rsidRDefault="00DB02A1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1D5BFF" w:rsidRPr="001D5BF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8214852"/>
      <w:docPartObj>
        <w:docPartGallery w:val="Page Numbers (Bottom of Page)"/>
        <w:docPartUnique/>
      </w:docPartObj>
    </w:sdtPr>
    <w:sdtContent>
      <w:p w:rsidR="001D5BFF" w:rsidRDefault="001D5BF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AA7">
          <w:rPr>
            <w:noProof/>
          </w:rPr>
          <w:t>4</w:t>
        </w:r>
        <w:r>
          <w:fldChar w:fldCharType="end"/>
        </w:r>
      </w:p>
    </w:sdtContent>
  </w:sdt>
  <w:p w:rsidR="00BF67CD" w:rsidRDefault="00BF67CD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A1" w:rsidRDefault="00DB02A1">
      <w:pPr>
        <w:spacing w:after="0" w:line="240" w:lineRule="auto"/>
      </w:pPr>
      <w:r>
        <w:separator/>
      </w:r>
    </w:p>
  </w:footnote>
  <w:footnote w:type="continuationSeparator" w:id="0">
    <w:p w:rsidR="00DB02A1" w:rsidRDefault="00DB0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F69200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F69200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89B9D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418AB3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306785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FF"/>
    <w:rsid w:val="00070AA7"/>
    <w:rsid w:val="00090ED6"/>
    <w:rsid w:val="00173CBF"/>
    <w:rsid w:val="001C0128"/>
    <w:rsid w:val="001D5BFF"/>
    <w:rsid w:val="00302900"/>
    <w:rsid w:val="005F2C33"/>
    <w:rsid w:val="00657D20"/>
    <w:rsid w:val="00883416"/>
    <w:rsid w:val="00BF67CD"/>
    <w:rsid w:val="00C224CD"/>
    <w:rsid w:val="00DB02A1"/>
    <w:rsid w:val="00EF0A9E"/>
    <w:rsid w:val="00F6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09A558-1741-41E5-8E32-AE0CF780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CBF"/>
    <w:pPr>
      <w:spacing w:after="160"/>
    </w:pPr>
    <w:rPr>
      <w:rFonts w:ascii="Calibri" w:hAnsi="Calibri" w:cs="Times New Roman"/>
      <w:color w:val="000000" w:themeColor="text1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73CBF"/>
    <w:pPr>
      <w:spacing w:before="300" w:after="40" w:line="240" w:lineRule="auto"/>
      <w:outlineLvl w:val="0"/>
    </w:pPr>
    <w:rPr>
      <w:rFonts w:asciiTheme="majorHAnsi" w:hAnsiTheme="majorHAnsi"/>
      <w:b/>
      <w:color w:val="306785" w:themeColor="accent1" w:themeShade="BF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73CBF"/>
    <w:pPr>
      <w:spacing w:before="240" w:after="40" w:line="240" w:lineRule="auto"/>
      <w:outlineLvl w:val="1"/>
    </w:pPr>
    <w:rPr>
      <w:rFonts w:asciiTheme="majorHAnsi" w:hAnsiTheme="majorHAnsi"/>
      <w:b/>
      <w:color w:val="306785" w:themeColor="accent1" w:themeShade="BF"/>
      <w:spacing w:val="20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18AB3" w:themeColor="accent1"/>
      <w:spacing w:val="2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B86C00" w:themeColor="accent3" w:themeShade="BF"/>
      <w:spacing w:val="20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B86C00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7B4900" w:themeColor="accent3" w:themeShade="80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7B4900" w:themeColor="accent3" w:themeShade="80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18AB3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18AB3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CBF"/>
    <w:rPr>
      <w:rFonts w:asciiTheme="majorHAnsi" w:hAnsiTheme="majorHAnsi" w:cs="Times New Roman"/>
      <w:b/>
      <w:color w:val="306785" w:themeColor="accent1" w:themeShade="BF"/>
      <w:spacing w:val="2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3CBF"/>
    <w:rPr>
      <w:rFonts w:asciiTheme="majorHAnsi" w:hAnsiTheme="majorHAnsi" w:cs="Times New Roman"/>
      <w:b/>
      <w:color w:val="306785" w:themeColor="accent1" w:themeShade="BF"/>
      <w:spacing w:val="20"/>
      <w:sz w:val="28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418AB3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418AB3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18AB3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418AB3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B881D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89B9D4" w:themeColor="accent1" w:themeTint="99"/>
        <w:bottom w:val="single" w:sz="24" w:space="10" w:color="89B9D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DF5327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B86C00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B86C00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7B4900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7B4900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418AB3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418AB3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A6B727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89B9D4" w:themeColor="accent1" w:themeTint="99"/>
        <w:left w:val="single" w:sz="24" w:space="10" w:color="418AB3" w:themeColor="accent1"/>
        <w:bottom w:val="single" w:sz="36" w:space="10" w:color="F69200" w:themeColor="accent3"/>
        <w:right w:val="single" w:sz="24" w:space="10" w:color="418AB3" w:themeColor="accent1"/>
      </w:pBdr>
      <w:shd w:val="clear" w:color="auto" w:fill="418AB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418AB3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A6B72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A6B727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5BFF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color w:val="306785" w:themeColor="accent1" w:themeShade="BF"/>
      <w:spacing w:val="0"/>
      <w:szCs w:val="32"/>
    </w:rPr>
  </w:style>
  <w:style w:type="character" w:styleId="Lienhypertexte">
    <w:name w:val="Hyperlink"/>
    <w:basedOn w:val="Policepardfaut"/>
    <w:uiPriority w:val="99"/>
    <w:unhideWhenUsed/>
    <w:rsid w:val="001C0128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D1808B9975421EA0ED175684B20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9A4E24-E96B-4F34-8610-F8FBB75D9C7C}"/>
      </w:docPartPr>
      <w:docPartBody>
        <w:p w:rsidR="00000000" w:rsidRDefault="00446808">
          <w:pPr>
            <w:pStyle w:val="ABD1808B9975421EA0ED175684B20A30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D149CACC34B94FE7B06889C3713C1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372A44-BAE4-4C39-95C6-93D7F7AB66C5}"/>
      </w:docPartPr>
      <w:docPartBody>
        <w:p w:rsidR="00000000" w:rsidRDefault="00446808">
          <w:pPr>
            <w:pStyle w:val="D149CACC34B94FE7B06889C3713C138F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0B"/>
    <w:rsid w:val="00446808"/>
    <w:rsid w:val="00F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ED89D8BC274A01999B87051FAE47B4">
    <w:name w:val="A9ED89D8BC274A01999B87051FAE47B4"/>
  </w:style>
  <w:style w:type="paragraph" w:customStyle="1" w:styleId="5FFE7C125B644B7B8518BB0312C0FE62">
    <w:name w:val="5FFE7C125B644B7B8518BB0312C0FE62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20C0B"/>
    <w:rPr>
      <w:color w:val="808080"/>
    </w:rPr>
  </w:style>
  <w:style w:type="paragraph" w:customStyle="1" w:styleId="ABD1808B9975421EA0ED175684B20A30">
    <w:name w:val="ABD1808B9975421EA0ED175684B20A30"/>
  </w:style>
  <w:style w:type="paragraph" w:customStyle="1" w:styleId="D149CACC34B94FE7B06889C3713C138F">
    <w:name w:val="D149CACC34B94FE7B06889C3713C1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2015-12-14T00:00:00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4E9E6FAE-4216-43A1-A5DF-68ABA8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116</TotalTime>
  <Pages>5</Pages>
  <Words>619</Words>
  <Characters>3406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EISTI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Data-Mining</dc:title>
  <dc:subject>Méthode de classification : k plus proches voisins</dc:subject>
  <dc:creator>Hugo LEGRAND</dc:creator>
  <cp:keywords/>
  <dc:description/>
  <cp:lastModifiedBy>Hugo LEGRAND</cp:lastModifiedBy>
  <cp:revision>1</cp:revision>
  <dcterms:created xsi:type="dcterms:W3CDTF">2015-12-12T20:38:00Z</dcterms:created>
  <dcterms:modified xsi:type="dcterms:W3CDTF">2015-12-12T22:34:00Z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