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t>Característiques Plataforma SCIPIO</w:t>
      </w:r>
    </w:p>
    <w:p>
      <w:pPr>
        <w:pStyle w:val="Normal"/>
        <w:rPr>
          <w:lang w:val="es-ES"/>
        </w:rPr>
      </w:pPr>
      <w:r>
        <w:rPr>
          <w:lang w:val="es-ES"/>
        </w:rPr>
      </w:r>
    </w:p>
    <w:p>
      <w:pPr>
        <w:pStyle w:val="Normal"/>
        <w:rPr>
          <w:lang w:val="es-ES"/>
        </w:rPr>
      </w:pPr>
      <w:r>
        <w:rPr>
          <w:lang w:val="es-ES"/>
        </w:rPr>
        <w:t>Participants</w:t>
      </w:r>
    </w:p>
    <w:p>
      <w:pPr>
        <w:pStyle w:val="Normal"/>
        <w:rPr>
          <w:lang w:val="es-ES"/>
        </w:rPr>
      </w:pPr>
      <w:r>
        <w:rPr>
          <w:lang w:val="es-ES"/>
        </w:rPr>
      </w:r>
    </w:p>
    <w:tbl>
      <w:tblPr>
        <w:tblW w:w="8642" w:type="dxa"/>
        <w:jc w:val="center"/>
        <w:tblInd w:w="0" w:type="dxa"/>
        <w:tblBorders>
          <w:bottom w:val="single" w:sz="12" w:space="0" w:color="8EAADB"/>
          <w:insideH w:val="single" w:sz="12" w:space="0" w:color="8EAADB"/>
        </w:tblBorders>
        <w:tblCellMar>
          <w:top w:w="0" w:type="dxa"/>
          <w:left w:w="108" w:type="dxa"/>
          <w:bottom w:w="0" w:type="dxa"/>
          <w:right w:w="108" w:type="dxa"/>
        </w:tblCellMar>
      </w:tblPr>
      <w:tblGrid>
        <w:gridCol w:w="2340"/>
        <w:gridCol w:w="2338"/>
        <w:gridCol w:w="3964"/>
      </w:tblGrid>
      <w:tr>
        <w:trPr/>
        <w:tc>
          <w:tcPr>
            <w:tcW w:w="2340" w:type="dxa"/>
            <w:tcBorders>
              <w:bottom w:val="single" w:sz="12" w:space="0" w:color="8EAADB"/>
              <w:insideH w:val="single" w:sz="12" w:space="0" w:color="8EAADB"/>
            </w:tcBorders>
            <w:shd w:fill="FFFFFF" w:val="clear"/>
          </w:tcPr>
          <w:p>
            <w:pPr>
              <w:pStyle w:val="Normal"/>
              <w:spacing w:lineRule="auto" w:line="240" w:before="0" w:after="0"/>
              <w:rPr>
                <w:b/>
                <w:b/>
                <w:bCs/>
                <w:lang w:val="es-ES"/>
              </w:rPr>
            </w:pPr>
            <w:r>
              <w:rPr>
                <w:b/>
                <w:bCs/>
                <w:lang w:val="es-ES"/>
              </w:rPr>
              <w:t>PARTICIPANT</w:t>
            </w:r>
          </w:p>
        </w:tc>
        <w:tc>
          <w:tcPr>
            <w:tcW w:w="2338" w:type="dxa"/>
            <w:tcBorders>
              <w:bottom w:val="single" w:sz="12" w:space="0" w:color="8EAADB"/>
              <w:insideH w:val="single" w:sz="12" w:space="0" w:color="8EAADB"/>
            </w:tcBorders>
            <w:shd w:fill="FFFFFF" w:val="clear"/>
          </w:tcPr>
          <w:p>
            <w:pPr>
              <w:pStyle w:val="Normal"/>
              <w:spacing w:lineRule="auto" w:line="240" w:before="0" w:after="0"/>
              <w:rPr>
                <w:b/>
                <w:b/>
                <w:bCs/>
                <w:lang w:val="es-ES"/>
              </w:rPr>
            </w:pPr>
            <w:r>
              <w:rPr>
                <w:b/>
                <w:bCs/>
                <w:lang w:val="es-ES"/>
              </w:rPr>
              <w:t>What value adds</w:t>
            </w:r>
          </w:p>
        </w:tc>
        <w:tc>
          <w:tcPr>
            <w:tcW w:w="3964" w:type="dxa"/>
            <w:tcBorders>
              <w:bottom w:val="single" w:sz="12" w:space="0" w:color="8EAADB"/>
              <w:insideH w:val="single" w:sz="12" w:space="0" w:color="8EAADB"/>
            </w:tcBorders>
            <w:shd w:fill="FFFFFF" w:val="clear"/>
          </w:tcPr>
          <w:p>
            <w:pPr>
              <w:pStyle w:val="Normal"/>
              <w:spacing w:lineRule="auto" w:line="240" w:before="0" w:after="0"/>
              <w:rPr>
                <w:b/>
                <w:b/>
                <w:bCs/>
                <w:lang w:val="es-ES"/>
              </w:rPr>
            </w:pPr>
            <w:r>
              <w:rPr>
                <w:b/>
                <w:bCs/>
                <w:lang w:val="es-ES"/>
              </w:rPr>
              <w:t>What it gets</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D9E2F3" w:val="clear"/>
          </w:tcPr>
          <w:p>
            <w:pPr>
              <w:pStyle w:val="Normal"/>
              <w:spacing w:lineRule="auto" w:line="240" w:before="0" w:after="0"/>
              <w:rPr>
                <w:b/>
                <w:b/>
                <w:bCs/>
                <w:lang w:val="es-ES"/>
              </w:rPr>
            </w:pPr>
            <w:r>
              <w:rPr>
                <w:b/>
                <w:bCs/>
                <w:lang w:val="es-ES"/>
              </w:rPr>
              <w:t>Investor</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D9E2F3" w:val="clear"/>
            <w:tcMar>
              <w:left w:w="105" w:type="dxa"/>
            </w:tcMar>
          </w:tcPr>
          <w:p>
            <w:pPr>
              <w:pStyle w:val="Normal"/>
              <w:spacing w:lineRule="auto" w:line="240" w:before="0" w:after="0"/>
              <w:rPr>
                <w:lang w:val="en-US"/>
              </w:rPr>
            </w:pPr>
            <w:r>
              <w:rPr>
                <w:lang w:val="en-US"/>
              </w:rPr>
              <w:t>Provides financing for CAPEX investment</w:t>
            </w:r>
          </w:p>
        </w:tc>
        <w:tc>
          <w:tcPr>
            <w:tcW w:w="3964" w:type="dxa"/>
            <w:tcBorders>
              <w:top w:val="single" w:sz="2" w:space="0" w:color="8EAADB"/>
              <w:left w:val="single" w:sz="2" w:space="0" w:color="8EAADB"/>
              <w:bottom w:val="single" w:sz="2" w:space="0" w:color="8EAADB"/>
              <w:insideH w:val="single" w:sz="2" w:space="0" w:color="8EAADB"/>
            </w:tcBorders>
            <w:shd w:fill="D9E2F3" w:val="clear"/>
            <w:tcMar>
              <w:left w:w="105" w:type="dxa"/>
            </w:tcMar>
          </w:tcPr>
          <w:p>
            <w:pPr>
              <w:pStyle w:val="Normal"/>
              <w:spacing w:lineRule="auto" w:line="240" w:before="0" w:after="0"/>
              <w:rPr>
                <w:lang w:val="es-ES"/>
              </w:rPr>
            </w:pPr>
            <w:r>
              <w:rPr>
                <w:lang w:val="es-ES"/>
              </w:rPr>
              <w:t>Value Accruation in Token</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auto" w:val="clear"/>
          </w:tcPr>
          <w:p>
            <w:pPr>
              <w:pStyle w:val="Normal"/>
              <w:spacing w:lineRule="auto" w:line="240" w:before="0" w:after="0"/>
              <w:rPr>
                <w:b/>
                <w:b/>
                <w:bCs/>
                <w:lang w:val="es-ES"/>
              </w:rPr>
            </w:pPr>
            <w:r>
              <w:rPr>
                <w:b/>
                <w:bCs/>
                <w:lang w:val="es-ES"/>
              </w:rPr>
              <w:t>Installer</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auto" w:val="clear"/>
            <w:tcMar>
              <w:left w:w="105" w:type="dxa"/>
            </w:tcMar>
          </w:tcPr>
          <w:p>
            <w:pPr>
              <w:pStyle w:val="Normal"/>
              <w:spacing w:lineRule="auto" w:line="240" w:before="0" w:after="0"/>
              <w:rPr>
                <w:lang w:val="en-US"/>
              </w:rPr>
            </w:pPr>
            <w:r>
              <w:rPr>
                <w:lang w:val="en-US"/>
              </w:rPr>
              <w:t>Plans &amp; Executes Investment. Coordination with local authorities.</w:t>
            </w:r>
          </w:p>
        </w:tc>
        <w:tc>
          <w:tcPr>
            <w:tcW w:w="3964" w:type="dxa"/>
            <w:tcBorders>
              <w:top w:val="single" w:sz="2" w:space="0" w:color="8EAADB"/>
              <w:left w:val="single" w:sz="2" w:space="0" w:color="8EAADB"/>
              <w:bottom w:val="single" w:sz="2" w:space="0" w:color="8EAADB"/>
              <w:insideH w:val="single" w:sz="2" w:space="0" w:color="8EAADB"/>
            </w:tcBorders>
            <w:shd w:fill="auto" w:val="clear"/>
            <w:tcMar>
              <w:left w:w="105" w:type="dxa"/>
            </w:tcMar>
          </w:tcPr>
          <w:p>
            <w:pPr>
              <w:pStyle w:val="Normal"/>
              <w:spacing w:lineRule="auto" w:line="240" w:before="0" w:after="0"/>
              <w:rPr>
                <w:lang w:val="en-US"/>
              </w:rPr>
            </w:pPr>
            <w:r>
              <w:rPr>
                <w:lang w:val="en-US"/>
              </w:rPr>
              <w:t>Payment of invoiced installation.</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D9E2F3" w:val="clear"/>
          </w:tcPr>
          <w:p>
            <w:pPr>
              <w:pStyle w:val="Normal"/>
              <w:spacing w:lineRule="auto" w:line="240" w:before="0" w:after="0"/>
              <w:rPr>
                <w:b/>
                <w:b/>
                <w:bCs/>
                <w:lang w:val="es-ES"/>
              </w:rPr>
            </w:pPr>
            <w:r>
              <w:rPr>
                <w:b/>
                <w:bCs/>
                <w:lang w:val="es-ES"/>
              </w:rPr>
              <w:t>ServiceProvider</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D9E2F3" w:val="clear"/>
            <w:tcMar>
              <w:left w:w="105" w:type="dxa"/>
            </w:tcMar>
          </w:tcPr>
          <w:p>
            <w:pPr>
              <w:pStyle w:val="Normal"/>
              <w:spacing w:lineRule="auto" w:line="240" w:before="0" w:after="0"/>
              <w:rPr>
                <w:lang w:val="es-ES"/>
              </w:rPr>
            </w:pPr>
            <w:r>
              <w:rPr>
                <w:lang w:val="es-ES"/>
              </w:rPr>
              <w:t xml:space="preserve">Offers ISP </w:t>
            </w:r>
          </w:p>
        </w:tc>
        <w:tc>
          <w:tcPr>
            <w:tcW w:w="3964" w:type="dxa"/>
            <w:tcBorders>
              <w:top w:val="single" w:sz="2" w:space="0" w:color="8EAADB"/>
              <w:left w:val="single" w:sz="2" w:space="0" w:color="8EAADB"/>
              <w:bottom w:val="single" w:sz="2" w:space="0" w:color="8EAADB"/>
              <w:insideH w:val="single" w:sz="2" w:space="0" w:color="8EAADB"/>
            </w:tcBorders>
            <w:shd w:fill="D9E2F3" w:val="clear"/>
            <w:tcMar>
              <w:left w:w="105" w:type="dxa"/>
            </w:tcMar>
          </w:tcPr>
          <w:p>
            <w:pPr>
              <w:pStyle w:val="Normal"/>
              <w:spacing w:lineRule="auto" w:line="240" w:before="0" w:after="0"/>
              <w:rPr>
                <w:lang w:val="en-US"/>
              </w:rPr>
            </w:pPr>
            <w:r>
              <w:rPr>
                <w:lang w:val="en-US"/>
              </w:rPr>
              <w:t>Revenues from end users through compensation table.</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auto" w:val="clear"/>
          </w:tcPr>
          <w:p>
            <w:pPr>
              <w:pStyle w:val="Normal"/>
              <w:spacing w:lineRule="auto" w:line="240" w:before="0" w:after="0"/>
              <w:rPr>
                <w:b/>
                <w:b/>
                <w:bCs/>
                <w:lang w:val="es-ES"/>
              </w:rPr>
            </w:pPr>
            <w:r>
              <w:rPr>
                <w:b/>
                <w:bCs/>
                <w:lang w:val="es-ES"/>
              </w:rPr>
              <w:t>SuperNode</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auto" w:val="clear"/>
            <w:tcMar>
              <w:left w:w="105" w:type="dxa"/>
            </w:tcMar>
          </w:tcPr>
          <w:p>
            <w:pPr>
              <w:pStyle w:val="Normal"/>
              <w:spacing w:lineRule="auto" w:line="240" w:before="0" w:after="0"/>
              <w:rPr>
                <w:lang w:val="en-US"/>
              </w:rPr>
            </w:pPr>
            <w:r>
              <w:rPr>
                <w:lang w:val="en-US"/>
              </w:rPr>
              <w:t>Offers connectivity to end user and access to decentralized services</w:t>
            </w:r>
          </w:p>
        </w:tc>
        <w:tc>
          <w:tcPr>
            <w:tcW w:w="3964" w:type="dxa"/>
            <w:tcBorders>
              <w:top w:val="single" w:sz="2" w:space="0" w:color="8EAADB"/>
              <w:left w:val="single" w:sz="2" w:space="0" w:color="8EAADB"/>
              <w:bottom w:val="single" w:sz="2" w:space="0" w:color="8EAADB"/>
              <w:insideH w:val="single" w:sz="2" w:space="0" w:color="8EAADB"/>
            </w:tcBorders>
            <w:shd w:fill="auto" w:val="clear"/>
            <w:tcMar>
              <w:left w:w="105" w:type="dxa"/>
            </w:tcMar>
          </w:tcPr>
          <w:p>
            <w:pPr>
              <w:pStyle w:val="Normal"/>
              <w:spacing w:lineRule="auto" w:line="240" w:before="0" w:after="0"/>
              <w:rPr>
                <w:lang w:val="en-US"/>
              </w:rPr>
            </w:pPr>
            <w:r>
              <w:rPr>
                <w:lang w:val="en-US"/>
              </w:rPr>
              <w:t>Revenues from end users through compensation table.</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D9E2F3" w:val="clear"/>
          </w:tcPr>
          <w:p>
            <w:pPr>
              <w:pStyle w:val="Normal"/>
              <w:spacing w:lineRule="auto" w:line="240" w:before="0" w:after="0"/>
              <w:rPr>
                <w:b/>
                <w:b/>
                <w:bCs/>
                <w:lang w:val="es-ES"/>
              </w:rPr>
            </w:pPr>
            <w:r>
              <w:rPr>
                <w:b/>
                <w:bCs/>
                <w:lang w:val="es-ES"/>
              </w:rPr>
              <w:t>EndUser</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D9E2F3" w:val="clear"/>
            <w:tcMar>
              <w:left w:w="105" w:type="dxa"/>
            </w:tcMar>
          </w:tcPr>
          <w:p>
            <w:pPr>
              <w:pStyle w:val="Normal"/>
              <w:spacing w:lineRule="auto" w:line="240" w:before="0" w:after="0"/>
              <w:rPr>
                <w:lang w:val="en-US"/>
              </w:rPr>
            </w:pPr>
            <w:r>
              <w:rPr>
                <w:lang w:val="en-US"/>
              </w:rPr>
              <w:t>Makes investment interesting for Investors</w:t>
            </w:r>
          </w:p>
        </w:tc>
        <w:tc>
          <w:tcPr>
            <w:tcW w:w="3964" w:type="dxa"/>
            <w:tcBorders>
              <w:top w:val="single" w:sz="2" w:space="0" w:color="8EAADB"/>
              <w:left w:val="single" w:sz="2" w:space="0" w:color="8EAADB"/>
              <w:bottom w:val="single" w:sz="2" w:space="0" w:color="8EAADB"/>
              <w:insideH w:val="single" w:sz="2" w:space="0" w:color="8EAADB"/>
            </w:tcBorders>
            <w:shd w:fill="D9E2F3" w:val="clear"/>
            <w:tcMar>
              <w:left w:w="105" w:type="dxa"/>
            </w:tcMar>
          </w:tcPr>
          <w:p>
            <w:pPr>
              <w:pStyle w:val="Normal"/>
              <w:spacing w:lineRule="auto" w:line="240" w:before="0" w:after="0"/>
              <w:rPr>
                <w:lang w:val="en-US"/>
              </w:rPr>
            </w:pPr>
            <w:r>
              <w:rPr>
                <w:lang w:val="en-US"/>
              </w:rPr>
              <w:t>Internet Connectivity. Accés to Blockchain.</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auto" w:val="clear"/>
          </w:tcPr>
          <w:p>
            <w:pPr>
              <w:pStyle w:val="Normal"/>
              <w:spacing w:lineRule="auto" w:line="240" w:before="0" w:after="0"/>
              <w:rPr>
                <w:b/>
                <w:b/>
                <w:bCs/>
                <w:lang w:val="es-ES"/>
              </w:rPr>
            </w:pPr>
            <w:r>
              <w:rPr>
                <w:b/>
                <w:bCs/>
                <w:lang w:val="es-ES"/>
              </w:rPr>
              <w:t>PA (Public Authority)</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auto" w:val="clear"/>
            <w:tcMar>
              <w:left w:w="105" w:type="dxa"/>
            </w:tcMar>
          </w:tcPr>
          <w:p>
            <w:pPr>
              <w:pStyle w:val="Normal"/>
              <w:spacing w:lineRule="auto" w:line="240" w:before="0" w:after="0"/>
              <w:rPr>
                <w:lang w:val="en-US"/>
              </w:rPr>
            </w:pPr>
            <w:r>
              <w:rPr>
                <w:lang w:val="en-US"/>
              </w:rPr>
              <w:t>Facilitates investment and network development</w:t>
            </w:r>
          </w:p>
        </w:tc>
        <w:tc>
          <w:tcPr>
            <w:tcW w:w="3964" w:type="dxa"/>
            <w:tcBorders>
              <w:top w:val="single" w:sz="2" w:space="0" w:color="8EAADB"/>
              <w:left w:val="single" w:sz="2" w:space="0" w:color="8EAADB"/>
              <w:bottom w:val="single" w:sz="2" w:space="0" w:color="8EAADB"/>
              <w:insideH w:val="single" w:sz="2" w:space="0" w:color="8EAADB"/>
            </w:tcBorders>
            <w:shd w:fill="auto" w:val="clear"/>
            <w:tcMar>
              <w:left w:w="105" w:type="dxa"/>
            </w:tcMar>
          </w:tcPr>
          <w:p>
            <w:pPr>
              <w:pStyle w:val="Normal"/>
              <w:spacing w:lineRule="auto" w:line="240" w:before="0" w:after="0"/>
              <w:rPr>
                <w:lang w:val="en-US"/>
              </w:rPr>
            </w:pPr>
            <w:r>
              <w:rPr>
                <w:lang w:val="en-US"/>
              </w:rPr>
              <w:t>Reduced connectivity costs due to cost-oriented philosophy of common networks.</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D9E2F3" w:val="clear"/>
          </w:tcPr>
          <w:p>
            <w:pPr>
              <w:pStyle w:val="Normal"/>
              <w:spacing w:lineRule="auto" w:line="240" w:before="0" w:after="0"/>
              <w:rPr>
                <w:b/>
                <w:b/>
                <w:bCs/>
                <w:lang w:val="es-ES"/>
              </w:rPr>
            </w:pPr>
            <w:r>
              <w:rPr>
                <w:b/>
                <w:bCs/>
                <w:lang w:val="es-ES"/>
              </w:rPr>
              <w:t>Scipio Foundation</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D9E2F3" w:val="clear"/>
            <w:tcMar>
              <w:left w:w="105" w:type="dxa"/>
            </w:tcMar>
          </w:tcPr>
          <w:p>
            <w:pPr>
              <w:pStyle w:val="Normal"/>
              <w:spacing w:lineRule="auto" w:line="240" w:before="0" w:after="0"/>
              <w:rPr>
                <w:lang w:val="en-US"/>
              </w:rPr>
            </w:pPr>
            <w:r>
              <w:rPr>
                <w:lang w:val="en-US"/>
              </w:rPr>
              <w:t>Streamlines CAPEX Investment Automated Conflict Resolution</w:t>
            </w:r>
          </w:p>
          <w:p>
            <w:pPr>
              <w:pStyle w:val="Normal"/>
              <w:spacing w:lineRule="auto" w:line="240" w:before="0" w:after="0"/>
              <w:rPr>
                <w:lang w:val="en-US"/>
              </w:rPr>
            </w:pPr>
            <w:r>
              <w:rPr>
                <w:lang w:val="en-US"/>
              </w:rPr>
              <w:t>Public real-time network monitoring and usage</w:t>
            </w:r>
          </w:p>
          <w:p>
            <w:pPr>
              <w:pStyle w:val="Normal"/>
              <w:spacing w:lineRule="auto" w:line="240" w:before="0" w:after="0"/>
              <w:rPr>
                <w:lang w:val="en-US"/>
              </w:rPr>
            </w:pPr>
            <w:r>
              <w:rPr>
                <w:lang w:val="en-US"/>
              </w:rPr>
              <w:t xml:space="preserve">Bandwitdh trading </w:t>
            </w:r>
          </w:p>
          <w:p>
            <w:pPr>
              <w:pStyle w:val="Normal"/>
              <w:spacing w:lineRule="auto" w:line="240" w:before="0" w:after="0"/>
              <w:rPr>
                <w:lang w:val="en-US"/>
              </w:rPr>
            </w:pPr>
            <w:r>
              <w:rPr>
                <w:lang w:val="en-US"/>
              </w:rPr>
              <w:t>Democratising access to internet and blockchain.</w:t>
            </w:r>
          </w:p>
          <w:p>
            <w:pPr>
              <w:pStyle w:val="Normal"/>
              <w:spacing w:lineRule="auto" w:line="240" w:before="0" w:after="0"/>
              <w:rPr>
                <w:lang w:val="en-US"/>
              </w:rPr>
            </w:pPr>
            <w:r>
              <w:rPr>
                <w:lang w:val="en-US"/>
              </w:rPr>
            </w:r>
          </w:p>
        </w:tc>
        <w:tc>
          <w:tcPr>
            <w:tcW w:w="3964" w:type="dxa"/>
            <w:tcBorders>
              <w:top w:val="single" w:sz="2" w:space="0" w:color="8EAADB"/>
              <w:left w:val="single" w:sz="2" w:space="0" w:color="8EAADB"/>
              <w:bottom w:val="single" w:sz="2" w:space="0" w:color="8EAADB"/>
              <w:insideH w:val="single" w:sz="2" w:space="0" w:color="8EAADB"/>
            </w:tcBorders>
            <w:shd w:fill="D9E2F3" w:val="clear"/>
            <w:tcMar>
              <w:left w:w="105" w:type="dxa"/>
            </w:tcMar>
          </w:tcPr>
          <w:p>
            <w:pPr>
              <w:pStyle w:val="Normal"/>
              <w:spacing w:lineRule="auto" w:line="240" w:before="0" w:after="0"/>
              <w:rPr>
                <w:lang w:val="en-US"/>
              </w:rPr>
            </w:pPr>
            <w:r>
              <w:rPr>
                <w:lang w:val="en-US"/>
              </w:rPr>
              <w:t>Capex-fee: 2.5% charged to investors. 0.5% charged to Professionals.</w:t>
            </w:r>
          </w:p>
          <w:p>
            <w:pPr>
              <w:pStyle w:val="Normal"/>
              <w:spacing w:lineRule="auto" w:line="240" w:before="0" w:after="0"/>
              <w:rPr>
                <w:lang w:val="en-US"/>
              </w:rPr>
            </w:pPr>
            <w:r>
              <w:rPr>
                <w:lang w:val="en-US"/>
              </w:rPr>
              <w:t>Revenue fee: 10%. 50%, 100% for Type A/B/C operators).</w:t>
            </w:r>
          </w:p>
        </w:tc>
      </w:tr>
      <w:tr>
        <w:trPr/>
        <w:tc>
          <w:tcPr>
            <w:tcW w:w="2340" w:type="dxa"/>
            <w:tcBorders>
              <w:top w:val="single" w:sz="2" w:space="0" w:color="8EAADB"/>
              <w:bottom w:val="single" w:sz="2" w:space="0" w:color="8EAADB"/>
              <w:right w:val="single" w:sz="2" w:space="0" w:color="8EAADB"/>
              <w:insideH w:val="single" w:sz="2" w:space="0" w:color="8EAADB"/>
              <w:insideV w:val="single" w:sz="2" w:space="0" w:color="8EAADB"/>
            </w:tcBorders>
            <w:shd w:fill="auto" w:val="clear"/>
          </w:tcPr>
          <w:p>
            <w:pPr>
              <w:pStyle w:val="Normal"/>
              <w:spacing w:lineRule="auto" w:line="240" w:before="0" w:after="0"/>
              <w:rPr>
                <w:b/>
                <w:b/>
                <w:bCs/>
                <w:lang w:val="es-ES"/>
              </w:rPr>
            </w:pPr>
            <w:r>
              <w:rPr>
                <w:b/>
                <w:bCs/>
                <w:lang w:val="es-ES"/>
              </w:rPr>
              <w:t>Token Investor</w:t>
            </w:r>
          </w:p>
        </w:tc>
        <w:tc>
          <w:tcPr>
            <w:tcW w:w="2338" w:type="dxa"/>
            <w:tcBorders>
              <w:top w:val="single" w:sz="2" w:space="0" w:color="8EAADB"/>
              <w:left w:val="single" w:sz="2" w:space="0" w:color="8EAADB"/>
              <w:bottom w:val="single" w:sz="2" w:space="0" w:color="8EAADB"/>
              <w:right w:val="single" w:sz="2" w:space="0" w:color="8EAADB"/>
              <w:insideH w:val="single" w:sz="2" w:space="0" w:color="8EAADB"/>
              <w:insideV w:val="single" w:sz="2" w:space="0" w:color="8EAADB"/>
            </w:tcBorders>
            <w:shd w:fill="auto" w:val="clear"/>
            <w:tcMar>
              <w:left w:w="105" w:type="dxa"/>
            </w:tcMar>
          </w:tcPr>
          <w:p>
            <w:pPr>
              <w:pStyle w:val="Normal"/>
              <w:spacing w:lineRule="auto" w:line="240" w:before="0" w:after="0"/>
              <w:rPr>
                <w:lang w:val="en-US"/>
              </w:rPr>
            </w:pPr>
            <w:r>
              <w:rPr>
                <w:lang w:val="en-US"/>
              </w:rPr>
              <w:t>Initial Funding for Platform Development and Marketing</w:t>
            </w:r>
          </w:p>
        </w:tc>
        <w:tc>
          <w:tcPr>
            <w:tcW w:w="3964" w:type="dxa"/>
            <w:tcBorders>
              <w:top w:val="single" w:sz="2" w:space="0" w:color="8EAADB"/>
              <w:left w:val="single" w:sz="2" w:space="0" w:color="8EAADB"/>
              <w:bottom w:val="single" w:sz="2" w:space="0" w:color="8EAADB"/>
              <w:insideH w:val="single" w:sz="2" w:space="0" w:color="8EAADB"/>
            </w:tcBorders>
            <w:shd w:fill="auto" w:val="clear"/>
            <w:tcMar>
              <w:left w:w="105" w:type="dxa"/>
            </w:tcMar>
          </w:tcPr>
          <w:p>
            <w:pPr>
              <w:pStyle w:val="Normal"/>
              <w:spacing w:lineRule="auto" w:line="240" w:before="0" w:after="0"/>
              <w:rPr>
                <w:lang w:val="en-US"/>
              </w:rPr>
            </w:pPr>
            <w:r>
              <w:rPr>
                <w:lang w:val="en-US"/>
              </w:rPr>
              <w:t>Token Appreciation</w:t>
            </w:r>
          </w:p>
        </w:tc>
      </w:tr>
    </w:tbl>
    <w:p>
      <w:pPr>
        <w:pStyle w:val="Normal"/>
        <w:rPr>
          <w:lang w:val="en-US"/>
        </w:rPr>
      </w:pPr>
      <w:r>
        <w:rPr>
          <w:lang w:val="en-US"/>
        </w:rPr>
      </w:r>
    </w:p>
    <w:p>
      <w:pPr>
        <w:pStyle w:val="Normal"/>
        <w:rPr>
          <w:lang w:val="en-US"/>
        </w:rPr>
      </w:pPr>
      <w:r>
        <w:rPr>
          <w:lang w:val="en-US"/>
        </w:rPr>
      </w:r>
    </w:p>
    <w:p>
      <w:pPr>
        <w:pStyle w:val="Heading1"/>
        <w:rPr>
          <w:lang w:val="en-US"/>
        </w:rPr>
      </w:pPr>
      <w:r>
        <w:rPr>
          <w:lang w:val="en-US"/>
        </w:rPr>
        <w:t>SmartContracts</w:t>
      </w:r>
    </w:p>
    <w:p>
      <w:pPr>
        <w:pStyle w:val="Normal"/>
        <w:rPr>
          <w:lang w:val="en-US"/>
        </w:rPr>
      </w:pPr>
      <w:r>
        <w:rPr>
          <w:lang w:val="en-US"/>
        </w:rPr>
      </w:r>
    </w:p>
    <w:p>
      <w:pPr>
        <w:pStyle w:val="Heading2"/>
        <w:rPr/>
      </w:pPr>
      <w:r>
        <w:rPr>
          <w:lang w:val="en-US"/>
        </w:rPr>
        <w:t>SuperNode</w:t>
      </w:r>
      <w:r>
        <w:rPr>
          <w:lang w:val="en-US"/>
        </w:rPr>
        <w:t>Manager</w:t>
      </w:r>
    </w:p>
    <w:p>
      <w:pPr>
        <w:pStyle w:val="Normal"/>
        <w:rPr>
          <w:lang w:val="en-US"/>
        </w:rPr>
      </w:pPr>
      <w:r>
        <w:rPr>
          <w:lang w:val="en-US"/>
        </w:rPr>
        <w:t>Each SuperNode has to be created by its owner. The creation can be called by anybody and will receive as arguments in constructor:</w:t>
      </w:r>
    </w:p>
    <w:p>
      <w:pPr>
        <w:pStyle w:val="Normal"/>
        <w:rPr>
          <w:lang w:val="en-US"/>
        </w:rPr>
      </w:pPr>
      <w:r>
        <w:rPr>
          <w:lang w:val="en-US"/>
        </w:rPr>
        <w:t>Name, Owner, Role_owner, Zona</w:t>
      </w:r>
    </w:p>
    <w:p>
      <w:pPr>
        <w:pStyle w:val="Normal"/>
        <w:rPr>
          <w:lang w:val="en-US"/>
        </w:rPr>
      </w:pPr>
      <w:r>
        <w:rPr>
          <w:lang w:val="en-US"/>
        </w:rPr>
        <w:t>This SmartContract should:</w:t>
      </w:r>
    </w:p>
    <w:p>
      <w:pPr>
        <w:pStyle w:val="Normal"/>
        <w:numPr>
          <w:ilvl w:val="0"/>
          <w:numId w:val="5"/>
        </w:numPr>
        <w:rPr>
          <w:lang w:val="en-US"/>
        </w:rPr>
      </w:pPr>
      <w:r>
        <w:rPr>
          <w:lang w:val="en-US"/>
        </w:rPr>
        <w:t>Upload New Expenses related to the SuperNode</w:t>
      </w:r>
    </w:p>
    <w:p>
      <w:pPr>
        <w:pStyle w:val="Normal"/>
        <w:numPr>
          <w:ilvl w:val="0"/>
          <w:numId w:val="5"/>
        </w:numPr>
        <w:rPr>
          <w:lang w:val="en-US"/>
        </w:rPr>
      </w:pPr>
      <w:r>
        <w:rPr>
          <w:lang w:val="en-US"/>
        </w:rPr>
        <w:t>Get the expenses validated by the Foundation (initially each SuperNode validates them).</w:t>
      </w:r>
    </w:p>
    <w:p>
      <w:pPr>
        <w:pStyle w:val="Normal"/>
        <w:numPr>
          <w:ilvl w:val="0"/>
          <w:numId w:val="5"/>
        </w:numPr>
        <w:rPr>
          <w:lang w:val="en-US"/>
        </w:rPr>
      </w:pPr>
      <w:r>
        <w:rPr>
          <w:lang w:val="en-US"/>
        </w:rPr>
        <w:t>Add new nodes to wich it connects.</w:t>
      </w:r>
    </w:p>
    <w:p>
      <w:pPr>
        <w:pStyle w:val="Normal"/>
        <w:numPr>
          <w:ilvl w:val="0"/>
          <w:numId w:val="5"/>
        </w:numPr>
        <w:rPr>
          <w:lang w:val="en-US"/>
        </w:rPr>
      </w:pPr>
      <w:r>
        <w:rPr>
          <w:lang w:val="en-US"/>
        </w:rPr>
        <w:t>Add inflow in GB of Supernode</w:t>
      </w:r>
    </w:p>
    <w:p>
      <w:pPr>
        <w:pStyle w:val="Normal"/>
        <w:numPr>
          <w:ilvl w:val="0"/>
          <w:numId w:val="5"/>
        </w:numPr>
        <w:rPr>
          <w:lang w:val="en-US"/>
        </w:rPr>
      </w:pPr>
      <w:r>
        <w:rPr>
          <w:lang w:val="en-US"/>
        </w:rPr>
        <w:t>Add inflow in monetary units (payments collected)</w:t>
      </w:r>
    </w:p>
    <w:p>
      <w:pPr>
        <w:pStyle w:val="Normal"/>
        <w:numPr>
          <w:ilvl w:val="0"/>
          <w:numId w:val="5"/>
        </w:numPr>
        <w:rPr>
          <w:lang w:val="en-US"/>
        </w:rPr>
      </w:pPr>
      <w:r>
        <w:rPr>
          <w:lang w:val="en-US"/>
        </w:rPr>
        <w:t>Add outflow in GB served to nodes</w:t>
      </w:r>
    </w:p>
    <w:p>
      <w:pPr>
        <w:pStyle w:val="Normal"/>
        <w:numPr>
          <w:ilvl w:val="0"/>
          <w:numId w:val="5"/>
        </w:numPr>
        <w:rPr>
          <w:lang w:val="en-US"/>
        </w:rPr>
      </w:pPr>
      <w:r>
        <w:rPr>
          <w:lang w:val="en-US"/>
        </w:rPr>
        <w:t>Get</w:t>
      </w:r>
      <w:r>
        <w:rPr>
          <w:lang w:val="en-US"/>
        </w:rPr>
        <w:t xml:space="preserve"> total contributed ammount.</w:t>
      </w:r>
    </w:p>
    <w:p>
      <w:pPr>
        <w:pStyle w:val="Normal"/>
        <w:numPr>
          <w:ilvl w:val="0"/>
          <w:numId w:val="5"/>
        </w:numPr>
        <w:rPr>
          <w:lang w:val="en-US"/>
        </w:rPr>
      </w:pPr>
      <w:r>
        <w:rPr>
          <w:lang w:val="en-US"/>
        </w:rPr>
        <w:t>Get total</w:t>
      </w:r>
      <w:r>
        <w:rPr>
          <w:lang w:val="en-US"/>
        </w:rPr>
        <w:t xml:space="preserve"> Inflow of money</w:t>
      </w:r>
    </w:p>
    <w:p>
      <w:pPr>
        <w:pStyle w:val="Normal"/>
        <w:numPr>
          <w:ilvl w:val="0"/>
          <w:numId w:val="5"/>
        </w:numPr>
        <w:rPr>
          <w:lang w:val="en-US"/>
        </w:rPr>
      </w:pPr>
      <w:r>
        <w:rPr>
          <w:lang w:val="en-US"/>
        </w:rPr>
        <w:t xml:space="preserve">Get total </w:t>
      </w:r>
      <w:r>
        <w:rPr>
          <w:lang w:val="en-US"/>
        </w:rPr>
        <w:t>Outflow of GB served.</w:t>
      </w:r>
    </w:p>
    <w:p>
      <w:pPr>
        <w:pStyle w:val="Normal"/>
        <w:numPr>
          <w:ilvl w:val="0"/>
          <w:numId w:val="5"/>
        </w:numPr>
        <w:rPr>
          <w:lang w:val="en-US"/>
        </w:rPr>
      </w:pPr>
      <w:r>
        <w:rPr>
          <w:lang w:val="en-US"/>
        </w:rPr>
      </w:r>
    </w:p>
    <w:p>
      <w:pPr>
        <w:pStyle w:val="Normal"/>
        <w:rPr>
          <w:lang w:val="en-US"/>
        </w:rPr>
      </w:pPr>
      <w:r>
        <w:rPr>
          <w:lang w:val="en-US"/>
        </w:rPr>
        <w:t>Struct SuperNode</w:t>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311"/>
        <w:gridCol w:w="1863"/>
        <w:gridCol w:w="1705"/>
        <w:gridCol w:w="1615"/>
      </w:tblGrid>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Variable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Type</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Comments</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nameSuperNode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ownerSuperNode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role_owner</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mapping </w:t>
            </w:r>
            <w:r>
              <w:rPr>
                <w:rFonts w:eastAsia="Wingdings" w:cs="Wingdings" w:ascii="Wingdings" w:hAnsi="Wingdings"/>
                <w:lang w:val="en-US"/>
              </w:rPr>
              <w:t></w:t>
            </w:r>
            <w:r>
              <w:rPr>
                <w:lang w:val="en-US"/>
              </w:rPr>
              <w:t xml:space="preserve"> enum </w:t>
            </w:r>
            <w:r>
              <w:rPr>
                <w:rFonts w:eastAsia="Wingdings" w:cs="Wingdings" w:ascii="Wingdings" w:hAnsi="Wingdings"/>
                <w:lang w:val="en-US"/>
              </w:rPr>
              <w:t></w:t>
            </w:r>
            <w:r>
              <w:rPr>
                <w:lang w:val="en-US"/>
              </w:rPr>
              <w:t xml:space="preserve"> bool</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Investor / Installer / ServiceProvider / SuperNode / EndUser / PA / Scipio / Token Owner</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superNodeZone</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SuperNodePositionLat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SuperNodePositionLong</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SuperNodeMallada</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bool</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superNodeEstado</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enum</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superNodeConnectedNodes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bool</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superNodeHeight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superNodeLinks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Array of SuperNodes it is connected to</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superNodeCost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 xml:space="preserve">Uint </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Amount in wei of total cost of installation that is required to fund.</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superNodeOPExpenses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Total Ammount of expenses (maintenance ,etc)</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superNodeExpectedYearlyOpCosts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Expected yearly operating costs of node (maintenance, etc).</w:t>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Struct[]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expensesTotalAmmount</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periodEndUserBalances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33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periodSupplyBalances</w:t>
            </w:r>
          </w:p>
        </w:tc>
        <w:tc>
          <w:tcPr>
            <w:tcW w:w="18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uint</w:t>
            </w:r>
          </w:p>
        </w:tc>
        <w:tc>
          <w:tcPr>
            <w:tcW w:w="1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Normal"/>
        <w:rPr>
          <w:lang w:val="en-US"/>
        </w:rPr>
      </w:pPr>
      <w:r>
        <w:rPr>
          <w:lang w:val="en-US"/>
        </w:rPr>
        <w:t>Struct Participant</w:t>
      </w:r>
    </w:p>
    <w:tbl>
      <w:tblPr>
        <w:tblW w:w="714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786"/>
        <w:gridCol w:w="2567"/>
        <w:gridCol w:w="2788"/>
      </w:tblGrid>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Elements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Type</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Comments</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This.owner</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Ammount</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Issuer NIF</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issuerName</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expenseDate</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bytes</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expenseStatus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enum</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Presupuestado / Programada / En Construcción / Finalizada</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expenseFinalised</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Bool</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expenseIPFS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Hash of IPFS link to document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inicioProgramada</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Uint256</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Heading3"/>
        <w:rPr>
          <w:lang w:val="en-US"/>
        </w:rPr>
      </w:pPr>
      <w:r>
        <w:rPr>
          <w:lang w:val="en-US"/>
        </w:rPr>
        <w:t>STRUCT Expense</w:t>
      </w:r>
    </w:p>
    <w:tbl>
      <w:tblPr>
        <w:tblW w:w="714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786"/>
        <w:gridCol w:w="2567"/>
        <w:gridCol w:w="2788"/>
      </w:tblGrid>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Elements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Type</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Comments</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This.owner</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Ammount</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Issuer NIF</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issuerName</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expenseDate</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bytes</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expenseStatus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enum</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Presupuestado / Programada / En Construcción / Finalizada</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expenseFinalised</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Bool</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expenseIPFS</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Hash of IPFS link to document</w:t>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inicioProgramada</w:t>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Uint256</w:t>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1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2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Normal"/>
        <w:rPr>
          <w:lang w:val="en-US"/>
        </w:rPr>
      </w:pPr>
      <w:r>
        <w:rPr>
          <w:lang w:val="en-US"/>
        </w:rPr>
        <w:t>SuperNode Methods:</w:t>
      </w:r>
    </w:p>
    <w:p>
      <w:pPr>
        <w:pStyle w:val="ListParagraph"/>
        <w:numPr>
          <w:ilvl w:val="0"/>
          <w:numId w:val="4"/>
        </w:numPr>
        <w:rPr>
          <w:lang w:val="en-US"/>
        </w:rPr>
      </w:pPr>
      <w:r>
        <w:rPr>
          <w:lang w:val="en-US"/>
        </w:rPr>
        <w:t xml:space="preserve">Afegir nodes </w:t>
      </w:r>
    </w:p>
    <w:p>
      <w:pPr>
        <w:pStyle w:val="ListParagraph"/>
        <w:numPr>
          <w:ilvl w:val="0"/>
          <w:numId w:val="4"/>
        </w:numPr>
        <w:rPr>
          <w:lang w:val="en-US"/>
        </w:rPr>
      </w:pPr>
      <w:r>
        <w:rPr>
          <w:lang w:val="en-US"/>
        </w:rPr>
        <w:t>Get list of active nodes connected</w:t>
      </w:r>
    </w:p>
    <w:p>
      <w:pPr>
        <w:pStyle w:val="ListParagraph"/>
        <w:numPr>
          <w:ilvl w:val="0"/>
          <w:numId w:val="4"/>
        </w:numPr>
        <w:rPr>
          <w:lang w:val="en-US"/>
        </w:rPr>
      </w:pPr>
      <w:r>
        <w:rPr>
          <w:lang w:val="en-US"/>
        </w:rPr>
        <w:t>Afegir Links</w:t>
      </w:r>
    </w:p>
    <w:p>
      <w:pPr>
        <w:pStyle w:val="ListParagraph"/>
        <w:numPr>
          <w:ilvl w:val="0"/>
          <w:numId w:val="4"/>
        </w:numPr>
        <w:rPr>
          <w:lang w:val="en-US"/>
        </w:rPr>
      </w:pPr>
      <w:r>
        <w:rPr>
          <w:lang w:val="en-US"/>
        </w:rPr>
        <w:t>Get list of active links</w:t>
      </w:r>
    </w:p>
    <w:p>
      <w:pPr>
        <w:pStyle w:val="ListParagraph"/>
        <w:numPr>
          <w:ilvl w:val="0"/>
          <w:numId w:val="4"/>
        </w:numPr>
        <w:rPr>
          <w:lang w:val="es-ES"/>
        </w:rPr>
      </w:pPr>
      <w:bookmarkStart w:id="0" w:name="_GoBack"/>
      <w:bookmarkEnd w:id="0"/>
      <w:r>
        <w:rPr>
          <w:lang w:val="es-ES"/>
        </w:rPr>
        <w:t>Contribuir al finançament inicial del node.</w:t>
      </w:r>
    </w:p>
    <w:p>
      <w:pPr>
        <w:pStyle w:val="Normal"/>
        <w:rPr>
          <w:lang w:val="es-ES"/>
        </w:rPr>
      </w:pPr>
      <w:r>
        <w:rPr>
          <w:lang w:val="es-ES"/>
        </w:rPr>
      </w:r>
    </w:p>
    <w:p>
      <w:pPr>
        <w:pStyle w:val="Normal"/>
        <w:rPr>
          <w:lang w:val="es-ES"/>
        </w:rPr>
      </w:pPr>
      <w:r>
        <w:rPr>
          <w:lang w:val="es-ES"/>
        </w:rPr>
      </w:r>
    </w:p>
    <w:p>
      <w:pPr>
        <w:pStyle w:val="Heading2"/>
        <w:rPr>
          <w:lang w:val="en-US"/>
        </w:rPr>
      </w:pPr>
      <w:r>
        <w:rPr>
          <w:lang w:val="en-US"/>
        </w:rPr>
        <w:t>Participants</w:t>
      </w:r>
    </w:p>
    <w:p>
      <w:pPr>
        <w:pStyle w:val="Normal"/>
        <w:rPr>
          <w:lang w:val="en-US"/>
        </w:rPr>
      </w:pPr>
      <w:r>
        <w:rPr>
          <w:lang w:val="en-US"/>
        </w:rPr>
        <w:t xml:space="preserve">Logic: This Smart Contract will have all the business logic that applies to platform participants. </w:t>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396"/>
        <w:gridCol w:w="2280"/>
        <w:gridCol w:w="2204"/>
        <w:gridCol w:w="1614"/>
      </w:tblGrid>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Variable</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Type</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Comments</w:t>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Name</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Owner</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Role_owner</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mapping </w:t>
            </w:r>
            <w:r>
              <w:rPr>
                <w:rFonts w:eastAsia="Wingdings" w:cs="Wingdings" w:ascii="Wingdings" w:hAnsi="Wingdings"/>
                <w:lang w:val="en-US"/>
              </w:rPr>
              <w:t></w:t>
            </w:r>
            <w:r>
              <w:rPr>
                <w:lang w:val="en-US"/>
              </w:rPr>
              <w:t xml:space="preserve"> enum </w:t>
            </w:r>
            <w:r>
              <w:rPr>
                <w:rFonts w:eastAsia="Wingdings" w:cs="Wingdings" w:ascii="Wingdings" w:hAnsi="Wingdings"/>
                <w:lang w:val="en-US"/>
              </w:rPr>
              <w:t></w:t>
            </w:r>
            <w:r>
              <w:rPr>
                <w:lang w:val="en-US"/>
              </w:rPr>
              <w:t xml:space="preserve"> bool</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s-ES"/>
              </w:rPr>
            </w:pPr>
            <w:r>
              <w:rPr>
                <w:lang w:val="es-ES"/>
              </w:rPr>
              <w:t>Investor / Installer / ServiceProvider / SuperNode / EndUser / PA / Scipio / Token Owner</w:t>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Zona</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Position_lat</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Position_long</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string</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public</w:t>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Mallada</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bool</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Estado</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enum</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connectedNodes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bool</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Height</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Links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Address[]</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Array of SuperNodes it is connected to</w:t>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superNodeCost</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 xml:space="preserve">Uint </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Amount in wei of total cost of installation that is required to fund.</w:t>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superNodeOPExpenses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Total Ammount of expenses (maintenance ,etc)</w:t>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Struct[]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expensesTotalAmmount</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uint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periodEndUserBalances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uint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r>
        <w:trPr/>
        <w:tc>
          <w:tcPr>
            <w:tcW w:w="23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t>periodSupplyBalances</w:t>
            </w:r>
          </w:p>
        </w:tc>
        <w:tc>
          <w:tcPr>
            <w:tcW w:w="22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lang w:val="en-US"/>
              </w:rPr>
              <w:t xml:space="preserve">Mapping address </w:t>
            </w:r>
            <w:r>
              <w:rPr>
                <w:rFonts w:eastAsia="Wingdings" w:cs="Wingdings" w:ascii="Wingdings" w:hAnsi="Wingdings"/>
                <w:lang w:val="en-US"/>
              </w:rPr>
              <w:t></w:t>
            </w:r>
            <w:r>
              <w:rPr>
                <w:lang w:val="en-US"/>
              </w:rPr>
              <w:t xml:space="preserve"> uint</w:t>
            </w:r>
          </w:p>
        </w:tc>
        <w:tc>
          <w:tcPr>
            <w:tcW w:w="22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lang w:val="en-US"/>
              </w:rPr>
            </w:pPr>
            <w:r>
              <w:rPr>
                <w:lang w:val="en-US"/>
              </w:rPr>
            </w:r>
          </w:p>
        </w:tc>
      </w:tr>
    </w:tbl>
    <w:p>
      <w:pPr>
        <w:pStyle w:val="Normal"/>
        <w:rPr>
          <w:lang w:val="en-US"/>
        </w:rPr>
      </w:pPr>
      <w:r>
        <w:rPr>
          <w:lang w:val="en-US"/>
        </w:rPr>
      </w:r>
    </w:p>
    <w:p>
      <w:pPr>
        <w:pStyle w:val="Heading2"/>
        <w:rPr>
          <w:lang w:val="en-US"/>
        </w:rPr>
      </w:pPr>
      <w:r>
        <w:rPr>
          <w:lang w:val="en-US"/>
        </w:rPr>
        <w:t>SuperNodeSponsorship</w:t>
      </w:r>
    </w:p>
    <w:p>
      <w:pPr>
        <w:pStyle w:val="Normal"/>
        <w:rPr>
          <w:lang w:val="en-US"/>
        </w:rPr>
      </w:pPr>
      <w:r>
        <w:rPr>
          <w:lang w:val="en-US"/>
        </w:rPr>
        <w:t>Logic: manage the value transfer between different participants from the beginning of the process until the end of the SuperNode life.</w:t>
      </w:r>
    </w:p>
    <w:p>
      <w:pPr>
        <w:pStyle w:val="ListParagraph"/>
        <w:numPr>
          <w:ilvl w:val="0"/>
          <w:numId w:val="2"/>
        </w:numPr>
        <w:rPr>
          <w:lang w:val="en-US"/>
        </w:rPr>
      </w:pPr>
      <w:r>
        <w:rPr>
          <w:lang w:val="en-US"/>
        </w:rPr>
        <w:t>Should allow addresses who “own” a SuperNode (even if it is in funding phase) to start a FundingRequest.</w:t>
      </w:r>
    </w:p>
    <w:p>
      <w:pPr>
        <w:pStyle w:val="ListParagraph"/>
        <w:numPr>
          <w:ilvl w:val="0"/>
          <w:numId w:val="2"/>
        </w:numPr>
        <w:rPr>
          <w:lang w:val="en-US"/>
        </w:rPr>
      </w:pPr>
      <w:r>
        <w:rPr>
          <w:lang w:val="en-US"/>
        </w:rPr>
        <w:t>Should track monetary contribution and stablish pro-rata of each contributor on the SuperNode. Future value accruition from revenues generated from this SuperNode will be given based in this pro-rata.</w:t>
      </w:r>
    </w:p>
    <w:p>
      <w:pPr>
        <w:pStyle w:val="ListParagraph"/>
        <w:numPr>
          <w:ilvl w:val="0"/>
          <w:numId w:val="2"/>
        </w:numPr>
        <w:rPr>
          <w:lang w:val="en-US"/>
        </w:rPr>
      </w:pPr>
      <w:r>
        <w:rPr>
          <w:lang w:val="en-US"/>
        </w:rPr>
        <w:t>Should let contributors approve investments. If more than 50% of contributors approve them, it is executed.</w:t>
      </w:r>
    </w:p>
    <w:p>
      <w:pPr>
        <w:pStyle w:val="ListParagraph"/>
        <w:rPr>
          <w:lang w:val="en-US"/>
        </w:rPr>
      </w:pPr>
      <w:r>
        <w:rPr>
          <w:lang w:val="en-US"/>
        </w:rPr>
      </w:r>
    </w:p>
    <w:p>
      <w:pPr>
        <w:pStyle w:val="Normal"/>
        <w:rPr>
          <w:lang w:val="en-US"/>
        </w:rPr>
      </w:pPr>
      <w:r>
        <w:rPr>
          <w:lang w:val="en-US"/>
        </w:rPr>
      </w:r>
    </w:p>
    <w:p>
      <w:pPr>
        <w:pStyle w:val="Heading2"/>
        <w:rPr>
          <w:lang w:val="en-US"/>
        </w:rPr>
      </w:pPr>
      <w:r>
        <w:rPr>
          <w:lang w:val="en-US"/>
        </w:rPr>
        <w:t>Monitoring</w:t>
      </w:r>
    </w:p>
    <w:p>
      <w:pPr>
        <w:pStyle w:val="Normal"/>
        <w:rPr>
          <w:lang w:val="en-US"/>
        </w:rPr>
      </w:pPr>
      <w:r>
        <w:rPr>
          <w:lang w:val="en-US"/>
        </w:rPr>
        <w:t>Logic: tracks the relative balance of internet bandwith exchanged between all participants, which will be used in the end of the period in the compensation table. This SC should:</w:t>
      </w:r>
    </w:p>
    <w:p>
      <w:pPr>
        <w:pStyle w:val="ListParagraph"/>
        <w:numPr>
          <w:ilvl w:val="0"/>
          <w:numId w:val="1"/>
        </w:numPr>
        <w:rPr>
          <w:lang w:val="en-US"/>
        </w:rPr>
      </w:pPr>
      <w:r>
        <w:rPr>
          <w:lang w:val="en-US"/>
        </w:rPr>
        <w:t>Keep an updated state of the state channels currently opened and provide this info to the CompensationSystem at the end of the period.</w:t>
      </w:r>
    </w:p>
    <w:p>
      <w:pPr>
        <w:pStyle w:val="ListParagraph"/>
        <w:numPr>
          <w:ilvl w:val="0"/>
          <w:numId w:val="1"/>
        </w:numPr>
        <w:rPr>
          <w:lang w:val="en-US"/>
        </w:rPr>
      </w:pPr>
      <w:r>
        <w:rPr>
          <w:lang w:val="en-US"/>
        </w:rPr>
        <w:t>Should reinitialize once compensation has been executed for period.</w:t>
      </w:r>
    </w:p>
    <w:p>
      <w:pPr>
        <w:pStyle w:val="Heading2"/>
        <w:rPr>
          <w:lang w:val="en-US"/>
        </w:rPr>
      </w:pPr>
      <w:r>
        <w:rPr>
          <w:lang w:val="en-US"/>
        </w:rPr>
        <w:t>CompensationSystem</w:t>
      </w:r>
    </w:p>
    <w:p>
      <w:pPr>
        <w:pStyle w:val="Normal"/>
        <w:rPr>
          <w:lang w:val="en-US"/>
        </w:rPr>
      </w:pPr>
      <w:r>
        <w:rPr>
          <w:lang w:val="en-US"/>
        </w:rPr>
        <w:t>Logic: Common-network specific system that calculates how much each participant has provided to the network in terms of monetary units and how much it has got in exchange. Automatic Resolution of outcomes. This SC should:</w:t>
      </w:r>
    </w:p>
    <w:p>
      <w:pPr>
        <w:pStyle w:val="ListParagraph"/>
        <w:numPr>
          <w:ilvl w:val="0"/>
          <w:numId w:val="1"/>
        </w:numPr>
        <w:rPr>
          <w:lang w:val="en-US"/>
        </w:rPr>
      </w:pPr>
      <w:r>
        <w:rPr>
          <w:lang w:val="en-US"/>
        </w:rPr>
        <w:t>Should Check for Contribution in EUR of each of the participants and its relative %.</w:t>
      </w:r>
    </w:p>
    <w:p>
      <w:pPr>
        <w:pStyle w:val="ListParagraph"/>
        <w:numPr>
          <w:ilvl w:val="0"/>
          <w:numId w:val="1"/>
        </w:numPr>
        <w:rPr>
          <w:lang w:val="en-US"/>
        </w:rPr>
      </w:pPr>
      <w:r>
        <w:rPr>
          <w:lang w:val="en-US"/>
        </w:rPr>
        <w:t>Should check for Consumption in TB of each of the participants and its relative %.</w:t>
      </w:r>
    </w:p>
    <w:p>
      <w:pPr>
        <w:pStyle w:val="ListParagraph"/>
        <w:numPr>
          <w:ilvl w:val="0"/>
          <w:numId w:val="1"/>
        </w:numPr>
        <w:rPr>
          <w:lang w:val="en-US"/>
        </w:rPr>
      </w:pPr>
      <w:r>
        <w:rPr>
          <w:lang w:val="en-US"/>
        </w:rPr>
        <w:t>Should calculate the resulting Balance (%), deducting % Consumption from % Contribution and multiplying it per the total amount contributed.</w:t>
      </w:r>
    </w:p>
    <w:p>
      <w:pPr>
        <w:pStyle w:val="ListParagraph"/>
        <w:numPr>
          <w:ilvl w:val="0"/>
          <w:numId w:val="1"/>
        </w:numPr>
        <w:rPr>
          <w:lang w:val="en-US"/>
        </w:rPr>
      </w:pPr>
      <w:r>
        <w:rPr>
          <w:lang w:val="en-US"/>
        </w:rPr>
        <w:t>Should include Scipio Platform as management costs.</w:t>
      </w:r>
    </w:p>
    <w:p>
      <w:pPr>
        <w:pStyle w:val="ListParagraph"/>
        <w:rPr>
          <w:lang w:val="en-US"/>
        </w:rPr>
      </w:pPr>
      <w:r>
        <w:rPr>
          <w:lang w:val="en-US"/>
        </w:rPr>
      </w:r>
    </w:p>
    <w:p>
      <w:pPr>
        <w:pStyle w:val="Heading2"/>
        <w:rPr>
          <w:lang w:val="en-US"/>
        </w:rPr>
      </w:pPr>
      <w:r>
        <w:rPr>
          <w:lang w:val="en-US"/>
        </w:rPr>
        <w:t>Invoicing</w:t>
      </w:r>
    </w:p>
    <w:p>
      <w:pPr>
        <w:pStyle w:val="Normal"/>
        <w:rPr>
          <w:lang w:val="en-US"/>
        </w:rPr>
      </w:pPr>
      <w:r>
        <w:rPr>
          <w:lang w:val="en-US"/>
        </w:rPr>
        <w:t>Logic: should regulate how customers are invoiced. It should:</w:t>
      </w:r>
    </w:p>
    <w:p>
      <w:pPr>
        <w:pStyle w:val="ListParagraph"/>
        <w:numPr>
          <w:ilvl w:val="0"/>
          <w:numId w:val="3"/>
        </w:numPr>
        <w:rPr>
          <w:lang w:val="en-US"/>
        </w:rPr>
      </w:pPr>
      <w:r>
        <w:rPr>
          <w:lang w:val="en-US"/>
        </w:rPr>
        <w:t>Stablish Invoicing Type: per GB / served, fix-rate. Until end of GB allowance.</w:t>
      </w:r>
    </w:p>
    <w:p>
      <w:pPr>
        <w:pStyle w:val="ListParagraph"/>
        <w:numPr>
          <w:ilvl w:val="0"/>
          <w:numId w:val="3"/>
        </w:numPr>
        <w:rPr>
          <w:lang w:val="en-US"/>
        </w:rPr>
      </w:pPr>
      <w:r>
        <w:rPr>
          <w:lang w:val="en-US"/>
        </w:rPr>
        <w:t>Stablish periodicity: once per month</w:t>
      </w:r>
    </w:p>
    <w:p>
      <w:pPr>
        <w:pStyle w:val="ListParagraph"/>
        <w:numPr>
          <w:ilvl w:val="0"/>
          <w:numId w:val="3"/>
        </w:numPr>
        <w:rPr>
          <w:lang w:val="en-US"/>
        </w:rPr>
      </w:pPr>
      <w:r>
        <w:rPr>
          <w:lang w:val="en-US"/>
        </w:rPr>
        <w:t xml:space="preserve">Clearly communicate the parts of the invoice, where do they go (desglose factura) </w:t>
      </w:r>
    </w:p>
    <w:p>
      <w:pPr>
        <w:pStyle w:val="ListParagraph"/>
        <w:numPr>
          <w:ilvl w:val="0"/>
          <w:numId w:val="3"/>
        </w:numPr>
        <w:rPr>
          <w:lang w:val="en-US"/>
        </w:rPr>
      </w:pPr>
      <w:r>
        <w:rPr>
          <w:lang w:val="en-US"/>
        </w:rPr>
        <w:t>For user, should allow easy consultation of historical invoices and manage subscription options.</w:t>
      </w:r>
    </w:p>
    <w:p>
      <w:pPr>
        <w:pStyle w:val="ListParagraph"/>
        <w:numPr>
          <w:ilvl w:val="0"/>
          <w:numId w:val="3"/>
        </w:numPr>
        <w:rPr>
          <w:lang w:val="en-US"/>
        </w:rPr>
      </w:pPr>
      <w:r>
        <w:rPr>
          <w:lang w:val="en-US"/>
        </w:rPr>
        <w:t>For SuperNode, it should allow easy management of connected nodes.</w:t>
      </w:r>
    </w:p>
    <w:p>
      <w:pPr>
        <w:pStyle w:val="Normal"/>
        <w:rPr>
          <w:lang w:val="en-US"/>
        </w:rPr>
      </w:pPr>
      <w:r>
        <w:rPr>
          <w:lang w:val="en-US"/>
        </w:rPr>
      </w:r>
    </w:p>
    <w:p>
      <w:pPr>
        <w:pStyle w:val="Heading2"/>
        <w:rPr>
          <w:lang w:val="en-US"/>
        </w:rPr>
      </w:pPr>
      <w:r>
        <w:rPr>
          <w:lang w:val="en-US"/>
        </w:rPr>
        <w:t>ConflictResolution</w:t>
      </w:r>
    </w:p>
    <w:p>
      <w:pPr>
        <w:pStyle w:val="Heading2"/>
        <w:rPr>
          <w:lang w:val="en-US"/>
        </w:rPr>
      </w:pPr>
      <w:r>
        <w:rPr>
          <w:lang w:val="en-US"/>
        </w:rPr>
      </w:r>
    </w:p>
    <w:p>
      <w:pPr>
        <w:pStyle w:val="Heading2"/>
        <w:rPr>
          <w:lang w:val="en-US"/>
        </w:rPr>
      </w:pPr>
      <w:r>
        <w:rPr>
          <w:lang w:val="en-US"/>
        </w:rPr>
        <w:t>BandwitdhAuction</w:t>
      </w:r>
    </w:p>
    <w:p>
      <w:pPr>
        <w:pStyle w:val="Normal"/>
        <w:rPr>
          <w:lang w:val="en-US"/>
        </w:rPr>
      </w:pPr>
      <w:r>
        <w:rPr>
          <w:lang w:val="en-US"/>
        </w:rPr>
        <w:t>Logic: manages the processes that allow investors and token holders to trade their tokens in exchange of service or money.</w:t>
      </w:r>
    </w:p>
    <w:p>
      <w:pPr>
        <w:pStyle w:val="Normal"/>
        <w:rPr/>
      </w:pPr>
      <w:r>
        <w:rPr/>
      </w:r>
    </w:p>
    <w:p>
      <w:pPr>
        <w:pStyle w:val="Normal"/>
        <w:rPr>
          <w:color w:val="FF3333"/>
        </w:rPr>
      </w:pPr>
      <w:r>
        <w:rPr>
          <w:color w:val="FF3333"/>
        </w:rPr>
        <w:t>TO BE DONE:</w:t>
      </w:r>
    </w:p>
    <w:p>
      <w:pPr>
        <w:pStyle w:val="Normal"/>
        <w:rPr>
          <w:color w:val="FF3333"/>
        </w:rPr>
      </w:pPr>
      <w:r>
        <w:rPr>
          <w:color w:val="FF3333"/>
        </w:rPr>
        <w:t>Create Standard ERC20 Token for Platform/ICO Token. Features:</w:t>
      </w:r>
    </w:p>
    <w:p>
      <w:pPr>
        <w:pStyle w:val="Normal"/>
        <w:numPr>
          <w:ilvl w:val="0"/>
          <w:numId w:val="7"/>
        </w:numPr>
        <w:rPr>
          <w:color w:val="FF3333"/>
        </w:rPr>
      </w:pPr>
      <w:r>
        <w:rPr>
          <w:color w:val="FF3333"/>
        </w:rPr>
        <w:t>Non Mineable.</w:t>
      </w:r>
    </w:p>
    <w:p>
      <w:pPr>
        <w:pStyle w:val="Normal"/>
        <w:numPr>
          <w:ilvl w:val="0"/>
          <w:numId w:val="7"/>
        </w:numPr>
        <w:rPr>
          <w:color w:val="FF3333"/>
        </w:rPr>
      </w:pPr>
      <w:r>
        <w:rPr>
          <w:color w:val="FF3333"/>
        </w:rPr>
        <w:t>Burneable</w:t>
      </w:r>
    </w:p>
    <w:p>
      <w:pPr>
        <w:pStyle w:val="Normal"/>
        <w:numPr>
          <w:ilvl w:val="0"/>
          <w:numId w:val="7"/>
        </w:numPr>
        <w:rPr>
          <w:color w:val="FF3333"/>
        </w:rPr>
      </w:pPr>
      <w:r>
        <w:rPr>
          <w:color w:val="FF3333"/>
        </w:rPr>
        <w:t>Hard-Capped.</w:t>
      </w:r>
    </w:p>
    <w:p>
      <w:pPr>
        <w:pStyle w:val="Normal"/>
        <w:numPr>
          <w:ilvl w:val="0"/>
          <w:numId w:val="7"/>
        </w:numPr>
        <w:rPr>
          <w:color w:val="FF3333"/>
        </w:rPr>
      </w:pPr>
      <w:r>
        <w:rPr>
          <w:color w:val="FF3333"/>
        </w:rPr>
        <w:t>Tradeable</w:t>
      </w:r>
    </w:p>
    <w:p>
      <w:pPr>
        <w:pStyle w:val="Normal"/>
        <w:rPr>
          <w:color w:val="FF3333"/>
        </w:rPr>
      </w:pPr>
      <w:r>
        <w:rPr>
          <w:color w:val="FF3333"/>
        </w:rPr>
        <w:t>Create Internal Bandwith Token</w:t>
      </w:r>
    </w:p>
    <w:p>
      <w:pPr>
        <w:pStyle w:val="Normal"/>
        <w:numPr>
          <w:ilvl w:val="0"/>
          <w:numId w:val="8"/>
        </w:numPr>
        <w:rPr>
          <w:color w:val="FF3333"/>
        </w:rPr>
      </w:pPr>
      <w:r>
        <w:rPr>
          <w:color w:val="FF3333"/>
        </w:rPr>
        <w:t>Mintable based on permission</w:t>
      </w:r>
    </w:p>
    <w:p>
      <w:pPr>
        <w:pStyle w:val="Normal"/>
        <w:numPr>
          <w:ilvl w:val="0"/>
          <w:numId w:val="8"/>
        </w:numPr>
        <w:rPr>
          <w:color w:val="FF3333"/>
        </w:rPr>
      </w:pPr>
      <w:r>
        <w:rPr>
          <w:color w:val="FF3333"/>
        </w:rPr>
        <w:t>Tradeable</w:t>
      </w:r>
    </w:p>
    <w:p>
      <w:pPr>
        <w:pStyle w:val="Normal"/>
        <w:rPr/>
      </w:pPr>
      <w:r>
        <w:rPr/>
      </w:r>
    </w:p>
    <w:p>
      <w:pPr>
        <w:pStyle w:val="Normal"/>
        <w:rPr/>
      </w:pPr>
      <w:r>
        <w:rPr/>
        <w:t>Token Dynamics</w:t>
      </w:r>
    </w:p>
    <w:p>
      <w:pPr>
        <w:pStyle w:val="Normal"/>
        <w:rPr/>
      </w:pPr>
      <w:r>
        <w:rPr/>
        <w:t xml:space="preserve">Platform Token </w:t>
      </w:r>
    </w:p>
    <w:p>
      <w:pPr>
        <w:pStyle w:val="Normal"/>
        <w:rPr/>
      </w:pPr>
      <w:r>
        <w:rPr/>
        <w:t>It allows preferential access to bandwitdh auctions and allows for participation in the Bandwitdh Pool as per % of tokens held.</w:t>
      </w:r>
    </w:p>
    <w:p>
      <w:pPr>
        <w:pStyle w:val="Normal"/>
        <w:rPr/>
      </w:pPr>
      <w:r>
        <w:rPr/>
      </w:r>
    </w:p>
    <w:p>
      <w:pPr>
        <w:pStyle w:val="Normal"/>
        <w:rPr/>
      </w:pPr>
      <w:r>
        <w:rPr/>
        <w:t xml:space="preserve">Internal </w:t>
      </w:r>
      <w:r>
        <w:rPr/>
        <w:t>BandWitdh Token (BWT)</w:t>
      </w:r>
    </w:p>
    <w:p>
      <w:pPr>
        <w:pStyle w:val="Normal"/>
        <w:rPr/>
      </w:pPr>
      <w:r>
        <w:rPr/>
        <w:t xml:space="preserve">It is created </w:t>
      </w:r>
      <w:r>
        <w:rPr/>
        <w:t xml:space="preserve">throught a smart contract </w:t>
      </w:r>
      <w:r>
        <w:rPr/>
        <w:t xml:space="preserve">and sold by installatators in order to sell upfront internet bandwitdh in order to finance the project. </w:t>
      </w:r>
      <w:r>
        <w:rPr/>
        <w:t>The smart contract regulates: 1) type of connection, 2) time stamp when the installation will be operative; 3) price tag (€/TBh). This smart contract represents a standard ISP purchase agreement between ISP and bandwitdh buyer.</w:t>
      </w:r>
    </w:p>
    <w:p>
      <w:pPr>
        <w:pStyle w:val="Normal"/>
        <w:rPr/>
      </w:pPr>
      <w:r>
        <w:rPr/>
        <w:t xml:space="preserve">1 </w:t>
      </w:r>
      <w:r>
        <w:rPr/>
        <w:t>BWT eq</w:t>
      </w:r>
      <w:r>
        <w:rPr/>
        <w:t>uals to 1 TB / s.</w:t>
      </w:r>
    </w:p>
    <w:p>
      <w:pPr>
        <w:pStyle w:val="Normal"/>
        <w:rPr/>
      </w:pPr>
      <w:r>
        <w:rPr/>
      </w:r>
    </w:p>
    <w:p>
      <w:pPr>
        <w:pStyle w:val="Normal"/>
        <w:rPr/>
      </w:pPr>
      <w:r>
        <w:rPr/>
        <w:t>Example:</w:t>
      </w:r>
    </w:p>
    <w:p>
      <w:pPr>
        <w:pStyle w:val="Normal"/>
        <w:rPr/>
      </w:pPr>
      <w:r>
        <w:rPr/>
        <w:t>Let’s say that a local operator wants to extend the fiber cable installation from the closest village to his village. The total ammount to invest is 100.000€, from which he wants to fund 50.000€ by issuing and selling tokenised future bandwitdh. Therefore he creates 810.000 BWTs and sets initial price at 20% discount of market price (0.061 € / TB). He sets the timeframe, location, id, and set up details. The platform previously does the project due dilligence.</w:t>
      </w:r>
    </w:p>
    <w:p>
      <w:pPr>
        <w:pStyle w:val="Normal"/>
        <w:rPr/>
      </w:pPr>
      <w:r>
        <w:rPr/>
      </w:r>
    </w:p>
    <w:p>
      <w:pPr>
        <w:pStyle w:val="Normal"/>
        <w:rPr/>
      </w:pPr>
      <w:r>
        <w:rPr/>
        <w:t>Maximum ammount of raisable funding:50% of total investment. The rest should be raised by promotors.</w:t>
      </w:r>
    </w:p>
    <w:p>
      <w:pPr>
        <w:pStyle w:val="Normal"/>
        <w:rPr/>
      </w:pPr>
      <w:r>
        <w:rPr/>
      </w:r>
    </w:p>
    <w:p>
      <w:pPr>
        <w:pStyle w:val="Normal"/>
        <w:rPr/>
      </w:pPr>
      <w:r>
        <w:rPr/>
        <w:t xml:space="preserve">0.9% of the tokens sold are </w:t>
      </w:r>
      <w:r>
        <w:rPr/>
        <w:t>donated to the Platform Token Holders through the Pool. Platform Token Holders may:</w:t>
      </w:r>
    </w:p>
    <w:p>
      <w:pPr>
        <w:pStyle w:val="Normal"/>
        <w:numPr>
          <w:ilvl w:val="0"/>
          <w:numId w:val="6"/>
        </w:numPr>
        <w:rPr/>
      </w:pPr>
      <w:r>
        <w:rPr/>
        <w:t>Use the BWT tokens for their own personal / community use whenever the service starts.</w:t>
      </w:r>
    </w:p>
    <w:p>
      <w:pPr>
        <w:pStyle w:val="Normal"/>
        <w:numPr>
          <w:ilvl w:val="0"/>
          <w:numId w:val="6"/>
        </w:numPr>
        <w:rPr/>
      </w:pPr>
      <w:r>
        <w:rPr/>
        <w:t>Sell the tokenised Banwitdh before service starts to any other user.</w:t>
      </w:r>
    </w:p>
    <w:p>
      <w:pPr>
        <w:pStyle w:val="Normal"/>
        <w:numPr>
          <w:ilvl w:val="0"/>
          <w:numId w:val="6"/>
        </w:numPr>
        <w:rPr/>
      </w:pPr>
      <w:r>
        <w:rPr/>
        <w:t>Automatically sell the Bandwith to Wholesale market once the bandwith capacity is operative and receive payment in fiat or crypto.</w:t>
      </w:r>
    </w:p>
    <w:p>
      <w:pPr>
        <w:pStyle w:val="Normal"/>
        <w:rPr/>
      </w:pPr>
      <w:r>
        <w:rPr/>
        <w:t>If the token holder decides to choose the third option, he can i) cash out the proceeds immediately or at a future date; or ii) reinvest the received amount in common network enhancement and keep storing value via bandwith tokens. The value of this token will never drop below its book value - the market cost of internet bandwitdh.</w:t>
      </w:r>
    </w:p>
    <w:p>
      <w:pPr>
        <w:pStyle w:val="Normal"/>
        <w:rPr/>
      </w:pPr>
      <w:r>
        <w:rPr/>
      </w:r>
    </w:p>
    <w:p>
      <w:pPr>
        <w:pStyle w:val="Normal"/>
        <w:rPr/>
      </w:pPr>
      <w:r>
        <w:rPr/>
        <w:t>300 MB / s cost 60€/month. That means 0.077 € / TB aprox.</w:t>
      </w:r>
    </w:p>
    <w:p>
      <w:pPr>
        <w:pStyle w:val="Normal"/>
        <w:rPr/>
      </w:pPr>
      <w:r>
        <w:rPr/>
        <w:t xml:space="preserve">If a connection provides 500.000 GB over a period of one hour (3600 seconds), it means it has provided 138 </w:t>
      </w:r>
      <w:r>
        <w:rPr/>
        <w:t>Bandwitdh Tokens</w:t>
      </w:r>
      <w:r>
        <w:rPr/>
        <w:t xml:space="preserve">. </w:t>
      </w:r>
    </w:p>
    <w:p>
      <w:pPr>
        <w:pStyle w:val="Normal"/>
        <w:rPr/>
      </w:pPr>
      <w:r>
        <w:rPr/>
        <w:t>0.9% of this SCP will go to the Common Pool.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670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267017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9089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2908935"/>
                    </a:xfrm>
                    <a:prstGeom prst="rect">
                      <a:avLst/>
                    </a:prstGeom>
                  </pic:spPr>
                </pic:pic>
              </a:graphicData>
            </a:graphic>
          </wp:anchor>
        </w:drawing>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sz w:val="22"/>
      <w:szCs w:val="22"/>
      <w:lang w:val="ca-ES"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Times New Roman"/>
      <w:color w:val="2F5496"/>
      <w:sz w:val="32"/>
      <w:szCs w:val="32"/>
    </w:rPr>
  </w:style>
  <w:style w:type="paragraph" w:styleId="Heading2">
    <w:name w:val="Heading 2"/>
    <w:basedOn w:val="Normal"/>
    <w:next w:val="Normal"/>
    <w:qFormat/>
    <w:pPr>
      <w:keepNext/>
      <w:keepLines/>
      <w:numPr>
        <w:ilvl w:val="0"/>
        <w:numId w:val="0"/>
      </w:numPr>
      <w:spacing w:before="40" w:after="0"/>
      <w:outlineLvl w:val="1"/>
    </w:pPr>
    <w:rPr>
      <w:rFonts w:ascii="Calibri Light" w:hAnsi="Calibri Light" w:eastAsia="Calibri" w:cs="Times New Roman"/>
      <w:color w:val="2F5496"/>
      <w:sz w:val="26"/>
      <w:szCs w:val="2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Calibri" w:cs="Times New Roman"/>
      <w:color w:val="1F3763"/>
      <w:sz w:val="24"/>
      <w:szCs w:val="24"/>
    </w:rPr>
  </w:style>
  <w:style w:type="character" w:styleId="DefaultParagraphFont">
    <w:name w:val="Default Paragraph Font"/>
    <w:qFormat/>
    <w:rPr/>
  </w:style>
  <w:style w:type="character" w:styleId="Ttulo2Car">
    <w:name w:val="Título 2 Car"/>
    <w:basedOn w:val="DefaultParagraphFont"/>
    <w:qFormat/>
    <w:rPr>
      <w:rFonts w:ascii="Calibri Light" w:hAnsi="Calibri Light" w:eastAsia="Calibri" w:cs="Times New Roman"/>
      <w:color w:val="2F5496"/>
      <w:sz w:val="26"/>
      <w:szCs w:val="26"/>
      <w:lang w:val="ca-ES"/>
    </w:rPr>
  </w:style>
  <w:style w:type="character" w:styleId="Ttulo3Car">
    <w:name w:val="Título 3 Car"/>
    <w:basedOn w:val="DefaultParagraphFont"/>
    <w:qFormat/>
    <w:rPr>
      <w:rFonts w:ascii="Calibri Light" w:hAnsi="Calibri Light" w:eastAsia="Calibri" w:cs="Times New Roman"/>
      <w:color w:val="1F3763"/>
      <w:sz w:val="24"/>
      <w:szCs w:val="24"/>
      <w:lang w:val="ca-ES"/>
    </w:rPr>
  </w:style>
  <w:style w:type="character" w:styleId="Ttulo1Car">
    <w:name w:val="Título 1 Car"/>
    <w:basedOn w:val="DefaultParagraphFont"/>
    <w:qFormat/>
    <w:rPr>
      <w:rFonts w:ascii="Calibri Light" w:hAnsi="Calibri Light" w:eastAsia="Calibri" w:cs="Times New Roman"/>
      <w:color w:val="2F5496"/>
      <w:sz w:val="32"/>
      <w:szCs w:val="32"/>
      <w:lang w:val="ca-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496</TotalTime>
  <Application>LibreOffice/5.1.6.2$Linux_X86_64 LibreOffice_project/10m0$Build-2</Application>
  <Pages>9</Pages>
  <Words>1310</Words>
  <Characters>7419</Characters>
  <CharactersWithSpaces>8452</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2018-07-31T15:06:00Z</dcterms:created>
  <dc:creator>Joan Joan</dc:creator>
  <dc:description/>
  <dc:language>en-US</dc:language>
  <cp:lastModifiedBy/>
  <dcterms:modified xsi:type="dcterms:W3CDTF">2018-08-03T00:13:11Z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