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D71331" w14:textId="77777777" w:rsidR="006A6772" w:rsidRDefault="006A6772" w:rsidP="006A6772">
      <w:pPr>
        <w:rPr>
          <w:sz w:val="96"/>
          <w:szCs w:val="72"/>
        </w:rPr>
      </w:pPr>
    </w:p>
    <w:p w14:paraId="7A0824DA" w14:textId="166BC1D4" w:rsidR="006A6772" w:rsidRPr="00552A18" w:rsidRDefault="006A6772" w:rsidP="006A6772">
      <w:pPr>
        <w:rPr>
          <w:rFonts w:ascii="Times New Roman" w:hAnsi="Times New Roman"/>
          <w:sz w:val="96"/>
          <w:szCs w:val="72"/>
        </w:rPr>
      </w:pPr>
      <w:r w:rsidRPr="00552A18">
        <w:rPr>
          <w:rFonts w:ascii="Times New Roman" w:hAnsi="Times New Roman"/>
          <w:sz w:val="96"/>
          <w:szCs w:val="72"/>
        </w:rPr>
        <w:t xml:space="preserve">Appendix </w:t>
      </w:r>
      <w:r>
        <w:rPr>
          <w:rFonts w:ascii="Times New Roman" w:hAnsi="Times New Roman"/>
          <w:sz w:val="96"/>
          <w:szCs w:val="72"/>
        </w:rPr>
        <w:t>F</w:t>
      </w:r>
    </w:p>
    <w:p w14:paraId="257AA852" w14:textId="77777777" w:rsidR="006A6772" w:rsidRPr="00552A18" w:rsidRDefault="006A6772" w:rsidP="006A6772">
      <w:pPr>
        <w:pStyle w:val="NoSpacing"/>
      </w:pPr>
    </w:p>
    <w:p w14:paraId="6D9825A2" w14:textId="1FD0E3B3" w:rsidR="006A6772" w:rsidRPr="0019609F" w:rsidRDefault="006A6772" w:rsidP="006A6772">
      <w:pPr>
        <w:pStyle w:val="NoSpacing"/>
        <w:rPr>
          <w:rFonts w:cstheme="minorBidi"/>
          <w:sz w:val="28"/>
          <w:szCs w:val="28"/>
          <w:lang w:val="en-US"/>
        </w:rPr>
      </w:pPr>
    </w:p>
    <w:p w14:paraId="30F56899" w14:textId="50EDA385" w:rsidR="006A6772" w:rsidRPr="0019609F" w:rsidRDefault="0019609F" w:rsidP="006A6772">
      <w:pPr>
        <w:pStyle w:val="NoSpacing"/>
        <w:rPr>
          <w:rFonts w:cstheme="minorBidi"/>
          <w:sz w:val="28"/>
          <w:szCs w:val="28"/>
          <w:lang w:val="en-US"/>
        </w:rPr>
      </w:pPr>
      <w:r>
        <w:rPr>
          <w:rFonts w:cstheme="minorBidi"/>
          <w:sz w:val="28"/>
          <w:szCs w:val="28"/>
          <w:lang w:val="en-US"/>
        </w:rPr>
        <w:t xml:space="preserve">SNEP IBI </w:t>
      </w:r>
      <w:r w:rsidR="006A6772" w:rsidRPr="0019609F">
        <w:rPr>
          <w:rFonts w:cstheme="minorBidi"/>
          <w:sz w:val="28"/>
          <w:szCs w:val="28"/>
          <w:lang w:val="en-US"/>
        </w:rPr>
        <w:t>Metric Response Mechanisms</w:t>
      </w:r>
    </w:p>
    <w:p w14:paraId="2BBC0FCA" w14:textId="68B66FFA" w:rsidR="006A6772" w:rsidRDefault="006A6772" w:rsidP="006A6772">
      <w:pPr>
        <w:rPr>
          <w:rFonts w:ascii="Times New Roman" w:hAnsi="Times New Roman"/>
          <w:sz w:val="28"/>
          <w:szCs w:val="28"/>
        </w:rPr>
      </w:pPr>
    </w:p>
    <w:p w14:paraId="39088DAA" w14:textId="77777777" w:rsidR="0019609F" w:rsidRDefault="0019609F" w:rsidP="006A6772">
      <w:pPr>
        <w:rPr>
          <w:rFonts w:ascii="Times New Roman" w:hAnsi="Times New Roman"/>
          <w:sz w:val="28"/>
          <w:szCs w:val="28"/>
        </w:rPr>
        <w:sectPr w:rsidR="0019609F">
          <w:pgSz w:w="12240" w:h="15840"/>
          <w:pgMar w:top="1440" w:right="1440" w:bottom="1440" w:left="1440" w:header="720" w:footer="720" w:gutter="0"/>
          <w:cols w:space="720"/>
          <w:docGrid w:linePitch="360"/>
        </w:sectPr>
      </w:pPr>
    </w:p>
    <w:p w14:paraId="0BEE0B49" w14:textId="07446215" w:rsidR="0019609F" w:rsidRPr="0019609F" w:rsidRDefault="0019609F" w:rsidP="0019609F">
      <w:pPr>
        <w:pStyle w:val="NoSpacing"/>
        <w:rPr>
          <w:rFonts w:asciiTheme="minorHAnsi" w:hAnsiTheme="minorHAnsi" w:cstheme="minorHAnsi"/>
        </w:rPr>
      </w:pPr>
      <w:r w:rsidRPr="0019609F">
        <w:rPr>
          <w:rFonts w:asciiTheme="minorHAnsi" w:hAnsiTheme="minorHAnsi" w:cstheme="minorHAnsi"/>
          <w:sz w:val="22"/>
          <w:szCs w:val="20"/>
        </w:rPr>
        <w:lastRenderedPageBreak/>
        <w:t xml:space="preserve">Metrics in the SNEP low gradient IBI were selected for inclusion in the index based on performance statistics (DE and Z-score), response mechanisms, and metric diversity (metrics representative of many metric categories). The recommended </w:t>
      </w:r>
      <w:r>
        <w:rPr>
          <w:rFonts w:asciiTheme="minorHAnsi" w:hAnsiTheme="minorHAnsi" w:cstheme="minorHAnsi"/>
          <w:sz w:val="22"/>
          <w:szCs w:val="20"/>
        </w:rPr>
        <w:t>IBI</w:t>
      </w:r>
      <w:r w:rsidRPr="0019609F">
        <w:rPr>
          <w:rFonts w:asciiTheme="minorHAnsi" w:hAnsiTheme="minorHAnsi" w:cstheme="minorHAnsi"/>
          <w:sz w:val="22"/>
          <w:szCs w:val="20"/>
        </w:rPr>
        <w:t xml:space="preserve"> consists of metrics representative of relative taxonomic richness, community composition, pollution tolerance, functional feeding groups, and voltinism. The </w:t>
      </w:r>
      <w:r>
        <w:rPr>
          <w:rFonts w:asciiTheme="minorHAnsi" w:hAnsiTheme="minorHAnsi" w:cstheme="minorHAnsi"/>
          <w:sz w:val="22"/>
          <w:szCs w:val="20"/>
        </w:rPr>
        <w:t xml:space="preserve">IBI input </w:t>
      </w:r>
      <w:r w:rsidRPr="0019609F">
        <w:rPr>
          <w:rFonts w:asciiTheme="minorHAnsi" w:hAnsiTheme="minorHAnsi" w:cstheme="minorHAnsi"/>
          <w:sz w:val="22"/>
          <w:szCs w:val="20"/>
        </w:rPr>
        <w:t>metrics (Table F1) have comprehensible mechanisms of response to increasing environmental stress</w:t>
      </w:r>
      <w:r>
        <w:rPr>
          <w:rFonts w:asciiTheme="minorHAnsi" w:hAnsiTheme="minorHAnsi" w:cstheme="minorHAnsi"/>
          <w:sz w:val="22"/>
          <w:szCs w:val="20"/>
        </w:rPr>
        <w:t>, as described below</w:t>
      </w:r>
      <w:r w:rsidRPr="0019609F">
        <w:rPr>
          <w:rFonts w:asciiTheme="minorHAnsi" w:hAnsiTheme="minorHAnsi" w:cstheme="minorHAnsi"/>
          <w:sz w:val="22"/>
          <w:szCs w:val="20"/>
        </w:rPr>
        <w:t xml:space="preserve">. Interpretable metrics provide easier interpretation of assemblage structure in relation to index scores. Taxa attributes related to the metrics are in Attachment B.  </w:t>
      </w:r>
      <w:r>
        <w:rPr>
          <w:rFonts w:asciiTheme="minorHAnsi" w:hAnsiTheme="minorHAnsi" w:cstheme="minorHAnsi"/>
          <w:sz w:val="22"/>
          <w:szCs w:val="20"/>
        </w:rPr>
        <w:t xml:space="preserve">  </w:t>
      </w:r>
    </w:p>
    <w:p w14:paraId="74C14047" w14:textId="77777777" w:rsidR="0019609F" w:rsidRPr="009A5BF0" w:rsidRDefault="0019609F" w:rsidP="006A6772">
      <w:pPr>
        <w:rPr>
          <w:rFonts w:ascii="Times New Roman" w:hAnsi="Times New Roman"/>
          <w:sz w:val="28"/>
          <w:szCs w:val="28"/>
        </w:rPr>
      </w:pPr>
    </w:p>
    <w:p w14:paraId="4F7DC6D6" w14:textId="2E219CC2" w:rsidR="0019609F" w:rsidRPr="00B76318" w:rsidRDefault="0019609F" w:rsidP="0019609F">
      <w:pPr>
        <w:pStyle w:val="Caption"/>
      </w:pPr>
      <w:r>
        <w:t xml:space="preserve">Table F1. </w:t>
      </w:r>
      <w:r w:rsidRPr="00B76318">
        <w:t xml:space="preserve">Metrics included in the low gradient IBI. </w:t>
      </w:r>
    </w:p>
    <w:tbl>
      <w:tblPr>
        <w:tblW w:w="8365" w:type="dxa"/>
        <w:tblLook w:val="04A0" w:firstRow="1" w:lastRow="0" w:firstColumn="1" w:lastColumn="0" w:noHBand="0" w:noVBand="1"/>
      </w:tblPr>
      <w:tblGrid>
        <w:gridCol w:w="8365"/>
      </w:tblGrid>
      <w:tr w:rsidR="0019609F" w:rsidRPr="0019609F" w14:paraId="67FB9B74" w14:textId="77777777" w:rsidTr="0019609F">
        <w:trPr>
          <w:trHeight w:val="300"/>
        </w:trPr>
        <w:tc>
          <w:tcPr>
            <w:tcW w:w="8365" w:type="dxa"/>
            <w:tcBorders>
              <w:top w:val="single" w:sz="4" w:space="0" w:color="auto"/>
              <w:left w:val="single" w:sz="4" w:space="0" w:color="auto"/>
              <w:bottom w:val="single" w:sz="4" w:space="0" w:color="auto"/>
              <w:right w:val="single" w:sz="4" w:space="0" w:color="auto"/>
            </w:tcBorders>
            <w:shd w:val="clear" w:color="000000" w:fill="D0CECE"/>
            <w:vAlign w:val="center"/>
            <w:hideMark/>
          </w:tcPr>
          <w:p w14:paraId="2741E858" w14:textId="77777777" w:rsidR="0019609F" w:rsidRPr="0019609F" w:rsidRDefault="0019609F" w:rsidP="0019609F">
            <w:pPr>
              <w:pStyle w:val="NoSpacing"/>
              <w:rPr>
                <w:rFonts w:asciiTheme="minorHAnsi" w:hAnsiTheme="minorHAnsi" w:cstheme="minorHAnsi"/>
                <w:sz w:val="22"/>
                <w:szCs w:val="20"/>
              </w:rPr>
            </w:pPr>
            <w:r w:rsidRPr="0019609F">
              <w:rPr>
                <w:rFonts w:asciiTheme="minorHAnsi" w:hAnsiTheme="minorHAnsi" w:cstheme="minorHAnsi"/>
                <w:sz w:val="22"/>
                <w:szCs w:val="20"/>
              </w:rPr>
              <w:t>Metric (abbrev)</w:t>
            </w:r>
          </w:p>
        </w:tc>
      </w:tr>
      <w:tr w:rsidR="0019609F" w:rsidRPr="0019609F" w14:paraId="4F0C137B" w14:textId="77777777" w:rsidTr="0019609F">
        <w:trPr>
          <w:trHeight w:val="300"/>
        </w:trPr>
        <w:tc>
          <w:tcPr>
            <w:tcW w:w="8365" w:type="dxa"/>
            <w:tcBorders>
              <w:top w:val="nil"/>
              <w:left w:val="single" w:sz="4" w:space="0" w:color="auto"/>
              <w:bottom w:val="single" w:sz="4" w:space="0" w:color="auto"/>
              <w:right w:val="single" w:sz="4" w:space="0" w:color="auto"/>
            </w:tcBorders>
            <w:shd w:val="clear" w:color="auto" w:fill="auto"/>
            <w:vAlign w:val="center"/>
            <w:hideMark/>
          </w:tcPr>
          <w:p w14:paraId="3A87A009" w14:textId="77777777" w:rsidR="0019609F" w:rsidRPr="0019609F" w:rsidRDefault="0019609F" w:rsidP="0019609F">
            <w:pPr>
              <w:pStyle w:val="NoSpacing"/>
              <w:rPr>
                <w:rFonts w:asciiTheme="minorHAnsi" w:hAnsiTheme="minorHAnsi" w:cstheme="minorHAnsi"/>
                <w:sz w:val="22"/>
                <w:szCs w:val="20"/>
              </w:rPr>
            </w:pPr>
            <w:r w:rsidRPr="0019609F">
              <w:rPr>
                <w:rFonts w:asciiTheme="minorHAnsi" w:hAnsiTheme="minorHAnsi" w:cstheme="minorHAnsi"/>
                <w:sz w:val="22"/>
                <w:szCs w:val="20"/>
              </w:rPr>
              <w:t>% Plecoptera, Odonata, Ephemeroptera, and Trichoptera (POET) taxa (pt_POET)</w:t>
            </w:r>
          </w:p>
        </w:tc>
      </w:tr>
      <w:tr w:rsidR="0019609F" w:rsidRPr="0019609F" w14:paraId="6B342D7E" w14:textId="77777777" w:rsidTr="0019609F">
        <w:trPr>
          <w:trHeight w:val="300"/>
        </w:trPr>
        <w:tc>
          <w:tcPr>
            <w:tcW w:w="8365" w:type="dxa"/>
            <w:tcBorders>
              <w:top w:val="nil"/>
              <w:left w:val="single" w:sz="4" w:space="0" w:color="auto"/>
              <w:bottom w:val="single" w:sz="4" w:space="0" w:color="auto"/>
              <w:right w:val="single" w:sz="4" w:space="0" w:color="auto"/>
            </w:tcBorders>
            <w:shd w:val="clear" w:color="auto" w:fill="auto"/>
            <w:vAlign w:val="center"/>
            <w:hideMark/>
          </w:tcPr>
          <w:p w14:paraId="1D543705" w14:textId="77777777" w:rsidR="0019609F" w:rsidRPr="0019609F" w:rsidRDefault="0019609F" w:rsidP="0019609F">
            <w:pPr>
              <w:pStyle w:val="NoSpacing"/>
              <w:rPr>
                <w:rFonts w:asciiTheme="minorHAnsi" w:hAnsiTheme="minorHAnsi" w:cstheme="minorHAnsi"/>
                <w:sz w:val="22"/>
                <w:szCs w:val="20"/>
              </w:rPr>
            </w:pPr>
            <w:r w:rsidRPr="0019609F">
              <w:rPr>
                <w:rFonts w:asciiTheme="minorHAnsi" w:hAnsiTheme="minorHAnsi" w:cstheme="minorHAnsi"/>
                <w:sz w:val="22"/>
                <w:szCs w:val="20"/>
              </w:rPr>
              <w:t>% Predator taxa (pt_ffg_pred)</w:t>
            </w:r>
          </w:p>
        </w:tc>
      </w:tr>
      <w:tr w:rsidR="0019609F" w:rsidRPr="0019609F" w14:paraId="35E863C0" w14:textId="77777777" w:rsidTr="0019609F">
        <w:trPr>
          <w:trHeight w:val="300"/>
        </w:trPr>
        <w:tc>
          <w:tcPr>
            <w:tcW w:w="8365" w:type="dxa"/>
            <w:tcBorders>
              <w:top w:val="nil"/>
              <w:left w:val="single" w:sz="4" w:space="0" w:color="auto"/>
              <w:bottom w:val="single" w:sz="4" w:space="0" w:color="auto"/>
              <w:right w:val="single" w:sz="4" w:space="0" w:color="auto"/>
            </w:tcBorders>
            <w:shd w:val="clear" w:color="auto" w:fill="auto"/>
            <w:vAlign w:val="center"/>
            <w:hideMark/>
          </w:tcPr>
          <w:p w14:paraId="4BC225FF" w14:textId="77777777" w:rsidR="0019609F" w:rsidRPr="0019609F" w:rsidRDefault="0019609F" w:rsidP="0019609F">
            <w:pPr>
              <w:pStyle w:val="NoSpacing"/>
              <w:rPr>
                <w:rFonts w:asciiTheme="minorHAnsi" w:hAnsiTheme="minorHAnsi" w:cstheme="minorHAnsi"/>
                <w:sz w:val="22"/>
                <w:szCs w:val="20"/>
              </w:rPr>
            </w:pPr>
            <w:r w:rsidRPr="0019609F">
              <w:rPr>
                <w:rFonts w:asciiTheme="minorHAnsi" w:hAnsiTheme="minorHAnsi" w:cstheme="minorHAnsi"/>
                <w:sz w:val="22"/>
                <w:szCs w:val="20"/>
              </w:rPr>
              <w:t>% Non-insect taxa (pt_NonIns)</w:t>
            </w:r>
          </w:p>
        </w:tc>
      </w:tr>
      <w:tr w:rsidR="0019609F" w:rsidRPr="0019609F" w14:paraId="7A8FC689" w14:textId="77777777" w:rsidTr="0019609F">
        <w:trPr>
          <w:trHeight w:val="300"/>
        </w:trPr>
        <w:tc>
          <w:tcPr>
            <w:tcW w:w="8365" w:type="dxa"/>
            <w:tcBorders>
              <w:top w:val="nil"/>
              <w:left w:val="single" w:sz="4" w:space="0" w:color="auto"/>
              <w:bottom w:val="single" w:sz="4" w:space="0" w:color="auto"/>
              <w:right w:val="single" w:sz="4" w:space="0" w:color="auto"/>
            </w:tcBorders>
            <w:shd w:val="clear" w:color="auto" w:fill="auto"/>
            <w:vAlign w:val="center"/>
            <w:hideMark/>
          </w:tcPr>
          <w:p w14:paraId="2F478B80" w14:textId="77777777" w:rsidR="0019609F" w:rsidRPr="0019609F" w:rsidRDefault="0019609F" w:rsidP="0019609F">
            <w:pPr>
              <w:pStyle w:val="NoSpacing"/>
              <w:rPr>
                <w:rFonts w:asciiTheme="minorHAnsi" w:hAnsiTheme="minorHAnsi" w:cstheme="minorHAnsi"/>
                <w:sz w:val="22"/>
                <w:szCs w:val="20"/>
              </w:rPr>
            </w:pPr>
            <w:r w:rsidRPr="0019609F">
              <w:rPr>
                <w:rFonts w:asciiTheme="minorHAnsi" w:hAnsiTheme="minorHAnsi" w:cstheme="minorHAnsi"/>
                <w:sz w:val="22"/>
                <w:szCs w:val="20"/>
              </w:rPr>
              <w:t>% Odonata, Ephemeroptera, and Trichoptera (OET) individuals (pi_OET)</w:t>
            </w:r>
          </w:p>
        </w:tc>
      </w:tr>
      <w:tr w:rsidR="0019609F" w:rsidRPr="0019609F" w14:paraId="560171EF" w14:textId="77777777" w:rsidTr="0019609F">
        <w:trPr>
          <w:trHeight w:val="300"/>
        </w:trPr>
        <w:tc>
          <w:tcPr>
            <w:tcW w:w="8365" w:type="dxa"/>
            <w:tcBorders>
              <w:top w:val="nil"/>
              <w:left w:val="single" w:sz="4" w:space="0" w:color="auto"/>
              <w:bottom w:val="single" w:sz="4" w:space="0" w:color="auto"/>
              <w:right w:val="single" w:sz="4" w:space="0" w:color="auto"/>
            </w:tcBorders>
            <w:shd w:val="clear" w:color="auto" w:fill="auto"/>
            <w:vAlign w:val="center"/>
            <w:hideMark/>
          </w:tcPr>
          <w:p w14:paraId="78C07E5C" w14:textId="77777777" w:rsidR="0019609F" w:rsidRPr="0019609F" w:rsidRDefault="0019609F" w:rsidP="0019609F">
            <w:pPr>
              <w:pStyle w:val="NoSpacing"/>
              <w:rPr>
                <w:rFonts w:asciiTheme="minorHAnsi" w:hAnsiTheme="minorHAnsi" w:cstheme="minorHAnsi"/>
                <w:sz w:val="22"/>
                <w:szCs w:val="20"/>
              </w:rPr>
            </w:pPr>
            <w:r w:rsidRPr="0019609F">
              <w:rPr>
                <w:rFonts w:asciiTheme="minorHAnsi" w:hAnsiTheme="minorHAnsi" w:cstheme="minorHAnsi"/>
                <w:sz w:val="22"/>
                <w:szCs w:val="20"/>
              </w:rPr>
              <w:t>% Tolerant taxa (pt_tv_toler)</w:t>
            </w:r>
          </w:p>
        </w:tc>
      </w:tr>
      <w:tr w:rsidR="0019609F" w:rsidRPr="0019609F" w14:paraId="1DF85C48" w14:textId="77777777" w:rsidTr="0019609F">
        <w:trPr>
          <w:trHeight w:val="300"/>
        </w:trPr>
        <w:tc>
          <w:tcPr>
            <w:tcW w:w="8365" w:type="dxa"/>
            <w:tcBorders>
              <w:top w:val="nil"/>
              <w:left w:val="single" w:sz="4" w:space="0" w:color="auto"/>
              <w:bottom w:val="single" w:sz="4" w:space="0" w:color="auto"/>
              <w:right w:val="single" w:sz="4" w:space="0" w:color="auto"/>
            </w:tcBorders>
            <w:shd w:val="clear" w:color="auto" w:fill="auto"/>
            <w:vAlign w:val="center"/>
            <w:hideMark/>
          </w:tcPr>
          <w:p w14:paraId="107CC168" w14:textId="77777777" w:rsidR="0019609F" w:rsidRPr="0019609F" w:rsidRDefault="0019609F" w:rsidP="0019609F">
            <w:pPr>
              <w:pStyle w:val="NoSpacing"/>
              <w:rPr>
                <w:rFonts w:asciiTheme="minorHAnsi" w:hAnsiTheme="minorHAnsi" w:cstheme="minorHAnsi"/>
                <w:sz w:val="22"/>
                <w:szCs w:val="20"/>
              </w:rPr>
            </w:pPr>
            <w:r w:rsidRPr="0019609F">
              <w:rPr>
                <w:rFonts w:asciiTheme="minorHAnsi" w:hAnsiTheme="minorHAnsi" w:cstheme="minorHAnsi"/>
                <w:sz w:val="22"/>
                <w:szCs w:val="20"/>
              </w:rPr>
              <w:t>% Semivoltine taxa (pt_volt_semi)</w:t>
            </w:r>
          </w:p>
        </w:tc>
      </w:tr>
    </w:tbl>
    <w:p w14:paraId="103693ED" w14:textId="7AEB3F5F" w:rsidR="0019609F" w:rsidRDefault="0019609F" w:rsidP="006A6772"/>
    <w:p w14:paraId="26F113B5" w14:textId="77777777" w:rsidR="0019609F" w:rsidRDefault="0019609F" w:rsidP="006A6772"/>
    <w:p w14:paraId="3D332487" w14:textId="77777777" w:rsidR="006A6772" w:rsidRPr="00F31AB8" w:rsidRDefault="006A6772" w:rsidP="006A6772">
      <w:pPr>
        <w:rPr>
          <w:b/>
          <w:bCs/>
        </w:rPr>
      </w:pPr>
      <w:r w:rsidRPr="00F31AB8">
        <w:rPr>
          <w:b/>
          <w:bCs/>
        </w:rPr>
        <w:t>% Non-insect taxa (</w:t>
      </w:r>
      <w:proofErr w:type="spellStart"/>
      <w:r w:rsidRPr="00F31AB8">
        <w:rPr>
          <w:b/>
          <w:bCs/>
        </w:rPr>
        <w:t>pt_nonIns</w:t>
      </w:r>
      <w:proofErr w:type="spellEnd"/>
      <w:r w:rsidRPr="00F31AB8">
        <w:rPr>
          <w:b/>
          <w:bCs/>
        </w:rPr>
        <w:t>)</w:t>
      </w:r>
    </w:p>
    <w:p w14:paraId="6E0D1147" w14:textId="77777777" w:rsidR="006A6772" w:rsidRPr="00F31AB8" w:rsidRDefault="006A6772" w:rsidP="006A6772">
      <w:pPr>
        <w:ind w:left="360"/>
        <w:rPr>
          <w:rFonts w:cs="Times New Roman"/>
          <w:color w:val="000000"/>
          <w:szCs w:val="24"/>
        </w:rPr>
      </w:pPr>
      <w:r w:rsidRPr="00F31AB8">
        <w:rPr>
          <w:i/>
          <w:iCs/>
        </w:rPr>
        <w:t xml:space="preserve">Description: </w:t>
      </w:r>
      <w:r w:rsidRPr="00F31AB8">
        <w:rPr>
          <w:rFonts w:cs="Times New Roman"/>
          <w:color w:val="000000"/>
          <w:szCs w:val="24"/>
        </w:rPr>
        <w:t>Of all taxa, the percentage of taxa that are</w:t>
      </w:r>
      <w:r w:rsidRPr="00F31AB8">
        <w:rPr>
          <w:rFonts w:cs="Times New Roman"/>
          <w:color w:val="000000"/>
          <w:szCs w:val="24"/>
          <w:lang w:val="x-none"/>
        </w:rPr>
        <w:t xml:space="preserve"> </w:t>
      </w:r>
      <w:r w:rsidRPr="00F31AB8">
        <w:rPr>
          <w:rFonts w:cs="Times New Roman"/>
          <w:color w:val="000000"/>
          <w:szCs w:val="24"/>
        </w:rPr>
        <w:t>non-</w:t>
      </w:r>
      <w:r w:rsidRPr="00F31AB8">
        <w:rPr>
          <w:rFonts w:cs="Times New Roman"/>
          <w:color w:val="000000"/>
          <w:szCs w:val="24"/>
          <w:lang w:val="x-none"/>
        </w:rPr>
        <w:t>insect</w:t>
      </w:r>
      <w:r w:rsidRPr="00F31AB8">
        <w:rPr>
          <w:rFonts w:cs="Times New Roman"/>
          <w:color w:val="000000"/>
          <w:szCs w:val="24"/>
        </w:rPr>
        <w:t>s</w:t>
      </w:r>
    </w:p>
    <w:p w14:paraId="065CC084" w14:textId="77777777" w:rsidR="006A6772" w:rsidRPr="00F31AB8" w:rsidRDefault="006A6772" w:rsidP="006A6772">
      <w:pPr>
        <w:ind w:left="360"/>
        <w:rPr>
          <w:i/>
          <w:iCs/>
        </w:rPr>
      </w:pPr>
      <w:r w:rsidRPr="00F31AB8">
        <w:rPr>
          <w:rFonts w:cs="Times New Roman"/>
          <w:color w:val="000000"/>
          <w:szCs w:val="24"/>
        </w:rPr>
        <w:tab/>
      </w:r>
      <w:r w:rsidRPr="00F31AB8">
        <w:rPr>
          <w:rFonts w:cs="Times New Roman"/>
          <w:szCs w:val="24"/>
        </w:rPr>
        <w:t xml:space="preserve">Taxa richness generally decreases with increasing stress, as the sensitive and specialist taxa emigrate or perish when exposed to intolerable conditions such as pollution, greater sedimentation, or reduced food quality. Non-insects (primarily gastropods, bivalves, crustaceans, and worms) can be tolerant or take advantage of stresses, and therefore, an increase in relative richness indicates the presence of disturbance. Relative richness of non-insects can increase either when non-insect taxa increase or when insect taxa decrease. </w:t>
      </w:r>
    </w:p>
    <w:p w14:paraId="2F5234D6" w14:textId="77777777" w:rsidR="006A6772" w:rsidRPr="00F31AB8" w:rsidRDefault="006A6772" w:rsidP="006A6772">
      <w:pPr>
        <w:ind w:left="360"/>
      </w:pPr>
      <w:r w:rsidRPr="00F31AB8">
        <w:rPr>
          <w:i/>
          <w:iCs/>
        </w:rPr>
        <w:t>Metric Category:</w:t>
      </w:r>
      <w:r w:rsidRPr="00F31AB8">
        <w:t xml:space="preserve"> </w:t>
      </w:r>
      <w:r>
        <w:t xml:space="preserve">Relative </w:t>
      </w:r>
      <w:r w:rsidRPr="00F31AB8">
        <w:t>Richness</w:t>
      </w:r>
      <w:r w:rsidRPr="00F31AB8">
        <w:tab/>
      </w:r>
      <w:r w:rsidRPr="00F31AB8">
        <w:tab/>
      </w:r>
    </w:p>
    <w:p w14:paraId="7FC1C803" w14:textId="77777777" w:rsidR="006A6772" w:rsidRPr="00F31AB8" w:rsidRDefault="006A6772" w:rsidP="006A6772">
      <w:pPr>
        <w:ind w:left="360"/>
      </w:pPr>
      <w:r w:rsidRPr="00F31AB8">
        <w:rPr>
          <w:i/>
          <w:iCs/>
        </w:rPr>
        <w:t xml:space="preserve">Trend: </w:t>
      </w:r>
      <w:r w:rsidRPr="00F31AB8">
        <w:t>Expected to increase with stress and increases in the SNEP dataset.</w:t>
      </w:r>
    </w:p>
    <w:p w14:paraId="482305DD" w14:textId="77777777" w:rsidR="006A6772" w:rsidRPr="007361E6" w:rsidRDefault="006A6772" w:rsidP="006A6772">
      <w:pPr>
        <w:ind w:left="360"/>
        <w:rPr>
          <w:i/>
          <w:iCs/>
        </w:rPr>
      </w:pPr>
      <w:r w:rsidRPr="00F31AB8">
        <w:rPr>
          <w:i/>
          <w:iCs/>
        </w:rPr>
        <w:t xml:space="preserve">References: </w:t>
      </w:r>
      <w:r w:rsidRPr="00F31AB8">
        <w:rPr>
          <w:rFonts w:cs="Times New Roman"/>
          <w:color w:val="000000"/>
          <w:szCs w:val="24"/>
          <w:lang w:val="x-none"/>
        </w:rPr>
        <w:t>Barbour et al. 1999</w:t>
      </w:r>
      <w:r w:rsidRPr="00F31AB8">
        <w:rPr>
          <w:rFonts w:cs="Times New Roman"/>
          <w:color w:val="000000"/>
        </w:rPr>
        <w:t>; Yuan and Norton 2003</w:t>
      </w:r>
    </w:p>
    <w:p w14:paraId="02A4C2FC" w14:textId="77777777" w:rsidR="006A6772" w:rsidRDefault="006A6772" w:rsidP="006A6772">
      <w:pPr>
        <w:rPr>
          <w:b/>
          <w:bCs/>
        </w:rPr>
      </w:pPr>
    </w:p>
    <w:p w14:paraId="2AE0535F" w14:textId="77777777" w:rsidR="0019609F" w:rsidRDefault="0019609F" w:rsidP="006A6772">
      <w:pPr>
        <w:rPr>
          <w:b/>
          <w:bCs/>
        </w:rPr>
        <w:sectPr w:rsidR="0019609F">
          <w:footerReference w:type="default" r:id="rId8"/>
          <w:pgSz w:w="12240" w:h="15840"/>
          <w:pgMar w:top="1440" w:right="1440" w:bottom="1440" w:left="1440" w:header="720" w:footer="720" w:gutter="0"/>
          <w:cols w:space="720"/>
          <w:docGrid w:linePitch="360"/>
        </w:sectPr>
      </w:pPr>
    </w:p>
    <w:p w14:paraId="05D8ECE8" w14:textId="4C1DB61D" w:rsidR="006A6772" w:rsidRDefault="006A6772" w:rsidP="006A6772">
      <w:pPr>
        <w:rPr>
          <w:b/>
          <w:bCs/>
        </w:rPr>
      </w:pPr>
      <w:r w:rsidRPr="00F31AB8">
        <w:rPr>
          <w:b/>
          <w:bCs/>
        </w:rPr>
        <w:lastRenderedPageBreak/>
        <w:t>% POET taxa (Plecoptera, Odonata, Ephemeroptera, and Trichoptera) (</w:t>
      </w:r>
      <w:proofErr w:type="spellStart"/>
      <w:r w:rsidRPr="00F31AB8">
        <w:rPr>
          <w:b/>
          <w:bCs/>
        </w:rPr>
        <w:t>pt_POET</w:t>
      </w:r>
      <w:proofErr w:type="spellEnd"/>
      <w:r w:rsidRPr="00F31AB8">
        <w:rPr>
          <w:b/>
          <w:bCs/>
        </w:rPr>
        <w:t>)</w:t>
      </w:r>
    </w:p>
    <w:p w14:paraId="6E052BF7" w14:textId="77777777" w:rsidR="006A6772" w:rsidRPr="00F31AB8" w:rsidRDefault="006A6772" w:rsidP="006A6772">
      <w:pPr>
        <w:ind w:left="360"/>
        <w:rPr>
          <w:rFonts w:cs="Times New Roman"/>
          <w:color w:val="000000"/>
          <w:szCs w:val="24"/>
        </w:rPr>
      </w:pPr>
      <w:r w:rsidRPr="00F31AB8">
        <w:rPr>
          <w:i/>
          <w:iCs/>
        </w:rPr>
        <w:t xml:space="preserve">Description: </w:t>
      </w:r>
      <w:r w:rsidRPr="00F31AB8">
        <w:rPr>
          <w:rFonts w:cs="Times New Roman"/>
          <w:color w:val="000000"/>
          <w:szCs w:val="24"/>
        </w:rPr>
        <w:t xml:space="preserve">Of all taxa, the percentage of taxa that </w:t>
      </w:r>
      <w:r w:rsidRPr="007261F7">
        <w:rPr>
          <w:rFonts w:cs="Times New Roman"/>
          <w:color w:val="000000"/>
          <w:szCs w:val="24"/>
        </w:rPr>
        <w:t xml:space="preserve">are </w:t>
      </w:r>
      <w:r w:rsidRPr="007261F7">
        <w:rPr>
          <w:rFonts w:cs="Times New Roman"/>
          <w:color w:val="000000"/>
          <w:szCs w:val="24"/>
          <w:lang w:val="x-none"/>
        </w:rPr>
        <w:t>in the insect orders Plecoptera</w:t>
      </w:r>
      <w:r w:rsidRPr="007261F7">
        <w:rPr>
          <w:rFonts w:cs="Times New Roman"/>
          <w:color w:val="000000"/>
          <w:szCs w:val="24"/>
        </w:rPr>
        <w:t xml:space="preserve"> </w:t>
      </w:r>
      <w:r w:rsidRPr="007261F7">
        <w:rPr>
          <w:rFonts w:cs="Times New Roman"/>
          <w:color w:val="000000"/>
          <w:szCs w:val="24"/>
          <w:lang w:val="x-none"/>
        </w:rPr>
        <w:t xml:space="preserve">(stoneflies), </w:t>
      </w:r>
      <w:r>
        <w:rPr>
          <w:rFonts w:cs="Times New Roman"/>
          <w:color w:val="000000"/>
          <w:szCs w:val="24"/>
        </w:rPr>
        <w:t xml:space="preserve">Odonata (dragonflies and damselflies), </w:t>
      </w:r>
      <w:r w:rsidRPr="007261F7">
        <w:rPr>
          <w:rFonts w:cs="Times New Roman"/>
          <w:color w:val="000000"/>
          <w:szCs w:val="24"/>
          <w:lang w:val="x-none"/>
        </w:rPr>
        <w:t>Ephemeroptera (mayflies), and Trichoptera (caddisflies)</w:t>
      </w:r>
    </w:p>
    <w:p w14:paraId="57748F97" w14:textId="77777777" w:rsidR="006A6772" w:rsidRPr="00F31AB8" w:rsidRDefault="006A6772" w:rsidP="006A6772">
      <w:pPr>
        <w:ind w:left="360"/>
        <w:rPr>
          <w:i/>
          <w:iCs/>
        </w:rPr>
      </w:pPr>
      <w:r w:rsidRPr="00F31AB8">
        <w:rPr>
          <w:rFonts w:cs="Times New Roman"/>
          <w:color w:val="000000"/>
          <w:szCs w:val="24"/>
        </w:rPr>
        <w:tab/>
      </w:r>
      <w:r>
        <w:rPr>
          <w:rFonts w:cs="Times New Roman"/>
          <w:color w:val="000000"/>
          <w:szCs w:val="24"/>
        </w:rPr>
        <w:t xml:space="preserve">In riffle dominated streams, </w:t>
      </w:r>
      <w:r w:rsidRPr="00320E1F">
        <w:rPr>
          <w:rFonts w:cs="Times New Roman"/>
          <w:szCs w:val="24"/>
        </w:rPr>
        <w:t xml:space="preserve">EPT taxa are generally sensitive to environmental degradation such as reduced dissolved oxygen, unstable substrates, reduced food quality, and contamination due to heavy metals and other </w:t>
      </w:r>
      <w:r>
        <w:rPr>
          <w:rFonts w:cs="Times New Roman"/>
          <w:szCs w:val="24"/>
        </w:rPr>
        <w:t>pollutants</w:t>
      </w:r>
      <w:r w:rsidRPr="00320E1F">
        <w:rPr>
          <w:rFonts w:cs="Times New Roman"/>
          <w:szCs w:val="24"/>
        </w:rPr>
        <w:t xml:space="preserve">. </w:t>
      </w:r>
      <w:r>
        <w:rPr>
          <w:rFonts w:cs="Times New Roman"/>
          <w:szCs w:val="24"/>
        </w:rPr>
        <w:t xml:space="preserve">EPT are also sensitive in low gradient streams and Odonata (dragonflies) can be a fourth sensitive insect order. </w:t>
      </w:r>
      <w:r w:rsidRPr="00320E1F">
        <w:rPr>
          <w:rFonts w:cs="Times New Roman"/>
          <w:szCs w:val="24"/>
        </w:rPr>
        <w:t xml:space="preserve">As environmental conditions become worse, the sensitive and specialist taxa of these </w:t>
      </w:r>
      <w:r>
        <w:rPr>
          <w:rFonts w:cs="Times New Roman"/>
          <w:szCs w:val="24"/>
        </w:rPr>
        <w:t>insect orders</w:t>
      </w:r>
      <w:r w:rsidRPr="00320E1F">
        <w:rPr>
          <w:rFonts w:cs="Times New Roman"/>
          <w:szCs w:val="24"/>
        </w:rPr>
        <w:t xml:space="preserve"> will emigrate or perish.</w:t>
      </w:r>
      <w:r>
        <w:rPr>
          <w:rFonts w:cs="Times New Roman"/>
          <w:szCs w:val="24"/>
        </w:rPr>
        <w:t xml:space="preserve"> </w:t>
      </w:r>
    </w:p>
    <w:p w14:paraId="2DB581ED" w14:textId="77777777" w:rsidR="006A6772" w:rsidRPr="00F31AB8" w:rsidRDefault="006A6772" w:rsidP="006A6772">
      <w:pPr>
        <w:ind w:left="360"/>
      </w:pPr>
      <w:r w:rsidRPr="00F31AB8">
        <w:rPr>
          <w:i/>
          <w:iCs/>
        </w:rPr>
        <w:t>Metric Category:</w:t>
      </w:r>
      <w:r w:rsidRPr="00F31AB8">
        <w:t xml:space="preserve"> </w:t>
      </w:r>
      <w:r>
        <w:t xml:space="preserve">Relative </w:t>
      </w:r>
      <w:r w:rsidRPr="00F31AB8">
        <w:t>Richness</w:t>
      </w:r>
      <w:r w:rsidRPr="00F31AB8">
        <w:tab/>
      </w:r>
      <w:r w:rsidRPr="00F31AB8">
        <w:tab/>
      </w:r>
    </w:p>
    <w:p w14:paraId="2746346B" w14:textId="77777777" w:rsidR="006A6772" w:rsidRPr="00F31AB8" w:rsidRDefault="006A6772" w:rsidP="006A6772">
      <w:pPr>
        <w:ind w:left="360"/>
      </w:pPr>
      <w:r w:rsidRPr="00F31AB8">
        <w:rPr>
          <w:i/>
          <w:iCs/>
        </w:rPr>
        <w:t xml:space="preserve">Trend: </w:t>
      </w:r>
      <w:r w:rsidRPr="00F31AB8">
        <w:t xml:space="preserve">Expected to </w:t>
      </w:r>
      <w:r>
        <w:t>de</w:t>
      </w:r>
      <w:r w:rsidRPr="00F31AB8">
        <w:t xml:space="preserve">crease with stress and </w:t>
      </w:r>
      <w:r>
        <w:t>de</w:t>
      </w:r>
      <w:r w:rsidRPr="00F31AB8">
        <w:t>creases in the SNEP dataset.</w:t>
      </w:r>
    </w:p>
    <w:p w14:paraId="4B55C61C" w14:textId="77777777" w:rsidR="006A6772" w:rsidRPr="00E57B27" w:rsidRDefault="006A6772" w:rsidP="006A6772">
      <w:pPr>
        <w:ind w:left="360"/>
      </w:pPr>
      <w:r w:rsidRPr="00F31AB8">
        <w:rPr>
          <w:i/>
          <w:iCs/>
        </w:rPr>
        <w:t xml:space="preserve">References: </w:t>
      </w:r>
      <w:r>
        <w:rPr>
          <w:rFonts w:cs="Times New Roman"/>
          <w:color w:val="000000"/>
        </w:rPr>
        <w:t xml:space="preserve">Angradi 1999; </w:t>
      </w:r>
      <w:r w:rsidRPr="00320E1F">
        <w:rPr>
          <w:rFonts w:cs="Times New Roman"/>
          <w:color w:val="000000"/>
          <w:szCs w:val="24"/>
          <w:lang w:val="x-none"/>
        </w:rPr>
        <w:t>Barbour et al. 1999</w:t>
      </w:r>
      <w:r>
        <w:rPr>
          <w:rFonts w:cs="Times New Roman"/>
          <w:color w:val="000000"/>
        </w:rPr>
        <w:t xml:space="preserve">; Yuan and Norton 2003; </w:t>
      </w:r>
      <w:r w:rsidRPr="00B51DBA">
        <w:rPr>
          <w:rFonts w:cs="Times New Roman"/>
          <w:color w:val="000000"/>
        </w:rPr>
        <w:t>Hutchens et al. 2009</w:t>
      </w:r>
      <w:r>
        <w:rPr>
          <w:rFonts w:cs="Times New Roman"/>
          <w:color w:val="000000"/>
        </w:rPr>
        <w:t>;</w:t>
      </w:r>
      <w:r w:rsidRPr="00431A24">
        <w:t xml:space="preserve"> </w:t>
      </w:r>
      <w:r w:rsidRPr="009B03B8">
        <w:rPr>
          <w:rFonts w:cs="Times New Roman"/>
          <w:color w:val="222222"/>
          <w:szCs w:val="24"/>
          <w:shd w:val="clear" w:color="auto" w:fill="FFFFFF"/>
        </w:rPr>
        <w:t>Steele 2013; </w:t>
      </w:r>
      <w:proofErr w:type="spellStart"/>
      <w:r w:rsidRPr="00E57B27">
        <w:t>Onana</w:t>
      </w:r>
      <w:proofErr w:type="spellEnd"/>
      <w:r w:rsidRPr="00E57B27">
        <w:t xml:space="preserve"> et al. 2019</w:t>
      </w:r>
      <w:r>
        <w:t xml:space="preserve">; </w:t>
      </w:r>
      <w:r w:rsidRPr="009B03B8">
        <w:rPr>
          <w:rFonts w:cs="Times New Roman"/>
          <w:color w:val="000000"/>
          <w:szCs w:val="24"/>
        </w:rPr>
        <w:t>Gomez</w:t>
      </w:r>
      <w:r>
        <w:rPr>
          <w:rFonts w:cs="Times New Roman"/>
          <w:color w:val="000000"/>
        </w:rPr>
        <w:t>-</w:t>
      </w:r>
      <w:proofErr w:type="spellStart"/>
      <w:r>
        <w:rPr>
          <w:rFonts w:cs="Times New Roman"/>
          <w:color w:val="000000"/>
        </w:rPr>
        <w:t>Tolosa</w:t>
      </w:r>
      <w:proofErr w:type="spellEnd"/>
      <w:r>
        <w:rPr>
          <w:rFonts w:cs="Times New Roman"/>
          <w:color w:val="000000"/>
        </w:rPr>
        <w:t xml:space="preserve"> et al. 2020</w:t>
      </w:r>
    </w:p>
    <w:p w14:paraId="349E06D3" w14:textId="77777777" w:rsidR="006A6772" w:rsidRDefault="006A6772" w:rsidP="006A6772">
      <w:pPr>
        <w:ind w:left="360"/>
        <w:rPr>
          <w:i/>
          <w:iCs/>
        </w:rPr>
      </w:pPr>
    </w:p>
    <w:p w14:paraId="2D78A0A6" w14:textId="77777777" w:rsidR="006A6772" w:rsidRDefault="006A6772" w:rsidP="006A6772">
      <w:pPr>
        <w:rPr>
          <w:b/>
          <w:bCs/>
        </w:rPr>
      </w:pPr>
      <w:r w:rsidRPr="00EF2A42">
        <w:rPr>
          <w:b/>
          <w:bCs/>
        </w:rPr>
        <w:t>% OET individuals (</w:t>
      </w:r>
      <w:r w:rsidRPr="002A3BDD">
        <w:rPr>
          <w:b/>
          <w:bCs/>
        </w:rPr>
        <w:t xml:space="preserve">Percent </w:t>
      </w:r>
      <w:r>
        <w:rPr>
          <w:b/>
          <w:bCs/>
        </w:rPr>
        <w:t>of</w:t>
      </w:r>
      <w:r w:rsidRPr="002A3BDD">
        <w:rPr>
          <w:b/>
          <w:bCs/>
        </w:rPr>
        <w:t xml:space="preserve"> </w:t>
      </w:r>
      <w:r w:rsidRPr="00EF2A42">
        <w:rPr>
          <w:b/>
          <w:bCs/>
        </w:rPr>
        <w:t>Odonata, Ephemeroptera, and Trichoptera</w:t>
      </w:r>
      <w:r w:rsidRPr="002A3BDD">
        <w:rPr>
          <w:b/>
          <w:bCs/>
        </w:rPr>
        <w:t xml:space="preserve"> individuals</w:t>
      </w:r>
      <w:r w:rsidRPr="00EF2A42">
        <w:rPr>
          <w:b/>
          <w:bCs/>
        </w:rPr>
        <w:t>) (</w:t>
      </w:r>
      <w:proofErr w:type="spellStart"/>
      <w:r w:rsidRPr="00EF2A42">
        <w:rPr>
          <w:b/>
          <w:bCs/>
        </w:rPr>
        <w:t>pi_OET</w:t>
      </w:r>
      <w:proofErr w:type="spellEnd"/>
      <w:r w:rsidRPr="00EF2A42">
        <w:rPr>
          <w:b/>
          <w:bCs/>
        </w:rPr>
        <w:t>)</w:t>
      </w:r>
    </w:p>
    <w:p w14:paraId="07B7CB89" w14:textId="77777777" w:rsidR="006A6772" w:rsidRDefault="006A6772" w:rsidP="006A6772">
      <w:pPr>
        <w:ind w:left="360"/>
        <w:rPr>
          <w:rFonts w:cs="Times New Roman"/>
          <w:color w:val="000000"/>
          <w:szCs w:val="24"/>
          <w:lang w:val="x-none"/>
        </w:rPr>
      </w:pPr>
      <w:r>
        <w:rPr>
          <w:i/>
          <w:iCs/>
        </w:rPr>
        <w:t xml:space="preserve">Description: </w:t>
      </w:r>
      <w:r w:rsidRPr="007261F7">
        <w:rPr>
          <w:rFonts w:cs="Times New Roman"/>
          <w:color w:val="000000"/>
          <w:szCs w:val="24"/>
        </w:rPr>
        <w:t xml:space="preserve">Of all individuals, the percentage of individuals that are </w:t>
      </w:r>
      <w:r w:rsidRPr="007261F7">
        <w:rPr>
          <w:rFonts w:cs="Times New Roman"/>
          <w:color w:val="000000"/>
          <w:szCs w:val="24"/>
          <w:lang w:val="x-none"/>
        </w:rPr>
        <w:t xml:space="preserve">in the insect orders </w:t>
      </w:r>
      <w:r>
        <w:rPr>
          <w:rFonts w:cs="Times New Roman"/>
          <w:color w:val="000000"/>
          <w:szCs w:val="24"/>
        </w:rPr>
        <w:t xml:space="preserve">Odonata (dragonflies and damselflies), </w:t>
      </w:r>
      <w:r w:rsidRPr="007261F7">
        <w:rPr>
          <w:rFonts w:cs="Times New Roman"/>
          <w:color w:val="000000"/>
          <w:szCs w:val="24"/>
          <w:lang w:val="x-none"/>
        </w:rPr>
        <w:t>Ephemeroptera (mayflies), and Trichoptera (caddisflies)</w:t>
      </w:r>
    </w:p>
    <w:p w14:paraId="31080855" w14:textId="77777777" w:rsidR="006A6772" w:rsidRPr="00A62C76" w:rsidRDefault="006A6772" w:rsidP="006A6772">
      <w:pPr>
        <w:ind w:left="360"/>
        <w:rPr>
          <w:i/>
          <w:iCs/>
        </w:rPr>
      </w:pPr>
      <w:r>
        <w:rPr>
          <w:i/>
          <w:iCs/>
        </w:rPr>
        <w:tab/>
      </w:r>
      <w:r>
        <w:rPr>
          <w:rFonts w:cs="Times New Roman"/>
          <w:szCs w:val="24"/>
        </w:rPr>
        <w:t xml:space="preserve">The stressor mechanisms described for % POET taxa also affect the relative abundance of sensitive insect individuals in a stream. </w:t>
      </w:r>
      <w:r w:rsidRPr="007261F7">
        <w:rPr>
          <w:rFonts w:cs="Times New Roman"/>
          <w:color w:val="000000"/>
          <w:szCs w:val="24"/>
          <w:lang w:val="x-none"/>
        </w:rPr>
        <w:t>Plecoptera</w:t>
      </w:r>
      <w:r w:rsidRPr="007261F7">
        <w:rPr>
          <w:rFonts w:cs="Times New Roman"/>
          <w:color w:val="000000"/>
          <w:szCs w:val="24"/>
        </w:rPr>
        <w:t xml:space="preserve"> </w:t>
      </w:r>
      <w:r w:rsidRPr="007261F7">
        <w:rPr>
          <w:rFonts w:cs="Times New Roman"/>
          <w:color w:val="000000"/>
          <w:szCs w:val="24"/>
          <w:lang w:val="x-none"/>
        </w:rPr>
        <w:t>(stoneflies)</w:t>
      </w:r>
      <w:r>
        <w:rPr>
          <w:rFonts w:cs="Times New Roman"/>
          <w:color w:val="000000"/>
          <w:szCs w:val="24"/>
        </w:rPr>
        <w:t xml:space="preserve"> are more meaningful as a presence/absence signal than they are as a relative abundance signal</w:t>
      </w:r>
      <w:r w:rsidRPr="00A62C76">
        <w:rPr>
          <w:rFonts w:cs="Times New Roman"/>
          <w:color w:val="000000"/>
          <w:szCs w:val="24"/>
        </w:rPr>
        <w:t xml:space="preserve"> </w:t>
      </w:r>
      <w:r>
        <w:rPr>
          <w:rFonts w:cs="Times New Roman"/>
          <w:color w:val="000000"/>
          <w:szCs w:val="24"/>
        </w:rPr>
        <w:t xml:space="preserve">because they are usually not abundant in low gradient streams. Therefore, this metric does not include stoneflies. </w:t>
      </w:r>
      <w:r>
        <w:rPr>
          <w:rFonts w:cs="Times New Roman"/>
          <w:szCs w:val="24"/>
        </w:rPr>
        <w:t xml:space="preserve">The sensitive and specialist </w:t>
      </w:r>
      <w:r w:rsidRPr="00CC2EA5">
        <w:rPr>
          <w:rFonts w:cs="Times New Roman"/>
          <w:iCs/>
          <w:szCs w:val="24"/>
        </w:rPr>
        <w:t>individuals</w:t>
      </w:r>
      <w:r>
        <w:rPr>
          <w:rFonts w:cs="Times New Roman"/>
          <w:i/>
          <w:iCs/>
          <w:szCs w:val="24"/>
        </w:rPr>
        <w:t xml:space="preserve"> </w:t>
      </w:r>
      <w:r>
        <w:rPr>
          <w:rFonts w:cs="Times New Roman"/>
          <w:szCs w:val="24"/>
        </w:rPr>
        <w:t>of the dragonfly, mayfly, and caddisfly insect orders emigrate or perish with increasing stress.</w:t>
      </w:r>
      <w:r w:rsidRPr="00DD1871">
        <w:rPr>
          <w:rFonts w:cs="Times New Roman"/>
          <w:color w:val="000000"/>
          <w:szCs w:val="24"/>
          <w:lang w:val="x-none"/>
        </w:rPr>
        <w:t xml:space="preserve"> </w:t>
      </w:r>
    </w:p>
    <w:p w14:paraId="1C347C3F" w14:textId="77777777" w:rsidR="006A6772" w:rsidRPr="008B7BED" w:rsidRDefault="006A6772" w:rsidP="006A6772">
      <w:pPr>
        <w:ind w:left="360"/>
        <w:rPr>
          <w:rFonts w:cs="Times New Roman"/>
          <w:szCs w:val="24"/>
        </w:rPr>
      </w:pPr>
      <w:r>
        <w:rPr>
          <w:i/>
          <w:iCs/>
        </w:rPr>
        <w:t>Metric Category:</w:t>
      </w:r>
      <w:r>
        <w:t xml:space="preserve"> Composition</w:t>
      </w:r>
      <w:r>
        <w:tab/>
      </w:r>
      <w:r>
        <w:tab/>
      </w:r>
    </w:p>
    <w:p w14:paraId="248F4EC9" w14:textId="77777777" w:rsidR="006A6772" w:rsidRPr="00CF09F8" w:rsidRDefault="006A6772" w:rsidP="006A6772">
      <w:pPr>
        <w:ind w:left="360"/>
      </w:pPr>
      <w:r>
        <w:rPr>
          <w:i/>
          <w:iCs/>
        </w:rPr>
        <w:t xml:space="preserve">Trend: </w:t>
      </w:r>
      <w:r w:rsidRPr="00F367AD">
        <w:rPr>
          <w:rFonts w:cs="Times New Roman"/>
          <w:color w:val="000000"/>
          <w:szCs w:val="24"/>
        </w:rPr>
        <w:t>Expected to decrease with stress</w:t>
      </w:r>
      <w:r>
        <w:rPr>
          <w:rFonts w:cs="Times New Roman"/>
          <w:color w:val="000000"/>
          <w:szCs w:val="24"/>
        </w:rPr>
        <w:t xml:space="preserve"> and decreases in the Michigan dataset.</w:t>
      </w:r>
    </w:p>
    <w:p w14:paraId="28CE3CF4" w14:textId="77777777" w:rsidR="006A6772" w:rsidRPr="007361E6" w:rsidRDefault="006A6772" w:rsidP="006A6772">
      <w:pPr>
        <w:ind w:left="360"/>
        <w:rPr>
          <w:i/>
          <w:iCs/>
        </w:rPr>
      </w:pPr>
      <w:r>
        <w:rPr>
          <w:i/>
          <w:iCs/>
        </w:rPr>
        <w:t xml:space="preserve">References: </w:t>
      </w:r>
      <w:r>
        <w:rPr>
          <w:rFonts w:cs="Times New Roman"/>
          <w:color w:val="000000"/>
        </w:rPr>
        <w:t xml:space="preserve">Angradi 1999; </w:t>
      </w:r>
      <w:r w:rsidRPr="00320E1F">
        <w:rPr>
          <w:rFonts w:cs="Times New Roman"/>
          <w:color w:val="000000"/>
          <w:szCs w:val="24"/>
          <w:lang w:val="x-none"/>
        </w:rPr>
        <w:t>Barbour et al. 1999</w:t>
      </w:r>
      <w:r>
        <w:rPr>
          <w:rFonts w:cs="Times New Roman"/>
          <w:color w:val="000000"/>
        </w:rPr>
        <w:t xml:space="preserve">; Yuan and Norton 2003; </w:t>
      </w:r>
      <w:r w:rsidRPr="00B51DBA">
        <w:rPr>
          <w:rFonts w:cs="Times New Roman"/>
          <w:color w:val="000000"/>
        </w:rPr>
        <w:t>Hutchens et al. 2009</w:t>
      </w:r>
      <w:r>
        <w:rPr>
          <w:rFonts w:cs="Times New Roman"/>
          <w:color w:val="000000"/>
        </w:rPr>
        <w:t xml:space="preserve">; </w:t>
      </w:r>
      <w:r w:rsidRPr="009B03B8">
        <w:rPr>
          <w:rFonts w:cs="Times New Roman"/>
          <w:color w:val="222222"/>
          <w:szCs w:val="24"/>
          <w:shd w:val="clear" w:color="auto" w:fill="FFFFFF"/>
        </w:rPr>
        <w:t>Steele 2013; </w:t>
      </w:r>
      <w:proofErr w:type="spellStart"/>
      <w:r w:rsidRPr="00E57B27">
        <w:t>Onana</w:t>
      </w:r>
      <w:proofErr w:type="spellEnd"/>
      <w:r w:rsidRPr="00E57B27">
        <w:t xml:space="preserve"> et al. 2019</w:t>
      </w:r>
      <w:r>
        <w:t xml:space="preserve">; </w:t>
      </w:r>
      <w:r w:rsidRPr="009B03B8">
        <w:rPr>
          <w:rFonts w:cs="Times New Roman"/>
          <w:color w:val="000000"/>
          <w:szCs w:val="24"/>
        </w:rPr>
        <w:t>Gomez</w:t>
      </w:r>
      <w:r>
        <w:rPr>
          <w:rFonts w:cs="Times New Roman"/>
          <w:color w:val="000000"/>
        </w:rPr>
        <w:t>-</w:t>
      </w:r>
      <w:proofErr w:type="spellStart"/>
      <w:r>
        <w:rPr>
          <w:rFonts w:cs="Times New Roman"/>
          <w:color w:val="000000"/>
        </w:rPr>
        <w:t>Tolosa</w:t>
      </w:r>
      <w:proofErr w:type="spellEnd"/>
      <w:r>
        <w:rPr>
          <w:rFonts w:cs="Times New Roman"/>
          <w:color w:val="000000"/>
        </w:rPr>
        <w:t xml:space="preserve"> et al. 2020</w:t>
      </w:r>
    </w:p>
    <w:p w14:paraId="0B051E82" w14:textId="77777777" w:rsidR="006A6772" w:rsidRDefault="006A6772" w:rsidP="006A6772">
      <w:pPr>
        <w:rPr>
          <w:b/>
          <w:bCs/>
        </w:rPr>
      </w:pPr>
    </w:p>
    <w:p w14:paraId="1D733801" w14:textId="77777777" w:rsidR="0019609F" w:rsidRDefault="0019609F" w:rsidP="006A6772">
      <w:pPr>
        <w:rPr>
          <w:b/>
          <w:bCs/>
        </w:rPr>
        <w:sectPr w:rsidR="0019609F">
          <w:pgSz w:w="12240" w:h="15840"/>
          <w:pgMar w:top="1440" w:right="1440" w:bottom="1440" w:left="1440" w:header="720" w:footer="720" w:gutter="0"/>
          <w:cols w:space="720"/>
          <w:docGrid w:linePitch="360"/>
        </w:sectPr>
      </w:pPr>
    </w:p>
    <w:p w14:paraId="5E7007BD" w14:textId="098DBC08" w:rsidR="006A6772" w:rsidRDefault="006A6772" w:rsidP="006A6772">
      <w:pPr>
        <w:rPr>
          <w:b/>
          <w:bCs/>
        </w:rPr>
      </w:pPr>
      <w:r w:rsidRPr="00A62C76">
        <w:rPr>
          <w:b/>
          <w:bCs/>
        </w:rPr>
        <w:lastRenderedPageBreak/>
        <w:t>% Predator taxa (</w:t>
      </w:r>
      <w:r w:rsidRPr="002A3BDD">
        <w:rPr>
          <w:b/>
          <w:bCs/>
        </w:rPr>
        <w:t xml:space="preserve">Percent </w:t>
      </w:r>
      <w:r>
        <w:rPr>
          <w:b/>
          <w:bCs/>
        </w:rPr>
        <w:t>taxa</w:t>
      </w:r>
      <w:r w:rsidRPr="002A3BDD">
        <w:rPr>
          <w:b/>
          <w:bCs/>
        </w:rPr>
        <w:t xml:space="preserve"> of </w:t>
      </w:r>
      <w:r>
        <w:rPr>
          <w:b/>
          <w:bCs/>
        </w:rPr>
        <w:t xml:space="preserve">the </w:t>
      </w:r>
      <w:r w:rsidRPr="002A3BDD">
        <w:rPr>
          <w:b/>
          <w:bCs/>
        </w:rPr>
        <w:t>predator (PR) Functional Feeding Group</w:t>
      </w:r>
      <w:r>
        <w:rPr>
          <w:b/>
          <w:bCs/>
        </w:rPr>
        <w:t>)</w:t>
      </w:r>
      <w:r w:rsidRPr="002A3BDD">
        <w:rPr>
          <w:b/>
          <w:bCs/>
        </w:rPr>
        <w:t xml:space="preserve"> </w:t>
      </w:r>
      <w:r w:rsidRPr="00A62C76">
        <w:rPr>
          <w:b/>
          <w:bCs/>
        </w:rPr>
        <w:t>(</w:t>
      </w:r>
      <w:proofErr w:type="spellStart"/>
      <w:r w:rsidRPr="00A62C76">
        <w:rPr>
          <w:b/>
          <w:bCs/>
        </w:rPr>
        <w:t>pt_ffg_pred</w:t>
      </w:r>
      <w:proofErr w:type="spellEnd"/>
      <w:r w:rsidRPr="00A62C76">
        <w:rPr>
          <w:b/>
          <w:bCs/>
        </w:rPr>
        <w:t xml:space="preserve">) </w:t>
      </w:r>
    </w:p>
    <w:p w14:paraId="0AE5C570" w14:textId="77777777" w:rsidR="006A6772" w:rsidRDefault="006A6772" w:rsidP="006A6772">
      <w:pPr>
        <w:ind w:left="360"/>
      </w:pPr>
      <w:r>
        <w:rPr>
          <w:i/>
          <w:iCs/>
        </w:rPr>
        <w:t xml:space="preserve">Description: </w:t>
      </w:r>
      <w:r>
        <w:t>Of all taxa, the percentage of taxa that consume other organisms using different strategies to capture them</w:t>
      </w:r>
    </w:p>
    <w:p w14:paraId="2BD4231E" w14:textId="77777777" w:rsidR="006A6772" w:rsidRPr="00AE498E" w:rsidRDefault="006A6772" w:rsidP="006A6772">
      <w:pPr>
        <w:ind w:left="360"/>
      </w:pPr>
      <w:r>
        <w:tab/>
      </w:r>
      <w:r w:rsidRPr="00A5251E">
        <w:t>Predators employ a diversity of strategies for capturing prey, including modified mouth parts and behavior.</w:t>
      </w:r>
      <w:r>
        <w:t xml:space="preserve"> Some species of invertebrates are predators in both the larval and adult stages of their life. </w:t>
      </w:r>
    </w:p>
    <w:p w14:paraId="0454100B" w14:textId="77777777" w:rsidR="006A6772" w:rsidRPr="008B7BED" w:rsidRDefault="006A6772" w:rsidP="006A6772">
      <w:pPr>
        <w:ind w:left="360"/>
        <w:rPr>
          <w:rFonts w:cs="Times New Roman"/>
          <w:szCs w:val="24"/>
        </w:rPr>
      </w:pPr>
      <w:r>
        <w:rPr>
          <w:i/>
          <w:iCs/>
        </w:rPr>
        <w:t xml:space="preserve">Metric Category: </w:t>
      </w:r>
      <w:r w:rsidRPr="00691E8D">
        <w:rPr>
          <w:rFonts w:cs="Times New Roman"/>
          <w:color w:val="000000"/>
        </w:rPr>
        <w:t>Functional Feeding Groups</w:t>
      </w:r>
      <w:r>
        <w:rPr>
          <w:rFonts w:cs="Times New Roman"/>
          <w:color w:val="000000"/>
        </w:rPr>
        <w:tab/>
      </w:r>
      <w:r>
        <w:rPr>
          <w:rFonts w:cs="Times New Roman"/>
          <w:color w:val="000000"/>
        </w:rPr>
        <w:tab/>
      </w:r>
    </w:p>
    <w:p w14:paraId="27F816D1" w14:textId="77777777" w:rsidR="006A6772" w:rsidRPr="00EF61B3" w:rsidRDefault="006A6772" w:rsidP="006A6772">
      <w:pPr>
        <w:ind w:left="360"/>
      </w:pPr>
      <w:r>
        <w:rPr>
          <w:i/>
          <w:iCs/>
        </w:rPr>
        <w:t xml:space="preserve">Trend: </w:t>
      </w:r>
      <w:r w:rsidRPr="00F367AD">
        <w:rPr>
          <w:rFonts w:cs="Times New Roman"/>
          <w:color w:val="000000"/>
          <w:szCs w:val="24"/>
        </w:rPr>
        <w:t>Expected to decrease with stress</w:t>
      </w:r>
      <w:r>
        <w:rPr>
          <w:rFonts w:cs="Times New Roman"/>
          <w:color w:val="000000"/>
          <w:szCs w:val="24"/>
        </w:rPr>
        <w:t xml:space="preserve"> and decreases </w:t>
      </w:r>
      <w:r w:rsidRPr="00EF61B3">
        <w:rPr>
          <w:rFonts w:cs="Times New Roman"/>
          <w:color w:val="000000"/>
          <w:szCs w:val="24"/>
        </w:rPr>
        <w:t xml:space="preserve">in the </w:t>
      </w:r>
      <w:r>
        <w:rPr>
          <w:rFonts w:cs="Times New Roman"/>
          <w:color w:val="000000"/>
          <w:szCs w:val="24"/>
        </w:rPr>
        <w:t>SNEP</w:t>
      </w:r>
      <w:r w:rsidRPr="00EF61B3">
        <w:rPr>
          <w:rFonts w:cs="Times New Roman"/>
          <w:color w:val="000000"/>
          <w:szCs w:val="24"/>
        </w:rPr>
        <w:t xml:space="preserve"> dataset.</w:t>
      </w:r>
    </w:p>
    <w:p w14:paraId="739018D4" w14:textId="77777777" w:rsidR="006A6772" w:rsidRDefault="006A6772" w:rsidP="006A6772">
      <w:pPr>
        <w:rPr>
          <w:rFonts w:cs="Times New Roman"/>
          <w:color w:val="000000"/>
        </w:rPr>
      </w:pPr>
      <w:r w:rsidRPr="00EF61B3">
        <w:rPr>
          <w:i/>
          <w:iCs/>
        </w:rPr>
        <w:t xml:space="preserve">References: </w:t>
      </w:r>
      <w:proofErr w:type="spellStart"/>
      <w:r w:rsidRPr="00201035">
        <w:rPr>
          <w:rFonts w:cs="Times New Roman"/>
          <w:color w:val="000000"/>
          <w:szCs w:val="24"/>
          <w:shd w:val="clear" w:color="auto" w:fill="FFFFFF"/>
        </w:rPr>
        <w:t>Kerans</w:t>
      </w:r>
      <w:proofErr w:type="spellEnd"/>
      <w:r>
        <w:rPr>
          <w:rFonts w:cs="Times New Roman"/>
          <w:color w:val="000000"/>
          <w:szCs w:val="24"/>
          <w:shd w:val="clear" w:color="auto" w:fill="FFFFFF"/>
        </w:rPr>
        <w:t xml:space="preserve"> and</w:t>
      </w:r>
      <w:r w:rsidRPr="00201035">
        <w:rPr>
          <w:rFonts w:cs="Times New Roman"/>
          <w:color w:val="000000"/>
          <w:szCs w:val="24"/>
          <w:shd w:val="clear" w:color="auto" w:fill="FFFFFF"/>
        </w:rPr>
        <w:t xml:space="preserve"> Karr</w:t>
      </w:r>
      <w:r>
        <w:rPr>
          <w:rFonts w:cs="Times New Roman"/>
          <w:color w:val="000000"/>
          <w:szCs w:val="24"/>
          <w:shd w:val="clear" w:color="auto" w:fill="FFFFFF"/>
        </w:rPr>
        <w:t xml:space="preserve"> 1994</w:t>
      </w:r>
      <w:r>
        <w:rPr>
          <w:rFonts w:cs="Times New Roman"/>
          <w:color w:val="000000"/>
        </w:rPr>
        <w:t>;</w:t>
      </w:r>
      <w:r w:rsidRPr="00201035">
        <w:rPr>
          <w:rFonts w:cs="Times New Roman"/>
          <w:color w:val="000000"/>
        </w:rPr>
        <w:t xml:space="preserve"> </w:t>
      </w:r>
      <w:r w:rsidRPr="00EF61B3">
        <w:rPr>
          <w:rFonts w:cs="Times New Roman"/>
          <w:color w:val="000000"/>
        </w:rPr>
        <w:t>Merritt et al. 2008; Hutchens et al. 2009</w:t>
      </w:r>
      <w:r>
        <w:rPr>
          <w:rFonts w:cs="Times New Roman"/>
          <w:color w:val="000000"/>
        </w:rPr>
        <w:t>; Xu et al. 2014</w:t>
      </w:r>
      <w:r w:rsidRPr="00EF61B3">
        <w:rPr>
          <w:rFonts w:cs="Times New Roman"/>
          <w:color w:val="000000"/>
        </w:rPr>
        <w:t xml:space="preserve">; Lan Fu et al. </w:t>
      </w:r>
      <w:proofErr w:type="gramStart"/>
      <w:r w:rsidRPr="00EF61B3">
        <w:rPr>
          <w:rFonts w:cs="Times New Roman"/>
          <w:color w:val="000000"/>
        </w:rPr>
        <w:t>2016</w:t>
      </w:r>
      <w:r>
        <w:rPr>
          <w:rFonts w:cs="Times New Roman"/>
          <w:color w:val="000000"/>
        </w:rPr>
        <w:t>;</w:t>
      </w:r>
      <w:proofErr w:type="gramEnd"/>
      <w:r>
        <w:rPr>
          <w:rFonts w:cs="Times New Roman"/>
          <w:color w:val="000000"/>
        </w:rPr>
        <w:t xml:space="preserve"> </w:t>
      </w:r>
    </w:p>
    <w:p w14:paraId="7A157319" w14:textId="77777777" w:rsidR="006A6772" w:rsidRPr="007361E6" w:rsidRDefault="006A6772" w:rsidP="006A6772">
      <w:pPr>
        <w:ind w:left="360"/>
        <w:rPr>
          <w:i/>
          <w:iCs/>
        </w:rPr>
      </w:pPr>
    </w:p>
    <w:p w14:paraId="23ED907A" w14:textId="77777777" w:rsidR="006A6772" w:rsidRPr="00450B2B" w:rsidRDefault="006A6772" w:rsidP="006A6772">
      <w:pPr>
        <w:rPr>
          <w:b/>
          <w:bCs/>
        </w:rPr>
      </w:pPr>
      <w:r w:rsidRPr="00450B2B">
        <w:rPr>
          <w:b/>
          <w:bCs/>
        </w:rPr>
        <w:t>% Tolerant taxa (Percent tolerant taxa with tolerance value ≥ 7) (</w:t>
      </w:r>
      <w:proofErr w:type="spellStart"/>
      <w:r w:rsidRPr="00450B2B">
        <w:rPr>
          <w:b/>
          <w:bCs/>
        </w:rPr>
        <w:t>pt_tv_toler</w:t>
      </w:r>
      <w:proofErr w:type="spellEnd"/>
      <w:r w:rsidRPr="00450B2B">
        <w:rPr>
          <w:b/>
          <w:bCs/>
        </w:rPr>
        <w:t>)</w:t>
      </w:r>
    </w:p>
    <w:p w14:paraId="6BCC5EAD" w14:textId="77777777" w:rsidR="006A6772" w:rsidRPr="00450B2B" w:rsidRDefault="006A6772" w:rsidP="006A6772">
      <w:pPr>
        <w:ind w:left="360"/>
      </w:pPr>
      <w:r w:rsidRPr="00450B2B">
        <w:rPr>
          <w:i/>
          <w:iCs/>
        </w:rPr>
        <w:t xml:space="preserve">Description: </w:t>
      </w:r>
      <w:r w:rsidRPr="00450B2B">
        <w:rPr>
          <w:rFonts w:cs="Times New Roman"/>
          <w:color w:val="000000"/>
          <w:szCs w:val="24"/>
        </w:rPr>
        <w:t xml:space="preserve">Of all taxa, the percentage of taxa </w:t>
      </w:r>
      <w:r w:rsidRPr="00450B2B">
        <w:t>that are relatively tolerant to stressors</w:t>
      </w:r>
    </w:p>
    <w:p w14:paraId="1A590232" w14:textId="77777777" w:rsidR="006A6772" w:rsidRPr="00450B2B" w:rsidRDefault="006A6772" w:rsidP="006A6772">
      <w:pPr>
        <w:ind w:left="360"/>
      </w:pPr>
      <w:r w:rsidRPr="00450B2B">
        <w:tab/>
        <w:t xml:space="preserve">Taxa respond differently to environmental stressors, therefore, can be arranged on a continuum from intolerant to tolerant. Intolerant taxa will emigrate or perish as environmental conditions worsen. Conversely, tolerant taxa may not respond negatively to environmental conditions and may actually increase as niches open from extirpated intolerant taxa. </w:t>
      </w:r>
    </w:p>
    <w:p w14:paraId="63B5E8A4" w14:textId="77777777" w:rsidR="006A6772" w:rsidRPr="00450B2B" w:rsidRDefault="006A6772" w:rsidP="006A6772">
      <w:pPr>
        <w:ind w:left="360"/>
      </w:pPr>
      <w:r w:rsidRPr="00450B2B">
        <w:rPr>
          <w:i/>
          <w:iCs/>
        </w:rPr>
        <w:t xml:space="preserve">Metric Category: </w:t>
      </w:r>
      <w:r w:rsidRPr="00450B2B">
        <w:t>Tolerance</w:t>
      </w:r>
      <w:r w:rsidRPr="00450B2B">
        <w:tab/>
      </w:r>
      <w:r w:rsidRPr="00450B2B">
        <w:tab/>
      </w:r>
    </w:p>
    <w:p w14:paraId="54AAC96C" w14:textId="77777777" w:rsidR="006A6772" w:rsidRPr="00450B2B" w:rsidRDefault="006A6772" w:rsidP="006A6772">
      <w:pPr>
        <w:ind w:left="360"/>
      </w:pPr>
      <w:r w:rsidRPr="00450B2B">
        <w:rPr>
          <w:i/>
          <w:iCs/>
        </w:rPr>
        <w:t xml:space="preserve">Trend: </w:t>
      </w:r>
      <w:r w:rsidRPr="00450B2B">
        <w:t>Expected to increase with stress and increases in the SNEP dataset.</w:t>
      </w:r>
    </w:p>
    <w:p w14:paraId="36FE1904" w14:textId="77777777" w:rsidR="006A6772" w:rsidRPr="003373D5" w:rsidRDefault="006A6772" w:rsidP="006A6772">
      <w:pPr>
        <w:ind w:left="360"/>
      </w:pPr>
      <w:r w:rsidRPr="00450B2B">
        <w:rPr>
          <w:i/>
          <w:iCs/>
        </w:rPr>
        <w:t xml:space="preserve">References: </w:t>
      </w:r>
      <w:proofErr w:type="spellStart"/>
      <w:r w:rsidRPr="00450B2B">
        <w:t>Hilsenhoff</w:t>
      </w:r>
      <w:proofErr w:type="spellEnd"/>
      <w:r w:rsidRPr="00450B2B">
        <w:t xml:space="preserve"> 1987; Yuan 2006; Megan et al. 2007; USGS 2013</w:t>
      </w:r>
    </w:p>
    <w:p w14:paraId="4D126DB1" w14:textId="77777777" w:rsidR="006A6772" w:rsidRDefault="006A6772" w:rsidP="006A6772"/>
    <w:p w14:paraId="570704D4" w14:textId="77777777" w:rsidR="006A6772" w:rsidRPr="00446608" w:rsidRDefault="006A6772" w:rsidP="006A6772">
      <w:pPr>
        <w:rPr>
          <w:b/>
          <w:bCs/>
        </w:rPr>
      </w:pPr>
      <w:r w:rsidRPr="00446608">
        <w:rPr>
          <w:b/>
          <w:bCs/>
        </w:rPr>
        <w:t xml:space="preserve">% Semivoltine taxa </w:t>
      </w:r>
      <w:r w:rsidRPr="00450B2B">
        <w:rPr>
          <w:b/>
          <w:bCs/>
        </w:rPr>
        <w:t xml:space="preserve">(Percent </w:t>
      </w:r>
      <w:r>
        <w:rPr>
          <w:b/>
          <w:bCs/>
        </w:rPr>
        <w:t>Semivoltine</w:t>
      </w:r>
      <w:r w:rsidRPr="00450B2B">
        <w:rPr>
          <w:b/>
          <w:bCs/>
        </w:rPr>
        <w:t xml:space="preserve"> taxa) </w:t>
      </w:r>
      <w:r w:rsidRPr="00446608">
        <w:rPr>
          <w:b/>
          <w:bCs/>
        </w:rPr>
        <w:t>(</w:t>
      </w:r>
      <w:proofErr w:type="spellStart"/>
      <w:r w:rsidRPr="00446608">
        <w:rPr>
          <w:b/>
          <w:bCs/>
        </w:rPr>
        <w:t>pt_volt_semi</w:t>
      </w:r>
      <w:proofErr w:type="spellEnd"/>
      <w:r w:rsidRPr="00446608">
        <w:rPr>
          <w:b/>
          <w:bCs/>
        </w:rPr>
        <w:t>)</w:t>
      </w:r>
    </w:p>
    <w:p w14:paraId="43511793" w14:textId="77777777" w:rsidR="006A6772" w:rsidRPr="00450B2B" w:rsidRDefault="006A6772" w:rsidP="006A6772">
      <w:pPr>
        <w:ind w:left="360"/>
      </w:pPr>
      <w:r w:rsidRPr="00450B2B">
        <w:rPr>
          <w:i/>
          <w:iCs/>
        </w:rPr>
        <w:t xml:space="preserve">Description: </w:t>
      </w:r>
      <w:r w:rsidRPr="00450B2B">
        <w:rPr>
          <w:rFonts w:cs="Times New Roman"/>
          <w:color w:val="000000"/>
          <w:szCs w:val="24"/>
        </w:rPr>
        <w:t xml:space="preserve">Of all taxa, the percentage of taxa </w:t>
      </w:r>
      <w:r w:rsidRPr="00450B2B">
        <w:t xml:space="preserve">that </w:t>
      </w:r>
      <w:r>
        <w:t>require more than one year in a reproduction cycle</w:t>
      </w:r>
    </w:p>
    <w:p w14:paraId="19024516" w14:textId="77777777" w:rsidR="006A6772" w:rsidRPr="00450B2B" w:rsidRDefault="006A6772" w:rsidP="006A6772">
      <w:pPr>
        <w:ind w:left="360"/>
      </w:pPr>
      <w:r w:rsidRPr="00450B2B">
        <w:tab/>
        <w:t xml:space="preserve">Taxa respond differently to environmental stressors, therefore, can be arranged on a continuum from intolerant to tolerant. Intolerant taxa will emigrate or perish as environmental conditions worsen. Conversely, tolerant taxa may not respond negatively to environmental conditions and may actually increase as niches open from extirpated intolerant taxa. </w:t>
      </w:r>
    </w:p>
    <w:p w14:paraId="072118F0" w14:textId="77777777" w:rsidR="006A6772" w:rsidRPr="00450B2B" w:rsidRDefault="006A6772" w:rsidP="006A6772">
      <w:pPr>
        <w:ind w:left="360"/>
      </w:pPr>
      <w:r w:rsidRPr="00450B2B">
        <w:rPr>
          <w:i/>
          <w:iCs/>
        </w:rPr>
        <w:t xml:space="preserve">Metric Category: </w:t>
      </w:r>
      <w:r>
        <w:t>Voltinism</w:t>
      </w:r>
      <w:r w:rsidRPr="00450B2B">
        <w:tab/>
      </w:r>
      <w:r w:rsidRPr="00450B2B">
        <w:tab/>
      </w:r>
    </w:p>
    <w:p w14:paraId="1BC66EA8" w14:textId="77777777" w:rsidR="006A6772" w:rsidRPr="00450B2B" w:rsidRDefault="006A6772" w:rsidP="006A6772">
      <w:pPr>
        <w:ind w:left="360"/>
      </w:pPr>
      <w:r w:rsidRPr="00450B2B">
        <w:rPr>
          <w:i/>
          <w:iCs/>
        </w:rPr>
        <w:t xml:space="preserve">Trend: </w:t>
      </w:r>
      <w:r w:rsidRPr="00450B2B">
        <w:t>Expected to increase with stress and increases in the SNEP dataset.</w:t>
      </w:r>
    </w:p>
    <w:p w14:paraId="268FD0BD" w14:textId="77777777" w:rsidR="006A6772" w:rsidRPr="003373D5" w:rsidRDefault="006A6772" w:rsidP="006A6772">
      <w:pPr>
        <w:ind w:left="360"/>
      </w:pPr>
      <w:r w:rsidRPr="00450B2B">
        <w:rPr>
          <w:i/>
          <w:iCs/>
        </w:rPr>
        <w:t xml:space="preserve">References: </w:t>
      </w:r>
      <w:r>
        <w:t xml:space="preserve">Barbour et al. 1994; </w:t>
      </w:r>
      <w:proofErr w:type="spellStart"/>
      <w:r>
        <w:t>Dole´dec</w:t>
      </w:r>
      <w:proofErr w:type="spellEnd"/>
      <w:r>
        <w:t xml:space="preserve"> et al. 2006; </w:t>
      </w:r>
      <w:proofErr w:type="spellStart"/>
      <w:r>
        <w:t>Statzner</w:t>
      </w:r>
      <w:proofErr w:type="spellEnd"/>
      <w:r>
        <w:t xml:space="preserve"> and </w:t>
      </w:r>
      <w:proofErr w:type="spellStart"/>
      <w:r>
        <w:t>Beˆche</w:t>
      </w:r>
      <w:proofErr w:type="spellEnd"/>
      <w:r>
        <w:t xml:space="preserve"> 2010</w:t>
      </w:r>
    </w:p>
    <w:p w14:paraId="7647B4DA" w14:textId="77777777" w:rsidR="006A6772" w:rsidRDefault="006A6772" w:rsidP="006A6772">
      <w:pPr>
        <w:rPr>
          <w:i/>
          <w:iCs/>
        </w:rPr>
      </w:pPr>
    </w:p>
    <w:p w14:paraId="51387B9E" w14:textId="77777777" w:rsidR="0019609F" w:rsidRDefault="0019609F" w:rsidP="006A6772">
      <w:pPr>
        <w:rPr>
          <w:b/>
          <w:bCs/>
          <w:i/>
          <w:iCs/>
        </w:rPr>
        <w:sectPr w:rsidR="0019609F">
          <w:pgSz w:w="12240" w:h="15840"/>
          <w:pgMar w:top="1440" w:right="1440" w:bottom="1440" w:left="1440" w:header="720" w:footer="720" w:gutter="0"/>
          <w:cols w:space="720"/>
          <w:docGrid w:linePitch="360"/>
        </w:sectPr>
      </w:pPr>
    </w:p>
    <w:p w14:paraId="37F2195D" w14:textId="68384192" w:rsidR="006A6772" w:rsidRDefault="006A6772" w:rsidP="006A6772">
      <w:pPr>
        <w:rPr>
          <w:b/>
          <w:bCs/>
          <w:i/>
          <w:iCs/>
        </w:rPr>
      </w:pPr>
      <w:r>
        <w:rPr>
          <w:b/>
          <w:bCs/>
          <w:i/>
          <w:iCs/>
        </w:rPr>
        <w:lastRenderedPageBreak/>
        <w:t>References:</w:t>
      </w:r>
    </w:p>
    <w:p w14:paraId="5DC3DC86" w14:textId="77777777" w:rsidR="006A6772" w:rsidRDefault="006A6772" w:rsidP="006A6772">
      <w:pPr>
        <w:autoSpaceDE w:val="0"/>
        <w:autoSpaceDN w:val="0"/>
        <w:adjustRightInd w:val="0"/>
        <w:snapToGrid w:val="0"/>
        <w:rPr>
          <w:rFonts w:cs="Times New Roman"/>
          <w:color w:val="000000"/>
        </w:rPr>
      </w:pPr>
      <w:r>
        <w:rPr>
          <w:color w:val="222222"/>
        </w:rPr>
        <w:t xml:space="preserve">Angradi, T.R., 1999. Fine sediment and macroinvertebrate assemblages in Appalachian streams: a field experiment with biomonitoring applications. </w:t>
      </w:r>
      <w:r>
        <w:rPr>
          <w:i/>
          <w:iCs/>
          <w:color w:val="222222"/>
        </w:rPr>
        <w:t xml:space="preserve">Journal of the North American </w:t>
      </w:r>
      <w:proofErr w:type="spellStart"/>
      <w:r>
        <w:rPr>
          <w:i/>
          <w:iCs/>
          <w:color w:val="222222"/>
        </w:rPr>
        <w:t>Benthological</w:t>
      </w:r>
      <w:proofErr w:type="spellEnd"/>
      <w:r>
        <w:rPr>
          <w:i/>
          <w:iCs/>
          <w:color w:val="222222"/>
        </w:rPr>
        <w:t xml:space="preserve"> Society</w:t>
      </w:r>
      <w:r>
        <w:rPr>
          <w:color w:val="222222"/>
        </w:rPr>
        <w:t xml:space="preserve">, </w:t>
      </w:r>
      <w:r>
        <w:rPr>
          <w:i/>
          <w:iCs/>
          <w:color w:val="222222"/>
        </w:rPr>
        <w:t>18</w:t>
      </w:r>
      <w:r>
        <w:rPr>
          <w:color w:val="222222"/>
        </w:rPr>
        <w:t>(1):49-66.</w:t>
      </w:r>
    </w:p>
    <w:p w14:paraId="3DEFF56B" w14:textId="77777777" w:rsidR="006A6772" w:rsidRDefault="006A6772" w:rsidP="006A6772">
      <w:r>
        <w:t xml:space="preserve">Barbour, M.T., J. Gerritsen, B.D. Snyder, and J.B. Stribling. 1999. Rapid Bioassessment Protocols for Use in Streams and </w:t>
      </w:r>
      <w:proofErr w:type="spellStart"/>
      <w:r>
        <w:t>Wadeable</w:t>
      </w:r>
      <w:proofErr w:type="spellEnd"/>
      <w:r>
        <w:t xml:space="preserve"> Rivers: Periphyton, Benthic Macroinvertebrates and Fish, Second Edition. EPA 841-B-99-002. U.S. Environmental Protection Agency; Office of Water; Washington, D.C.</w:t>
      </w:r>
    </w:p>
    <w:p w14:paraId="39A6E390" w14:textId="77777777" w:rsidR="006A6772" w:rsidRDefault="006A6772" w:rsidP="006A6772">
      <w:r>
        <w:t>Barbour, M.T., M.L. Bowman, and J.S. White. 1994. Evaluation of the biological condition of streams in the Middle Rockies - Central ecoregion. Prepared for Wyoming Department of Environmental Quality.</w:t>
      </w:r>
    </w:p>
    <w:p w14:paraId="5274CF0C" w14:textId="77777777" w:rsidR="006A6772" w:rsidRDefault="006A6772" w:rsidP="006A6772">
      <w:proofErr w:type="spellStart"/>
      <w:r>
        <w:t>Dole´dec</w:t>
      </w:r>
      <w:proofErr w:type="spellEnd"/>
      <w:r>
        <w:t xml:space="preserve"> S.,</w:t>
      </w:r>
      <w:r w:rsidRPr="003F64D5">
        <w:t xml:space="preserve"> </w:t>
      </w:r>
      <w:r>
        <w:t>N. Phillips,</w:t>
      </w:r>
      <w:r w:rsidRPr="003F64D5">
        <w:t xml:space="preserve"> </w:t>
      </w:r>
      <w:r>
        <w:t xml:space="preserve">M. </w:t>
      </w:r>
      <w:proofErr w:type="spellStart"/>
      <w:r>
        <w:t>Scarsbrook</w:t>
      </w:r>
      <w:proofErr w:type="spellEnd"/>
      <w:r>
        <w:t xml:space="preserve">, R.H. Riley, C.R. Townsend. 2006. Comparison of structural and functional approaches to determining </w:t>
      </w:r>
      <w:proofErr w:type="spellStart"/>
      <w:r>
        <w:t>landuse</w:t>
      </w:r>
      <w:proofErr w:type="spellEnd"/>
      <w:r>
        <w:t xml:space="preserve"> effects on grassland stream invertebrate communities. </w:t>
      </w:r>
      <w:r>
        <w:rPr>
          <w:i/>
          <w:iCs/>
          <w:color w:val="222222"/>
        </w:rPr>
        <w:t xml:space="preserve">Journal of the North American </w:t>
      </w:r>
      <w:proofErr w:type="spellStart"/>
      <w:r>
        <w:rPr>
          <w:i/>
          <w:iCs/>
          <w:color w:val="222222"/>
        </w:rPr>
        <w:t>Benthological</w:t>
      </w:r>
      <w:proofErr w:type="spellEnd"/>
      <w:r>
        <w:rPr>
          <w:i/>
          <w:iCs/>
          <w:color w:val="222222"/>
        </w:rPr>
        <w:t xml:space="preserve"> Society</w:t>
      </w:r>
      <w:r>
        <w:t xml:space="preserve"> 25: 44–60.</w:t>
      </w:r>
    </w:p>
    <w:p w14:paraId="6637E0FD" w14:textId="77777777" w:rsidR="006A6772" w:rsidRPr="009B03B8" w:rsidRDefault="006A6772" w:rsidP="006A6772">
      <w:pPr>
        <w:rPr>
          <w:rFonts w:cs="Times New Roman"/>
          <w:color w:val="222222"/>
          <w:szCs w:val="24"/>
          <w:shd w:val="clear" w:color="auto" w:fill="FFFFFF"/>
        </w:rPr>
      </w:pPr>
      <w:r w:rsidRPr="009B03B8">
        <w:rPr>
          <w:rFonts w:cs="Times New Roman"/>
          <w:color w:val="222222"/>
          <w:szCs w:val="24"/>
          <w:shd w:val="clear" w:color="auto" w:fill="FFFFFF"/>
        </w:rPr>
        <w:t>Gómez-</w:t>
      </w:r>
      <w:proofErr w:type="spellStart"/>
      <w:r w:rsidRPr="009B03B8">
        <w:rPr>
          <w:rFonts w:cs="Times New Roman"/>
          <w:color w:val="222222"/>
          <w:szCs w:val="24"/>
          <w:shd w:val="clear" w:color="auto" w:fill="FFFFFF"/>
        </w:rPr>
        <w:t>Tolosa</w:t>
      </w:r>
      <w:proofErr w:type="spellEnd"/>
      <w:r w:rsidRPr="009B03B8">
        <w:rPr>
          <w:rFonts w:cs="Times New Roman"/>
          <w:color w:val="222222"/>
          <w:szCs w:val="24"/>
          <w:shd w:val="clear" w:color="auto" w:fill="FFFFFF"/>
        </w:rPr>
        <w:t>, M., Rivera-Velázquez, G., Rioja-</w:t>
      </w:r>
      <w:proofErr w:type="spellStart"/>
      <w:r w:rsidRPr="009B03B8">
        <w:rPr>
          <w:rFonts w:cs="Times New Roman"/>
          <w:color w:val="222222"/>
          <w:szCs w:val="24"/>
          <w:shd w:val="clear" w:color="auto" w:fill="FFFFFF"/>
        </w:rPr>
        <w:t>Paradela</w:t>
      </w:r>
      <w:proofErr w:type="spellEnd"/>
      <w:r w:rsidRPr="009B03B8">
        <w:rPr>
          <w:rFonts w:cs="Times New Roman"/>
          <w:color w:val="222222"/>
          <w:szCs w:val="24"/>
          <w:shd w:val="clear" w:color="auto" w:fill="FFFFFF"/>
        </w:rPr>
        <w:t>, T.M., Mendoza-Cuenca, L.F., Tejeda-Cruz, C. and López, S., 2020. The use of Odonata species for environmental assessment: a meta-analysis for the Neotropical region. </w:t>
      </w:r>
      <w:r w:rsidRPr="009B03B8">
        <w:rPr>
          <w:rFonts w:cs="Times New Roman"/>
          <w:i/>
          <w:iCs/>
          <w:color w:val="222222"/>
          <w:szCs w:val="24"/>
          <w:shd w:val="clear" w:color="auto" w:fill="FFFFFF"/>
        </w:rPr>
        <w:t>Environmental Science and Pollution Research</w:t>
      </w:r>
      <w:r w:rsidRPr="009B03B8">
        <w:rPr>
          <w:rFonts w:cs="Times New Roman"/>
          <w:color w:val="222222"/>
          <w:szCs w:val="24"/>
          <w:shd w:val="clear" w:color="auto" w:fill="FFFFFF"/>
        </w:rPr>
        <w:t>, pp.1-16.</w:t>
      </w:r>
    </w:p>
    <w:p w14:paraId="08BF3DC1" w14:textId="77777777" w:rsidR="006A6772" w:rsidRPr="009B03B8" w:rsidRDefault="006A6772" w:rsidP="006A6772">
      <w:pPr>
        <w:rPr>
          <w:rFonts w:cs="Times New Roman"/>
          <w:szCs w:val="24"/>
        </w:rPr>
      </w:pPr>
      <w:proofErr w:type="spellStart"/>
      <w:r w:rsidRPr="009B03B8">
        <w:rPr>
          <w:rFonts w:cs="Times New Roman"/>
          <w:szCs w:val="24"/>
        </w:rPr>
        <w:t>Hilsenhoff</w:t>
      </w:r>
      <w:proofErr w:type="spellEnd"/>
      <w:r w:rsidRPr="009B03B8">
        <w:rPr>
          <w:rFonts w:cs="Times New Roman"/>
          <w:szCs w:val="24"/>
        </w:rPr>
        <w:t xml:space="preserve">, W. L. 1987. An improved biotic index of organic stream pollution. </w:t>
      </w:r>
      <w:r w:rsidRPr="009B03B8">
        <w:rPr>
          <w:rFonts w:cs="Times New Roman"/>
          <w:i/>
          <w:iCs/>
          <w:szCs w:val="24"/>
        </w:rPr>
        <w:t>The Great Lakes Entomologist</w:t>
      </w:r>
      <w:r w:rsidRPr="009B03B8">
        <w:rPr>
          <w:rFonts w:cs="Times New Roman"/>
          <w:szCs w:val="24"/>
        </w:rPr>
        <w:t>, 20(1):7.</w:t>
      </w:r>
    </w:p>
    <w:p w14:paraId="2BB0C18C" w14:textId="77777777" w:rsidR="006A6772" w:rsidRPr="009B03B8" w:rsidRDefault="006A6772" w:rsidP="006A6772">
      <w:pPr>
        <w:rPr>
          <w:rFonts w:cs="Times New Roman"/>
          <w:szCs w:val="24"/>
        </w:rPr>
      </w:pPr>
      <w:r w:rsidRPr="009B03B8">
        <w:rPr>
          <w:rFonts w:cs="Times New Roman"/>
          <w:szCs w:val="24"/>
        </w:rPr>
        <w:t xml:space="preserve">Hutchens Jr, J.J., J.A. Schuldt, C. Richards, L.B. Johnson, G.E. Host, and D.H. Breneman. 2009. Multi-scale mechanistic indicators of Midwestern USA stream macroinvertebrates. </w:t>
      </w:r>
      <w:r w:rsidRPr="009B03B8">
        <w:rPr>
          <w:rFonts w:cs="Times New Roman"/>
          <w:i/>
          <w:iCs/>
          <w:szCs w:val="24"/>
        </w:rPr>
        <w:t>Ecological Indicators</w:t>
      </w:r>
      <w:r w:rsidRPr="009B03B8">
        <w:rPr>
          <w:rFonts w:cs="Times New Roman"/>
          <w:szCs w:val="24"/>
        </w:rPr>
        <w:t>, 9(6):1138-1150.</w:t>
      </w:r>
    </w:p>
    <w:p w14:paraId="36FDE6AF" w14:textId="77777777" w:rsidR="006A6772" w:rsidRPr="00201035" w:rsidRDefault="006A6772" w:rsidP="006A6772">
      <w:pPr>
        <w:rPr>
          <w:rFonts w:cs="Times New Roman"/>
          <w:szCs w:val="24"/>
        </w:rPr>
      </w:pPr>
      <w:proofErr w:type="spellStart"/>
      <w:r w:rsidRPr="00201035">
        <w:rPr>
          <w:rFonts w:cs="Times New Roman"/>
          <w:color w:val="000000"/>
          <w:szCs w:val="24"/>
          <w:shd w:val="clear" w:color="auto" w:fill="FFFFFF"/>
        </w:rPr>
        <w:t>Kerans</w:t>
      </w:r>
      <w:proofErr w:type="spellEnd"/>
      <w:r w:rsidRPr="00201035">
        <w:rPr>
          <w:rFonts w:cs="Times New Roman"/>
          <w:color w:val="000000"/>
          <w:szCs w:val="24"/>
          <w:shd w:val="clear" w:color="auto" w:fill="FFFFFF"/>
        </w:rPr>
        <w:t>, B</w:t>
      </w:r>
      <w:r>
        <w:rPr>
          <w:rFonts w:cs="Times New Roman"/>
          <w:color w:val="000000"/>
          <w:szCs w:val="24"/>
          <w:shd w:val="clear" w:color="auto" w:fill="FFFFFF"/>
        </w:rPr>
        <w:t>.</w:t>
      </w:r>
      <w:r w:rsidRPr="00201035">
        <w:rPr>
          <w:rFonts w:cs="Times New Roman"/>
          <w:color w:val="000000"/>
          <w:szCs w:val="24"/>
          <w:shd w:val="clear" w:color="auto" w:fill="FFFFFF"/>
        </w:rPr>
        <w:t>L</w:t>
      </w:r>
      <w:r>
        <w:rPr>
          <w:rFonts w:cs="Times New Roman"/>
          <w:color w:val="000000"/>
          <w:szCs w:val="24"/>
          <w:shd w:val="clear" w:color="auto" w:fill="FFFFFF"/>
        </w:rPr>
        <w:t xml:space="preserve">. and </w:t>
      </w:r>
      <w:r w:rsidRPr="00201035">
        <w:rPr>
          <w:rFonts w:cs="Times New Roman"/>
          <w:color w:val="000000"/>
          <w:szCs w:val="24"/>
          <w:shd w:val="clear" w:color="auto" w:fill="FFFFFF"/>
        </w:rPr>
        <w:t>J</w:t>
      </w:r>
      <w:r>
        <w:rPr>
          <w:rFonts w:cs="Times New Roman"/>
          <w:color w:val="000000"/>
          <w:szCs w:val="24"/>
          <w:shd w:val="clear" w:color="auto" w:fill="FFFFFF"/>
        </w:rPr>
        <w:t>.</w:t>
      </w:r>
      <w:r w:rsidRPr="00201035">
        <w:rPr>
          <w:rFonts w:cs="Times New Roman"/>
          <w:color w:val="000000"/>
          <w:szCs w:val="24"/>
          <w:shd w:val="clear" w:color="auto" w:fill="FFFFFF"/>
        </w:rPr>
        <w:t>R</w:t>
      </w:r>
      <w:r>
        <w:rPr>
          <w:rFonts w:cs="Times New Roman"/>
          <w:color w:val="000000"/>
          <w:szCs w:val="24"/>
          <w:shd w:val="clear" w:color="auto" w:fill="FFFFFF"/>
        </w:rPr>
        <w:t>.</w:t>
      </w:r>
      <w:r w:rsidRPr="00201035">
        <w:rPr>
          <w:rFonts w:cs="Times New Roman"/>
          <w:color w:val="000000"/>
          <w:szCs w:val="24"/>
          <w:shd w:val="clear" w:color="auto" w:fill="FFFFFF"/>
        </w:rPr>
        <w:t xml:space="preserve"> Karr</w:t>
      </w:r>
      <w:r>
        <w:rPr>
          <w:rFonts w:cs="Times New Roman"/>
          <w:color w:val="000000"/>
          <w:szCs w:val="24"/>
          <w:shd w:val="clear" w:color="auto" w:fill="FFFFFF"/>
        </w:rPr>
        <w:t>.</w:t>
      </w:r>
      <w:r w:rsidRPr="00201035">
        <w:rPr>
          <w:rFonts w:cs="Times New Roman"/>
          <w:color w:val="000000"/>
          <w:szCs w:val="24"/>
          <w:shd w:val="clear" w:color="auto" w:fill="FFFFFF"/>
        </w:rPr>
        <w:t xml:space="preserve"> 1994</w:t>
      </w:r>
      <w:r>
        <w:rPr>
          <w:rFonts w:cs="Times New Roman"/>
          <w:color w:val="000000"/>
          <w:szCs w:val="24"/>
          <w:shd w:val="clear" w:color="auto" w:fill="FFFFFF"/>
        </w:rPr>
        <w:t>.</w:t>
      </w:r>
      <w:r w:rsidRPr="00201035">
        <w:rPr>
          <w:rFonts w:cs="Times New Roman"/>
          <w:color w:val="000000"/>
          <w:szCs w:val="24"/>
          <w:shd w:val="clear" w:color="auto" w:fill="FFFFFF"/>
        </w:rPr>
        <w:t xml:space="preserve"> A benthic index of biotic integrity (B-IBI) for rivers of the Tennessee Valley</w:t>
      </w:r>
      <w:r w:rsidRPr="00201035">
        <w:rPr>
          <w:rFonts w:cs="Times New Roman"/>
          <w:szCs w:val="24"/>
        </w:rPr>
        <w:t xml:space="preserve">. </w:t>
      </w:r>
      <w:r w:rsidRPr="00201035">
        <w:rPr>
          <w:rFonts w:cs="Times New Roman"/>
          <w:i/>
          <w:iCs/>
          <w:szCs w:val="24"/>
        </w:rPr>
        <w:t>Ecological Applications</w:t>
      </w:r>
      <w:r w:rsidRPr="00201035">
        <w:rPr>
          <w:rFonts w:cs="Times New Roman"/>
          <w:szCs w:val="24"/>
        </w:rPr>
        <w:t xml:space="preserve"> 4:768 - 785</w:t>
      </w:r>
    </w:p>
    <w:p w14:paraId="4587A4B6" w14:textId="77777777" w:rsidR="006A6772" w:rsidRPr="009B03B8" w:rsidRDefault="006A6772" w:rsidP="006A6772">
      <w:pPr>
        <w:rPr>
          <w:rFonts w:cs="Times New Roman"/>
          <w:szCs w:val="24"/>
        </w:rPr>
      </w:pPr>
      <w:r w:rsidRPr="009B03B8">
        <w:rPr>
          <w:rFonts w:cs="Times New Roman"/>
          <w:szCs w:val="24"/>
        </w:rPr>
        <w:t xml:space="preserve">Lan Fu, Yuan Jiang, Jiao Ding, Qi Liu, </w:t>
      </w:r>
      <w:proofErr w:type="spellStart"/>
      <w:r w:rsidRPr="009B03B8">
        <w:rPr>
          <w:rFonts w:cs="Times New Roman"/>
          <w:szCs w:val="24"/>
        </w:rPr>
        <w:t>Qiu-Zhi</w:t>
      </w:r>
      <w:proofErr w:type="spellEnd"/>
      <w:r w:rsidRPr="009B03B8">
        <w:rPr>
          <w:rFonts w:cs="Times New Roman"/>
          <w:szCs w:val="24"/>
        </w:rPr>
        <w:t xml:space="preserve"> Peng, and Mu-Yi Kang. 2016. Impacts of land use and environmental factors on macroinvertebrate functional feeding groups in the </w:t>
      </w:r>
      <w:proofErr w:type="spellStart"/>
      <w:r w:rsidRPr="009B03B8">
        <w:rPr>
          <w:rFonts w:cs="Times New Roman"/>
          <w:szCs w:val="24"/>
        </w:rPr>
        <w:t>Dongjiang</w:t>
      </w:r>
      <w:proofErr w:type="spellEnd"/>
      <w:r w:rsidRPr="009B03B8">
        <w:rPr>
          <w:rFonts w:cs="Times New Roman"/>
          <w:szCs w:val="24"/>
        </w:rPr>
        <w:t xml:space="preserve"> River basin, southeast China, </w:t>
      </w:r>
      <w:r w:rsidRPr="009B03B8">
        <w:rPr>
          <w:rFonts w:cs="Times New Roman"/>
          <w:i/>
          <w:iCs/>
          <w:szCs w:val="24"/>
        </w:rPr>
        <w:t>Journal of Freshwater Ecology</w:t>
      </w:r>
      <w:r w:rsidRPr="009B03B8">
        <w:rPr>
          <w:rFonts w:cs="Times New Roman"/>
          <w:szCs w:val="24"/>
        </w:rPr>
        <w:t>, 31(1):21-35. DOI: 10.1080/02705060.2015.1017847</w:t>
      </w:r>
    </w:p>
    <w:p w14:paraId="7FC6AB7C" w14:textId="77777777" w:rsidR="006A6772" w:rsidRPr="003373D5" w:rsidRDefault="006A6772" w:rsidP="006A6772">
      <w:r>
        <w:t>Megan, M.H., M.S. Nash, C. Neale, A.M. Pitchford. 2007. Biological integrity in mid-</w:t>
      </w:r>
      <w:proofErr w:type="spellStart"/>
      <w:r>
        <w:t>atlantic</w:t>
      </w:r>
      <w:proofErr w:type="spellEnd"/>
      <w:r>
        <w:t xml:space="preserve"> coastal plains headwater streams. </w:t>
      </w:r>
      <w:r w:rsidRPr="00450B2B">
        <w:rPr>
          <w:i/>
          <w:iCs/>
        </w:rPr>
        <w:t>Environmental Monitoring and Assessment</w:t>
      </w:r>
      <w:r>
        <w:t xml:space="preserve"> 124:141–156.</w:t>
      </w:r>
    </w:p>
    <w:p w14:paraId="03ADBE4B" w14:textId="77777777" w:rsidR="006A6772" w:rsidRPr="009B03B8" w:rsidRDefault="006A6772" w:rsidP="006A6772">
      <w:pPr>
        <w:rPr>
          <w:rFonts w:cs="Times New Roman"/>
          <w:szCs w:val="24"/>
        </w:rPr>
      </w:pPr>
      <w:r w:rsidRPr="009B03B8">
        <w:rPr>
          <w:rFonts w:cs="Times New Roman"/>
          <w:szCs w:val="24"/>
        </w:rPr>
        <w:t>Merritt, R. W., K. W. Cummins, and M. B. Berg. 2008. An introduction to the aquatic insects of North America. Fourth edition. Kendall, Dubuque, Iowa, USA.</w:t>
      </w:r>
    </w:p>
    <w:p w14:paraId="3B69FBAB" w14:textId="77777777" w:rsidR="006A6772" w:rsidRPr="009B03B8" w:rsidRDefault="006A6772" w:rsidP="006A6772">
      <w:pPr>
        <w:rPr>
          <w:rFonts w:cs="Times New Roman"/>
          <w:color w:val="222222"/>
          <w:szCs w:val="24"/>
          <w:shd w:val="clear" w:color="auto" w:fill="FFFFFF"/>
        </w:rPr>
      </w:pPr>
      <w:proofErr w:type="spellStart"/>
      <w:r w:rsidRPr="009B03B8">
        <w:rPr>
          <w:rFonts w:cs="Times New Roman"/>
          <w:color w:val="222222"/>
          <w:szCs w:val="24"/>
          <w:shd w:val="clear" w:color="auto" w:fill="FFFFFF"/>
        </w:rPr>
        <w:t>Onana</w:t>
      </w:r>
      <w:proofErr w:type="spellEnd"/>
      <w:r w:rsidRPr="009B03B8">
        <w:rPr>
          <w:rFonts w:cs="Times New Roman"/>
          <w:color w:val="222222"/>
          <w:szCs w:val="24"/>
          <w:shd w:val="clear" w:color="auto" w:fill="FFFFFF"/>
        </w:rPr>
        <w:t xml:space="preserve">, F.M., S.H.Z. </w:t>
      </w:r>
      <w:proofErr w:type="spellStart"/>
      <w:r w:rsidRPr="009B03B8">
        <w:rPr>
          <w:rFonts w:cs="Times New Roman"/>
          <w:color w:val="222222"/>
          <w:szCs w:val="24"/>
          <w:shd w:val="clear" w:color="auto" w:fill="FFFFFF"/>
        </w:rPr>
        <w:t>Togouet</w:t>
      </w:r>
      <w:proofErr w:type="spellEnd"/>
      <w:r w:rsidRPr="009B03B8">
        <w:rPr>
          <w:rFonts w:cs="Times New Roman"/>
          <w:color w:val="222222"/>
          <w:szCs w:val="24"/>
          <w:shd w:val="clear" w:color="auto" w:fill="FFFFFF"/>
        </w:rPr>
        <w:t xml:space="preserve">, A.A. </w:t>
      </w:r>
      <w:proofErr w:type="spellStart"/>
      <w:r w:rsidRPr="009B03B8">
        <w:rPr>
          <w:rFonts w:cs="Times New Roman"/>
          <w:color w:val="222222"/>
          <w:szCs w:val="24"/>
          <w:shd w:val="clear" w:color="auto" w:fill="FFFFFF"/>
        </w:rPr>
        <w:t>Tamsa</w:t>
      </w:r>
      <w:proofErr w:type="spellEnd"/>
      <w:r w:rsidRPr="009B03B8">
        <w:rPr>
          <w:rFonts w:cs="Times New Roman"/>
          <w:color w:val="222222"/>
          <w:szCs w:val="24"/>
          <w:shd w:val="clear" w:color="auto" w:fill="FFFFFF"/>
        </w:rPr>
        <w:t xml:space="preserve">, N.L.N. </w:t>
      </w:r>
      <w:proofErr w:type="spellStart"/>
      <w:r w:rsidRPr="009B03B8">
        <w:rPr>
          <w:rFonts w:cs="Times New Roman"/>
          <w:color w:val="222222"/>
          <w:szCs w:val="24"/>
          <w:shd w:val="clear" w:color="auto" w:fill="FFFFFF"/>
        </w:rPr>
        <w:t>Tchatcho</w:t>
      </w:r>
      <w:proofErr w:type="spellEnd"/>
      <w:r w:rsidRPr="009B03B8">
        <w:rPr>
          <w:rFonts w:cs="Times New Roman"/>
          <w:color w:val="222222"/>
          <w:szCs w:val="24"/>
          <w:shd w:val="clear" w:color="auto" w:fill="FFFFFF"/>
        </w:rPr>
        <w:t xml:space="preserve">, S. </w:t>
      </w:r>
      <w:proofErr w:type="spellStart"/>
      <w:r w:rsidRPr="009B03B8">
        <w:rPr>
          <w:rFonts w:cs="Times New Roman"/>
          <w:color w:val="222222"/>
          <w:szCs w:val="24"/>
          <w:shd w:val="clear" w:color="auto" w:fill="FFFFFF"/>
        </w:rPr>
        <w:t>Tchakonte</w:t>
      </w:r>
      <w:proofErr w:type="spellEnd"/>
      <w:r w:rsidRPr="009B03B8">
        <w:rPr>
          <w:rFonts w:cs="Times New Roman"/>
          <w:color w:val="222222"/>
          <w:szCs w:val="24"/>
          <w:shd w:val="clear" w:color="auto" w:fill="FFFFFF"/>
        </w:rPr>
        <w:t xml:space="preserve">, E. Koji, A.W.Y. </w:t>
      </w:r>
      <w:proofErr w:type="spellStart"/>
      <w:r w:rsidRPr="009B03B8">
        <w:rPr>
          <w:rFonts w:cs="Times New Roman"/>
          <w:color w:val="222222"/>
          <w:szCs w:val="24"/>
          <w:shd w:val="clear" w:color="auto" w:fill="FFFFFF"/>
        </w:rPr>
        <w:t>Yemeli</w:t>
      </w:r>
      <w:proofErr w:type="spellEnd"/>
      <w:r w:rsidRPr="009B03B8">
        <w:rPr>
          <w:rFonts w:cs="Times New Roman"/>
          <w:color w:val="222222"/>
          <w:szCs w:val="24"/>
          <w:shd w:val="clear" w:color="auto" w:fill="FFFFFF"/>
        </w:rPr>
        <w:t xml:space="preserve">, and A.N.S.M. </w:t>
      </w:r>
      <w:proofErr w:type="spellStart"/>
      <w:r w:rsidRPr="009B03B8">
        <w:rPr>
          <w:rFonts w:cs="Times New Roman"/>
          <w:color w:val="222222"/>
          <w:szCs w:val="24"/>
          <w:shd w:val="clear" w:color="auto" w:fill="FFFFFF"/>
        </w:rPr>
        <w:t>Makong</w:t>
      </w:r>
      <w:proofErr w:type="spellEnd"/>
      <w:r w:rsidRPr="009B03B8">
        <w:rPr>
          <w:rFonts w:cs="Times New Roman"/>
          <w:color w:val="222222"/>
          <w:szCs w:val="24"/>
          <w:shd w:val="clear" w:color="auto" w:fill="FFFFFF"/>
        </w:rPr>
        <w:t>. 2019. Comparing freshwater benthic macroinvertebrate communities in forest and urban streams of the coastal ecological region of Cameroon. </w:t>
      </w:r>
      <w:r w:rsidRPr="009B03B8">
        <w:rPr>
          <w:rFonts w:cs="Times New Roman"/>
          <w:i/>
          <w:iCs/>
          <w:color w:val="222222"/>
          <w:szCs w:val="24"/>
          <w:shd w:val="clear" w:color="auto" w:fill="FFFFFF"/>
        </w:rPr>
        <w:t>Open Journal of Ecology</w:t>
      </w:r>
      <w:r w:rsidRPr="009B03B8">
        <w:rPr>
          <w:rFonts w:cs="Times New Roman"/>
          <w:color w:val="222222"/>
          <w:szCs w:val="24"/>
          <w:shd w:val="clear" w:color="auto" w:fill="FFFFFF"/>
        </w:rPr>
        <w:t>, 9(12):521.</w:t>
      </w:r>
    </w:p>
    <w:p w14:paraId="6BE8A057" w14:textId="77777777" w:rsidR="006A6772" w:rsidRDefault="006A6772" w:rsidP="006A6772">
      <w:pPr>
        <w:rPr>
          <w:b/>
          <w:bCs/>
        </w:rPr>
      </w:pPr>
      <w:proofErr w:type="spellStart"/>
      <w:r>
        <w:t>Statzner</w:t>
      </w:r>
      <w:proofErr w:type="spellEnd"/>
      <w:r>
        <w:t xml:space="preserve"> B. and L. </w:t>
      </w:r>
      <w:proofErr w:type="spellStart"/>
      <w:r>
        <w:t>Beˆche</w:t>
      </w:r>
      <w:proofErr w:type="spellEnd"/>
      <w:r>
        <w:t xml:space="preserve">. 2010. Can biological invertebrate traits resolve effects of multiple stressors on running water ecosystems? </w:t>
      </w:r>
      <w:r w:rsidRPr="00302E38">
        <w:rPr>
          <w:i/>
          <w:iCs/>
        </w:rPr>
        <w:t>Freshwater Biology</w:t>
      </w:r>
      <w:r>
        <w:t xml:space="preserve"> 55: 80–119.</w:t>
      </w:r>
    </w:p>
    <w:p w14:paraId="565C25E9" w14:textId="77777777" w:rsidR="006A6772" w:rsidRPr="009B03B8" w:rsidRDefault="006A6772" w:rsidP="006A6772">
      <w:pPr>
        <w:rPr>
          <w:rFonts w:cs="Times New Roman"/>
          <w:color w:val="222222"/>
          <w:szCs w:val="24"/>
          <w:shd w:val="clear" w:color="auto" w:fill="FFFFFF"/>
        </w:rPr>
      </w:pPr>
      <w:r w:rsidRPr="009B03B8">
        <w:rPr>
          <w:rFonts w:cs="Times New Roman"/>
          <w:color w:val="222222"/>
          <w:szCs w:val="24"/>
          <w:shd w:val="clear" w:color="auto" w:fill="FFFFFF"/>
        </w:rPr>
        <w:t>Steele, A., 2013. </w:t>
      </w:r>
      <w:r w:rsidRPr="009B03B8">
        <w:rPr>
          <w:rFonts w:cs="Times New Roman"/>
          <w:i/>
          <w:iCs/>
          <w:color w:val="222222"/>
          <w:szCs w:val="24"/>
          <w:shd w:val="clear" w:color="auto" w:fill="FFFFFF"/>
        </w:rPr>
        <w:t>An analysis of the North Carolina Wetland Assessment Method (NCWAM) using quantitative metrics</w:t>
      </w:r>
      <w:r w:rsidRPr="009B03B8">
        <w:rPr>
          <w:rFonts w:cs="Times New Roman"/>
          <w:color w:val="222222"/>
          <w:szCs w:val="24"/>
          <w:shd w:val="clear" w:color="auto" w:fill="FFFFFF"/>
        </w:rPr>
        <w:t>. North Carolina State University. College of Natural Resources.</w:t>
      </w:r>
    </w:p>
    <w:p w14:paraId="282742AC" w14:textId="77777777" w:rsidR="006A6772" w:rsidRPr="009B03B8" w:rsidRDefault="006A6772" w:rsidP="006A6772">
      <w:pPr>
        <w:rPr>
          <w:rFonts w:cs="Times New Roman"/>
          <w:szCs w:val="24"/>
        </w:rPr>
      </w:pPr>
      <w:r w:rsidRPr="009B03B8">
        <w:rPr>
          <w:rFonts w:cs="Times New Roman"/>
          <w:szCs w:val="24"/>
        </w:rPr>
        <w:lastRenderedPageBreak/>
        <w:t>USGS (U.S. Geological Survey), 2013. 2012 National Anthropogenic Barrier Dataset Available. From: https://www.sciencebase</w:t>
      </w:r>
      <w:r>
        <w:t xml:space="preserve">.gov/catalog/item/56a7f9dce4b0b28f1184dabd (Accessed April </w:t>
      </w:r>
      <w:r w:rsidRPr="009B03B8">
        <w:rPr>
          <w:rFonts w:cs="Times New Roman"/>
          <w:szCs w:val="24"/>
        </w:rPr>
        <w:t>2019)</w:t>
      </w:r>
    </w:p>
    <w:p w14:paraId="053590F6" w14:textId="77777777" w:rsidR="006A6772" w:rsidRPr="009B03B8" w:rsidRDefault="006A6772" w:rsidP="006A6772">
      <w:pPr>
        <w:rPr>
          <w:rFonts w:cs="Times New Roman"/>
          <w:color w:val="222222"/>
          <w:szCs w:val="24"/>
          <w:shd w:val="clear" w:color="auto" w:fill="FFFFFF"/>
        </w:rPr>
      </w:pPr>
      <w:r w:rsidRPr="009B03B8">
        <w:rPr>
          <w:rFonts w:cs="Times New Roman"/>
          <w:color w:val="222222"/>
          <w:szCs w:val="24"/>
          <w:shd w:val="clear" w:color="auto" w:fill="FFFFFF"/>
        </w:rPr>
        <w:t>Xu, M., Z. Wang, X. Duan, and B. Pan</w:t>
      </w:r>
      <w:r>
        <w:rPr>
          <w:rFonts w:cs="Times New Roman"/>
          <w:color w:val="222222"/>
          <w:szCs w:val="24"/>
          <w:shd w:val="clear" w:color="auto" w:fill="FFFFFF"/>
        </w:rPr>
        <w:t>.</w:t>
      </w:r>
      <w:r w:rsidRPr="009B03B8">
        <w:rPr>
          <w:rFonts w:cs="Times New Roman"/>
          <w:color w:val="222222"/>
          <w:szCs w:val="24"/>
          <w:shd w:val="clear" w:color="auto" w:fill="FFFFFF"/>
        </w:rPr>
        <w:t xml:space="preserve"> 2014. Effects of pollution on macroinvertebrates and water quality bio-assessment. </w:t>
      </w:r>
      <w:r w:rsidRPr="009B03B8">
        <w:rPr>
          <w:rFonts w:cs="Times New Roman"/>
          <w:i/>
          <w:iCs/>
          <w:color w:val="222222"/>
          <w:szCs w:val="24"/>
          <w:shd w:val="clear" w:color="auto" w:fill="FFFFFF"/>
        </w:rPr>
        <w:t>Hydrobiologia</w:t>
      </w:r>
      <w:r w:rsidRPr="009B03B8">
        <w:rPr>
          <w:rFonts w:cs="Times New Roman"/>
          <w:color w:val="222222"/>
          <w:szCs w:val="24"/>
          <w:shd w:val="clear" w:color="auto" w:fill="FFFFFF"/>
        </w:rPr>
        <w:t>, </w:t>
      </w:r>
      <w:r w:rsidRPr="009B03B8">
        <w:rPr>
          <w:rFonts w:cs="Times New Roman"/>
          <w:i/>
          <w:iCs/>
          <w:color w:val="222222"/>
          <w:szCs w:val="24"/>
          <w:shd w:val="clear" w:color="auto" w:fill="FFFFFF"/>
        </w:rPr>
        <w:t>729</w:t>
      </w:r>
      <w:r w:rsidRPr="009B03B8">
        <w:rPr>
          <w:rFonts w:cs="Times New Roman"/>
          <w:color w:val="222222"/>
          <w:szCs w:val="24"/>
          <w:shd w:val="clear" w:color="auto" w:fill="FFFFFF"/>
        </w:rPr>
        <w:t>(1), 247-259.</w:t>
      </w:r>
    </w:p>
    <w:p w14:paraId="7306E3FD" w14:textId="77777777" w:rsidR="006A6772" w:rsidRDefault="006A6772" w:rsidP="006A6772">
      <w:r>
        <w:t xml:space="preserve">Yuan, L.L., and S.B. Norton. 2003. Comparing responses of macroinvertebrate metrics to increasing stress. </w:t>
      </w:r>
      <w:r w:rsidRPr="0077136A">
        <w:rPr>
          <w:i/>
          <w:iCs/>
        </w:rPr>
        <w:t xml:space="preserve">Journal of North American </w:t>
      </w:r>
      <w:proofErr w:type="spellStart"/>
      <w:r w:rsidRPr="0077136A">
        <w:rPr>
          <w:i/>
          <w:iCs/>
        </w:rPr>
        <w:t>Benthological</w:t>
      </w:r>
      <w:proofErr w:type="spellEnd"/>
      <w:r w:rsidRPr="0077136A">
        <w:rPr>
          <w:i/>
          <w:iCs/>
        </w:rPr>
        <w:t xml:space="preserve"> Society</w:t>
      </w:r>
      <w:r>
        <w:t xml:space="preserve">, </w:t>
      </w:r>
      <w:r w:rsidRPr="00466DEC">
        <w:t>22</w:t>
      </w:r>
      <w:r>
        <w:t>(2):</w:t>
      </w:r>
      <w:r w:rsidRPr="00466DEC">
        <w:t>308-322</w:t>
      </w:r>
      <w:r>
        <w:t>.</w:t>
      </w:r>
    </w:p>
    <w:p w14:paraId="6A654AB5" w14:textId="77777777" w:rsidR="006A6772" w:rsidRPr="00194F3F" w:rsidRDefault="006A6772" w:rsidP="006A6772">
      <w:r>
        <w:t>Yuan, L.L., 2006. Estimation and application of macroinvertebrate tolerance values. US EPA, ORD, National Center for Environmental Assessment.</w:t>
      </w:r>
    </w:p>
    <w:p w14:paraId="318046BE" w14:textId="7E354818" w:rsidR="00235E78" w:rsidRDefault="00235E78"/>
    <w:sectPr w:rsidR="00235E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EA783F" w14:textId="77777777" w:rsidR="00C7746C" w:rsidRDefault="00C7746C">
      <w:pPr>
        <w:spacing w:after="0" w:line="240" w:lineRule="auto"/>
      </w:pPr>
      <w:r>
        <w:separator/>
      </w:r>
    </w:p>
  </w:endnote>
  <w:endnote w:type="continuationSeparator" w:id="0">
    <w:p w14:paraId="4D27742A" w14:textId="77777777" w:rsidR="00C7746C" w:rsidRDefault="00C77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3348922"/>
      <w:docPartObj>
        <w:docPartGallery w:val="Page Numbers (Bottom of Page)"/>
        <w:docPartUnique/>
      </w:docPartObj>
    </w:sdtPr>
    <w:sdtEndPr>
      <w:rPr>
        <w:noProof/>
      </w:rPr>
    </w:sdtEndPr>
    <w:sdtContent>
      <w:p w14:paraId="4AEFEDE0" w14:textId="5FEF12DB" w:rsidR="003717B3" w:rsidRDefault="003232E0">
        <w:pPr>
          <w:pStyle w:val="Footer"/>
          <w:jc w:val="right"/>
        </w:pPr>
        <w:r>
          <w:t>F</w:t>
        </w:r>
        <w:r w:rsidR="0019609F">
          <w:t>-</w:t>
        </w:r>
        <w:r w:rsidR="0019609F">
          <w:fldChar w:fldCharType="begin"/>
        </w:r>
        <w:r w:rsidR="0019609F">
          <w:instrText xml:space="preserve"> PAGE   \* MERGEFORMAT </w:instrText>
        </w:r>
        <w:r w:rsidR="0019609F">
          <w:fldChar w:fldCharType="separate"/>
        </w:r>
        <w:r w:rsidR="0019609F">
          <w:rPr>
            <w:noProof/>
          </w:rPr>
          <w:t>2</w:t>
        </w:r>
        <w:r w:rsidR="0019609F">
          <w:rPr>
            <w:noProof/>
          </w:rPr>
          <w:fldChar w:fldCharType="end"/>
        </w:r>
      </w:p>
    </w:sdtContent>
  </w:sdt>
  <w:p w14:paraId="71858855" w14:textId="77777777" w:rsidR="003717B3" w:rsidRDefault="00C774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D3DF4F" w14:textId="77777777" w:rsidR="00C7746C" w:rsidRDefault="00C7746C">
      <w:pPr>
        <w:spacing w:after="0" w:line="240" w:lineRule="auto"/>
      </w:pPr>
      <w:r>
        <w:separator/>
      </w:r>
    </w:p>
  </w:footnote>
  <w:footnote w:type="continuationSeparator" w:id="0">
    <w:p w14:paraId="734568AF" w14:textId="77777777" w:rsidR="00C7746C" w:rsidRDefault="00C774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492310"/>
    <w:multiLevelType w:val="hybridMultilevel"/>
    <w:tmpl w:val="B5D41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772"/>
    <w:rsid w:val="0019609F"/>
    <w:rsid w:val="00235E78"/>
    <w:rsid w:val="003232E0"/>
    <w:rsid w:val="006A6772"/>
    <w:rsid w:val="00A34A32"/>
    <w:rsid w:val="00C52C51"/>
    <w:rsid w:val="00C77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F199C"/>
  <w15:chartTrackingRefBased/>
  <w15:docId w15:val="{4430BEFF-9FFB-4D8C-B152-8F0DA7DD9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67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6772"/>
    <w:pPr>
      <w:spacing w:after="0" w:line="240" w:lineRule="auto"/>
    </w:pPr>
    <w:rPr>
      <w:rFonts w:ascii="Times New Roman" w:hAnsi="Times New Roman" w:cs="Calibri"/>
      <w:sz w:val="24"/>
      <w:lang w:val="pt-BR"/>
    </w:rPr>
  </w:style>
  <w:style w:type="character" w:customStyle="1" w:styleId="NoSpacingChar">
    <w:name w:val="No Spacing Char"/>
    <w:basedOn w:val="DefaultParagraphFont"/>
    <w:link w:val="NoSpacing"/>
    <w:uiPriority w:val="1"/>
    <w:rsid w:val="006A6772"/>
    <w:rPr>
      <w:rFonts w:ascii="Times New Roman" w:hAnsi="Times New Roman" w:cs="Calibri"/>
      <w:sz w:val="24"/>
      <w:lang w:val="pt-BR"/>
    </w:rPr>
  </w:style>
  <w:style w:type="paragraph" w:styleId="ListParagraph">
    <w:name w:val="List Paragraph"/>
    <w:basedOn w:val="Normal"/>
    <w:uiPriority w:val="34"/>
    <w:qFormat/>
    <w:rsid w:val="006A6772"/>
    <w:pPr>
      <w:ind w:left="720"/>
      <w:contextualSpacing/>
    </w:pPr>
  </w:style>
  <w:style w:type="paragraph" w:styleId="Footer">
    <w:name w:val="footer"/>
    <w:basedOn w:val="Normal"/>
    <w:link w:val="FooterChar"/>
    <w:uiPriority w:val="99"/>
    <w:unhideWhenUsed/>
    <w:rsid w:val="006A6772"/>
    <w:pPr>
      <w:tabs>
        <w:tab w:val="center" w:pos="4680"/>
        <w:tab w:val="right" w:pos="9360"/>
      </w:tabs>
      <w:spacing w:after="0" w:line="240" w:lineRule="auto"/>
    </w:pPr>
    <w:rPr>
      <w:rFonts w:ascii="Times New Roman" w:hAnsi="Times New Roman"/>
      <w:sz w:val="24"/>
    </w:rPr>
  </w:style>
  <w:style w:type="character" w:customStyle="1" w:styleId="FooterChar">
    <w:name w:val="Footer Char"/>
    <w:basedOn w:val="DefaultParagraphFont"/>
    <w:link w:val="Footer"/>
    <w:uiPriority w:val="99"/>
    <w:rsid w:val="006A6772"/>
    <w:rPr>
      <w:rFonts w:ascii="Times New Roman" w:hAnsi="Times New Roman"/>
      <w:sz w:val="24"/>
    </w:rPr>
  </w:style>
  <w:style w:type="character" w:customStyle="1" w:styleId="Heading1Char">
    <w:name w:val="Heading 1 Char"/>
    <w:basedOn w:val="DefaultParagraphFont"/>
    <w:link w:val="Heading1"/>
    <w:uiPriority w:val="9"/>
    <w:rsid w:val="006A6772"/>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6A67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6772"/>
    <w:rPr>
      <w:rFonts w:ascii="Segoe UI" w:hAnsi="Segoe UI" w:cs="Segoe UI"/>
      <w:sz w:val="18"/>
      <w:szCs w:val="18"/>
    </w:rPr>
  </w:style>
  <w:style w:type="paragraph" w:styleId="Caption">
    <w:name w:val="caption"/>
    <w:basedOn w:val="Normal"/>
    <w:next w:val="Normal"/>
    <w:link w:val="CaptionChar"/>
    <w:uiPriority w:val="35"/>
    <w:unhideWhenUsed/>
    <w:qFormat/>
    <w:rsid w:val="0019609F"/>
    <w:pPr>
      <w:widowControl w:val="0"/>
      <w:autoSpaceDE w:val="0"/>
      <w:autoSpaceDN w:val="0"/>
      <w:adjustRightInd w:val="0"/>
      <w:spacing w:after="200" w:line="240" w:lineRule="auto"/>
    </w:pPr>
    <w:rPr>
      <w:rFonts w:ascii="Times New Roman" w:eastAsia="Times New Roman" w:hAnsi="Times New Roman" w:cs="Times New Roman"/>
      <w:i/>
      <w:iCs/>
      <w:szCs w:val="18"/>
    </w:rPr>
  </w:style>
  <w:style w:type="character" w:customStyle="1" w:styleId="CaptionChar">
    <w:name w:val="Caption Char"/>
    <w:basedOn w:val="DefaultParagraphFont"/>
    <w:link w:val="Caption"/>
    <w:uiPriority w:val="35"/>
    <w:locked/>
    <w:rsid w:val="0019609F"/>
    <w:rPr>
      <w:rFonts w:ascii="Times New Roman" w:eastAsia="Times New Roman" w:hAnsi="Times New Roman" w:cs="Times New Roman"/>
      <w:i/>
      <w:iCs/>
      <w:szCs w:val="18"/>
    </w:rPr>
  </w:style>
  <w:style w:type="paragraph" w:styleId="Header">
    <w:name w:val="header"/>
    <w:basedOn w:val="Normal"/>
    <w:link w:val="HeaderChar"/>
    <w:uiPriority w:val="99"/>
    <w:unhideWhenUsed/>
    <w:rsid w:val="003232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2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58BF61-DF7F-4D1F-9460-B9C897FA7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1467</Words>
  <Characters>8202</Characters>
  <Application>Microsoft Office Word</Application>
  <DocSecurity>0</DocSecurity>
  <Lines>390</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Stamp, Jen</dc:creator>
  <cp:keywords/>
  <dc:description/>
  <cp:lastModifiedBy>Jessup, Benjamin</cp:lastModifiedBy>
  <cp:revision>2</cp:revision>
  <dcterms:created xsi:type="dcterms:W3CDTF">2021-02-19T17:49:00Z</dcterms:created>
  <dcterms:modified xsi:type="dcterms:W3CDTF">2021-03-09T16:24:00Z</dcterms:modified>
</cp:coreProperties>
</file>