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1A849" w14:textId="77777777" w:rsidR="004907F4" w:rsidRDefault="004907F4" w:rsidP="004907F4">
      <w:pPr>
        <w:rPr>
          <w:sz w:val="96"/>
          <w:szCs w:val="72"/>
        </w:rPr>
      </w:pPr>
    </w:p>
    <w:p w14:paraId="19C1A3E8" w14:textId="18E67420" w:rsidR="004907F4" w:rsidRPr="00552A18" w:rsidRDefault="004907F4" w:rsidP="004907F4">
      <w:pPr>
        <w:rPr>
          <w:rFonts w:ascii="Times New Roman" w:hAnsi="Times New Roman"/>
          <w:sz w:val="96"/>
          <w:szCs w:val="72"/>
        </w:rPr>
      </w:pPr>
      <w:r w:rsidRPr="00552A18">
        <w:rPr>
          <w:rFonts w:ascii="Times New Roman" w:hAnsi="Times New Roman"/>
          <w:sz w:val="96"/>
          <w:szCs w:val="72"/>
        </w:rPr>
        <w:t xml:space="preserve">Appendix </w:t>
      </w:r>
      <w:r w:rsidR="003B3CCD">
        <w:rPr>
          <w:rFonts w:ascii="Times New Roman" w:hAnsi="Times New Roman"/>
          <w:sz w:val="96"/>
          <w:szCs w:val="72"/>
        </w:rPr>
        <w:t>C</w:t>
      </w:r>
    </w:p>
    <w:p w14:paraId="34B9CC45" w14:textId="77777777" w:rsidR="004907F4" w:rsidRPr="00552A18" w:rsidRDefault="004907F4" w:rsidP="004907F4">
      <w:pPr>
        <w:pStyle w:val="NoSpacing"/>
      </w:pPr>
    </w:p>
    <w:p w14:paraId="12078F4B" w14:textId="77777777" w:rsidR="00AC645F" w:rsidRDefault="00AC645F" w:rsidP="004907F4">
      <w:pPr>
        <w:rPr>
          <w:rFonts w:ascii="Times New Roman" w:hAnsi="Times New Roman"/>
          <w:sz w:val="28"/>
          <w:szCs w:val="28"/>
        </w:rPr>
      </w:pPr>
    </w:p>
    <w:p w14:paraId="640F5B9E" w14:textId="75E2D3D8" w:rsidR="00632356" w:rsidRPr="00AC645F" w:rsidRDefault="003B3CCD" w:rsidP="004907F4">
      <w:pPr>
        <w:rPr>
          <w:rFonts w:ascii="Times New Roman" w:hAnsi="Times New Roman"/>
          <w:sz w:val="28"/>
          <w:szCs w:val="28"/>
        </w:rPr>
      </w:pPr>
      <w:r>
        <w:rPr>
          <w:rFonts w:ascii="Times New Roman" w:hAnsi="Times New Roman"/>
          <w:sz w:val="28"/>
          <w:szCs w:val="28"/>
        </w:rPr>
        <w:t>C</w:t>
      </w:r>
      <w:r w:rsidR="00632356" w:rsidRPr="00AC645F">
        <w:rPr>
          <w:rFonts w:ascii="Times New Roman" w:hAnsi="Times New Roman"/>
          <w:sz w:val="28"/>
          <w:szCs w:val="28"/>
        </w:rPr>
        <w:t>1</w:t>
      </w:r>
      <w:r w:rsidR="00632356" w:rsidRPr="00AC645F">
        <w:rPr>
          <w:rFonts w:ascii="Times New Roman" w:hAnsi="Times New Roman"/>
          <w:sz w:val="28"/>
          <w:szCs w:val="28"/>
        </w:rPr>
        <w:tab/>
        <w:t>Candidate Metrics</w:t>
      </w:r>
    </w:p>
    <w:p w14:paraId="37BABA84" w14:textId="288B6833" w:rsidR="002370C2" w:rsidRDefault="003B3CCD" w:rsidP="004907F4">
      <w:pPr>
        <w:rPr>
          <w:rFonts w:ascii="Times New Roman" w:hAnsi="Times New Roman"/>
          <w:sz w:val="28"/>
          <w:szCs w:val="28"/>
        </w:rPr>
      </w:pPr>
      <w:r>
        <w:rPr>
          <w:rFonts w:ascii="Times New Roman" w:hAnsi="Times New Roman"/>
          <w:sz w:val="28"/>
          <w:szCs w:val="28"/>
        </w:rPr>
        <w:t>C</w:t>
      </w:r>
      <w:r w:rsidR="002370C2">
        <w:rPr>
          <w:rFonts w:ascii="Times New Roman" w:hAnsi="Times New Roman"/>
          <w:sz w:val="28"/>
          <w:szCs w:val="28"/>
        </w:rPr>
        <w:t>2</w:t>
      </w:r>
      <w:r w:rsidR="002370C2">
        <w:rPr>
          <w:rFonts w:ascii="Times New Roman" w:hAnsi="Times New Roman"/>
          <w:sz w:val="28"/>
          <w:szCs w:val="28"/>
        </w:rPr>
        <w:tab/>
        <w:t>Summary of input metrics in existing low gradient IBIs</w:t>
      </w:r>
    </w:p>
    <w:p w14:paraId="502C4950" w14:textId="5186A379" w:rsidR="00632356" w:rsidRPr="00AC645F" w:rsidRDefault="003B3CCD" w:rsidP="004907F4">
      <w:pPr>
        <w:rPr>
          <w:rFonts w:ascii="Times New Roman" w:hAnsi="Times New Roman"/>
          <w:sz w:val="28"/>
          <w:szCs w:val="28"/>
        </w:rPr>
      </w:pPr>
      <w:r>
        <w:rPr>
          <w:rFonts w:ascii="Times New Roman" w:hAnsi="Times New Roman"/>
          <w:sz w:val="28"/>
          <w:szCs w:val="28"/>
        </w:rPr>
        <w:t>C</w:t>
      </w:r>
      <w:r w:rsidR="002370C2">
        <w:rPr>
          <w:rFonts w:ascii="Times New Roman" w:hAnsi="Times New Roman"/>
          <w:sz w:val="28"/>
          <w:szCs w:val="28"/>
        </w:rPr>
        <w:t>3</w:t>
      </w:r>
      <w:r w:rsidR="00632356" w:rsidRPr="00AC645F">
        <w:rPr>
          <w:rFonts w:ascii="Times New Roman" w:hAnsi="Times New Roman"/>
          <w:sz w:val="28"/>
          <w:szCs w:val="28"/>
        </w:rPr>
        <w:tab/>
        <w:t>Non-target taxa</w:t>
      </w:r>
    </w:p>
    <w:p w14:paraId="7404AEC6" w14:textId="143473DD" w:rsidR="00632356" w:rsidRPr="00AC645F" w:rsidRDefault="003B3CCD" w:rsidP="004907F4">
      <w:pPr>
        <w:rPr>
          <w:rFonts w:ascii="Times New Roman" w:hAnsi="Times New Roman"/>
          <w:sz w:val="28"/>
          <w:szCs w:val="28"/>
        </w:rPr>
      </w:pPr>
      <w:r>
        <w:rPr>
          <w:rFonts w:ascii="Times New Roman" w:hAnsi="Times New Roman"/>
          <w:sz w:val="28"/>
          <w:szCs w:val="28"/>
        </w:rPr>
        <w:t>C</w:t>
      </w:r>
      <w:r w:rsidR="002370C2">
        <w:rPr>
          <w:rFonts w:ascii="Times New Roman" w:hAnsi="Times New Roman"/>
          <w:sz w:val="28"/>
          <w:szCs w:val="28"/>
        </w:rPr>
        <w:t>4</w:t>
      </w:r>
      <w:r w:rsidR="00632356" w:rsidRPr="00AC645F">
        <w:rPr>
          <w:rFonts w:ascii="Times New Roman" w:hAnsi="Times New Roman"/>
          <w:sz w:val="28"/>
          <w:szCs w:val="28"/>
        </w:rPr>
        <w:tab/>
        <w:t>Exclusion criteria for redundant taxa</w:t>
      </w:r>
    </w:p>
    <w:p w14:paraId="28F884DD" w14:textId="77777777" w:rsidR="004907F4" w:rsidRPr="00552A18" w:rsidRDefault="004907F4" w:rsidP="004907F4">
      <w:pPr>
        <w:pStyle w:val="NoSpacing"/>
      </w:pPr>
    </w:p>
    <w:p w14:paraId="610DE873" w14:textId="77777777" w:rsidR="004907F4" w:rsidRDefault="004907F4" w:rsidP="004907F4"/>
    <w:p w14:paraId="2ECC4AA4" w14:textId="77777777" w:rsidR="0026057C" w:rsidRDefault="0026057C">
      <w:pPr>
        <w:sectPr w:rsidR="0026057C">
          <w:footerReference w:type="default" r:id="rId8"/>
          <w:pgSz w:w="12240" w:h="15840"/>
          <w:pgMar w:top="1440" w:right="1440" w:bottom="1440" w:left="1440" w:header="720" w:footer="720" w:gutter="0"/>
          <w:cols w:space="720"/>
          <w:docGrid w:linePitch="360"/>
        </w:sectPr>
      </w:pPr>
    </w:p>
    <w:p w14:paraId="0C47EC30" w14:textId="11D28898" w:rsidR="008C61DB" w:rsidRPr="00AC645F" w:rsidRDefault="003B3CCD" w:rsidP="008C61DB">
      <w:pPr>
        <w:rPr>
          <w:rFonts w:ascii="Times New Roman" w:hAnsi="Times New Roman"/>
          <w:sz w:val="28"/>
          <w:szCs w:val="28"/>
        </w:rPr>
      </w:pPr>
      <w:r>
        <w:rPr>
          <w:rFonts w:ascii="Times New Roman" w:hAnsi="Times New Roman"/>
          <w:sz w:val="28"/>
          <w:szCs w:val="28"/>
        </w:rPr>
        <w:lastRenderedPageBreak/>
        <w:t>C</w:t>
      </w:r>
      <w:r w:rsidR="008C61DB" w:rsidRPr="00AC645F">
        <w:rPr>
          <w:rFonts w:ascii="Times New Roman" w:hAnsi="Times New Roman"/>
          <w:sz w:val="28"/>
          <w:szCs w:val="28"/>
        </w:rPr>
        <w:t>1</w:t>
      </w:r>
      <w:r w:rsidR="008C61DB" w:rsidRPr="00AC645F">
        <w:rPr>
          <w:rFonts w:ascii="Times New Roman" w:hAnsi="Times New Roman"/>
          <w:sz w:val="28"/>
          <w:szCs w:val="28"/>
        </w:rPr>
        <w:tab/>
        <w:t>Candidate Metrics</w:t>
      </w:r>
    </w:p>
    <w:p w14:paraId="434C7174" w14:textId="7606CAF5" w:rsidR="008C61DB" w:rsidRPr="009867F4" w:rsidRDefault="008C61DB" w:rsidP="008C61DB">
      <w:pPr>
        <w:pStyle w:val="NoSpacing"/>
        <w:rPr>
          <w:rFonts w:asciiTheme="minorHAnsi" w:hAnsiTheme="minorHAnsi" w:cstheme="minorHAnsi"/>
          <w:sz w:val="22"/>
          <w:szCs w:val="20"/>
        </w:rPr>
      </w:pPr>
      <w:r w:rsidRPr="009867F4">
        <w:rPr>
          <w:rFonts w:asciiTheme="minorHAnsi" w:hAnsiTheme="minorHAnsi" w:cstheme="minorHAnsi"/>
          <w:sz w:val="22"/>
          <w:szCs w:val="20"/>
        </w:rPr>
        <w:t>List of candidate macroinvertebrate metrics that were calculated with the BioMonTools R package (</w:t>
      </w:r>
      <w:r w:rsidR="00642025">
        <w:fldChar w:fldCharType="begin"/>
      </w:r>
      <w:r w:rsidR="00642025">
        <w:instrText xml:space="preserve"> HYPERLINK "https://github.com/leppott/BioMonTools" </w:instrText>
      </w:r>
      <w:r w:rsidR="00642025">
        <w:fldChar w:fldCharType="separate"/>
      </w:r>
      <w:r w:rsidRPr="009867F4">
        <w:rPr>
          <w:rStyle w:val="Hyperlink"/>
          <w:rFonts w:asciiTheme="minorHAnsi" w:hAnsiTheme="minorHAnsi" w:cstheme="minorHAnsi"/>
          <w:sz w:val="22"/>
          <w:szCs w:val="20"/>
        </w:rPr>
        <w:t>https://github.com/leppott/BioMonTools</w:t>
      </w:r>
      <w:r w:rsidR="00642025">
        <w:rPr>
          <w:rStyle w:val="Hyperlink"/>
          <w:rFonts w:asciiTheme="minorHAnsi" w:hAnsiTheme="minorHAnsi" w:cstheme="minorHAnsi"/>
          <w:sz w:val="22"/>
          <w:szCs w:val="20"/>
        </w:rPr>
        <w:fldChar w:fldCharType="end"/>
      </w:r>
      <w:r w:rsidRPr="009867F4">
        <w:rPr>
          <w:rFonts w:asciiTheme="minorHAnsi" w:hAnsiTheme="minorHAnsi" w:cstheme="minorHAnsi"/>
          <w:sz w:val="22"/>
          <w:szCs w:val="20"/>
        </w:rPr>
        <w:t>).</w:t>
      </w:r>
    </w:p>
    <w:p w14:paraId="7DA50F03" w14:textId="77777777" w:rsidR="008C61DB" w:rsidRDefault="008C61DB" w:rsidP="008C61DB">
      <w:pPr>
        <w:pStyle w:val="NoSpacing"/>
      </w:pPr>
    </w:p>
    <w:tbl>
      <w:tblPr>
        <w:tblW w:w="5000" w:type="pct"/>
        <w:tblLook w:val="04A0" w:firstRow="1" w:lastRow="0" w:firstColumn="1" w:lastColumn="0" w:noHBand="0" w:noVBand="1"/>
      </w:tblPr>
      <w:tblGrid>
        <w:gridCol w:w="2041"/>
        <w:gridCol w:w="1018"/>
        <w:gridCol w:w="6291"/>
      </w:tblGrid>
      <w:tr w:rsidR="008C61DB" w:rsidRPr="008C61DB" w14:paraId="78FBB611" w14:textId="77777777" w:rsidTr="008C61DB">
        <w:trPr>
          <w:trHeight w:val="300"/>
        </w:trPr>
        <w:tc>
          <w:tcPr>
            <w:tcW w:w="925"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5281990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Metric Name</w:t>
            </w:r>
          </w:p>
        </w:tc>
        <w:tc>
          <w:tcPr>
            <w:tcW w:w="506" w:type="pct"/>
            <w:tcBorders>
              <w:top w:val="single" w:sz="4" w:space="0" w:color="auto"/>
              <w:left w:val="nil"/>
              <w:bottom w:val="single" w:sz="4" w:space="0" w:color="auto"/>
              <w:right w:val="single" w:sz="4" w:space="0" w:color="auto"/>
            </w:tcBorders>
            <w:shd w:val="clear" w:color="000000" w:fill="D9D9D9"/>
            <w:vAlign w:val="center"/>
            <w:hideMark/>
          </w:tcPr>
          <w:p w14:paraId="50D7A4B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Category</w:t>
            </w:r>
          </w:p>
        </w:tc>
        <w:tc>
          <w:tcPr>
            <w:tcW w:w="3569" w:type="pct"/>
            <w:tcBorders>
              <w:top w:val="single" w:sz="4" w:space="0" w:color="auto"/>
              <w:left w:val="nil"/>
              <w:bottom w:val="single" w:sz="4" w:space="0" w:color="auto"/>
              <w:right w:val="single" w:sz="4" w:space="0" w:color="auto"/>
            </w:tcBorders>
            <w:shd w:val="clear" w:color="000000" w:fill="D9D9D9"/>
            <w:vAlign w:val="center"/>
            <w:hideMark/>
          </w:tcPr>
          <w:p w14:paraId="7BD6C2C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Description</w:t>
            </w:r>
          </w:p>
        </w:tc>
      </w:tr>
      <w:tr w:rsidR="008C61DB" w:rsidRPr="008C61DB" w14:paraId="222F840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B849F9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nt_total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9EB2F9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E8E3FB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total</w:t>
            </w:r>
          </w:p>
        </w:tc>
      </w:tr>
      <w:tr w:rsidR="008C61DB" w:rsidRPr="008C61DB" w14:paraId="608FD47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3EA03D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nt_Amph</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3A271D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59F67FC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Amphipoda</w:t>
            </w:r>
          </w:p>
        </w:tc>
      </w:tr>
      <w:tr w:rsidR="008C61DB" w:rsidRPr="008C61DB" w14:paraId="4385FE2A"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8D7ED9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pi_Amph</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EC3AC4D"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13B5E103"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Amphipoda</w:t>
            </w:r>
          </w:p>
        </w:tc>
      </w:tr>
      <w:tr w:rsidR="008C61DB" w:rsidRPr="008C61DB" w14:paraId="22DD171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674757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pt_Amph</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CCA1DE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30EA2D6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Amphipoda</w:t>
            </w:r>
          </w:p>
        </w:tc>
      </w:tr>
      <w:tr w:rsidR="008C61DB" w:rsidRPr="008C61DB" w14:paraId="527CE4D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6CAE608"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nt_Isop</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0E7883E"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4D62630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Isopoda</w:t>
            </w:r>
          </w:p>
        </w:tc>
      </w:tr>
      <w:tr w:rsidR="008C61DB" w:rsidRPr="008C61DB" w14:paraId="40FDDDC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C6422B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pi_Isop</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8947DB4"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03A73737"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Isopoda</w:t>
            </w:r>
          </w:p>
        </w:tc>
      </w:tr>
      <w:tr w:rsidR="008C61DB" w:rsidRPr="008C61DB" w14:paraId="07C088E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631AF8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pt_Isop</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B27832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55DFDA24"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Isopoda</w:t>
            </w:r>
          </w:p>
        </w:tc>
      </w:tr>
      <w:tr w:rsidR="008C61DB" w:rsidRPr="008C61DB" w14:paraId="45CC500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0508FA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pi_AmphIsop</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DA4116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0A3C491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Orders Amphipoda &amp; Isopoda</w:t>
            </w:r>
          </w:p>
        </w:tc>
      </w:tr>
      <w:tr w:rsidR="008C61DB" w:rsidRPr="008C61DB" w14:paraId="50CBD65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A269BC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pi_Baet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6339BA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44E64402"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Family </w:t>
            </w:r>
            <w:proofErr w:type="spellStart"/>
            <w:r w:rsidRPr="008C61DB">
              <w:rPr>
                <w:rFonts w:ascii="Calibri" w:eastAsia="Times New Roman" w:hAnsi="Calibri" w:cs="Calibri"/>
                <w:color w:val="000000"/>
              </w:rPr>
              <w:t>Baetidae</w:t>
            </w:r>
            <w:proofErr w:type="spellEnd"/>
          </w:p>
        </w:tc>
      </w:tr>
      <w:tr w:rsidR="008C61DB" w:rsidRPr="008C61DB" w14:paraId="5B22F96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6EBC59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nt_Bival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E080BD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5BB3D13"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Class Bivalvia</w:t>
            </w:r>
          </w:p>
        </w:tc>
      </w:tr>
      <w:tr w:rsidR="008C61DB" w:rsidRPr="008C61DB" w14:paraId="75C04CE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7C7267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pi_Bival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E1C27C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792E069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Class Bivalvia</w:t>
            </w:r>
          </w:p>
        </w:tc>
      </w:tr>
      <w:tr w:rsidR="008C61DB" w:rsidRPr="008C61DB" w14:paraId="30B658D2"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D546AED"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pt_Bival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A96FAE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D249D6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Class Bivalvia</w:t>
            </w:r>
          </w:p>
        </w:tc>
      </w:tr>
      <w:tr w:rsidR="008C61DB" w:rsidRPr="008C61DB" w14:paraId="165F019A"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E7A4E53"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pi_Caen</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51B9E6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5F9947A9"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Family </w:t>
            </w:r>
            <w:proofErr w:type="spellStart"/>
            <w:r w:rsidRPr="008C61DB">
              <w:rPr>
                <w:rFonts w:ascii="Calibri" w:eastAsia="Times New Roman" w:hAnsi="Calibri" w:cs="Calibri"/>
                <w:color w:val="000000"/>
              </w:rPr>
              <w:t>Caenidae</w:t>
            </w:r>
            <w:proofErr w:type="spellEnd"/>
          </w:p>
        </w:tc>
      </w:tr>
      <w:tr w:rsidR="008C61DB" w:rsidRPr="008C61DB" w14:paraId="1BC644C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5CD374D"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nt_Chiro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CCF745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7DAE1E1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Family Chironomidae</w:t>
            </w:r>
          </w:p>
        </w:tc>
      </w:tr>
      <w:tr w:rsidR="008C61DB" w:rsidRPr="008C61DB" w14:paraId="176FB6E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04A7FDC"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pi_Chiro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517D96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5EFC7DB7"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Family Chironomidae</w:t>
            </w:r>
          </w:p>
        </w:tc>
      </w:tr>
      <w:tr w:rsidR="008C61DB" w:rsidRPr="008C61DB" w14:paraId="12C166EA"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3C8016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pt_Chiro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AEA853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32055CA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Family Chironomidae</w:t>
            </w:r>
          </w:p>
        </w:tc>
      </w:tr>
      <w:tr w:rsidR="008C61DB" w:rsidRPr="008C61DB" w14:paraId="655DE09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095E179"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nt_Coleo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0F796D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563165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Coleoptera</w:t>
            </w:r>
          </w:p>
        </w:tc>
      </w:tr>
      <w:tr w:rsidR="008C61DB" w:rsidRPr="008C61DB" w14:paraId="006DCE3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D7D4BB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pi_Coleo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ACF271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681B753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Coleoptera</w:t>
            </w:r>
          </w:p>
        </w:tc>
      </w:tr>
      <w:tr w:rsidR="008C61DB" w:rsidRPr="008C61DB" w14:paraId="47A476E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F8C4BF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pt_Coleo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44B7A4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E9FE86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Coleoptera</w:t>
            </w:r>
          </w:p>
        </w:tc>
      </w:tr>
      <w:tr w:rsidR="008C61DB" w:rsidRPr="008C61DB" w14:paraId="7514C6C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B714655"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nt_COET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3A3E9A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1248273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Coleoptera, Odonata, Ephemeroptera &amp; Trichoptera</w:t>
            </w:r>
          </w:p>
        </w:tc>
      </w:tr>
      <w:tr w:rsidR="008C61DB" w:rsidRPr="008C61DB" w14:paraId="4C487059" w14:textId="77777777" w:rsidTr="008C61DB">
        <w:trPr>
          <w:trHeight w:val="345"/>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91BF9F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pi_COET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1527CC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5489F9F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Coleoptera, Odonata, Ephemeroptera &amp; Trichoptera</w:t>
            </w:r>
          </w:p>
        </w:tc>
      </w:tr>
      <w:tr w:rsidR="008C61DB" w:rsidRPr="008C61DB" w14:paraId="1CEC0E4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20ADAEE"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pt_COET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57D92B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7D721712"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Coleoptera, Odonata, Ephemeroptera &amp; Trichoptera</w:t>
            </w:r>
          </w:p>
        </w:tc>
      </w:tr>
      <w:tr w:rsidR="008C61DB" w:rsidRPr="008C61DB" w14:paraId="52517CC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6EC22F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nt_CruMol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C05420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00C2F584"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Crustacea &amp; Mollusca</w:t>
            </w:r>
          </w:p>
        </w:tc>
      </w:tr>
      <w:tr w:rsidR="008C61DB" w:rsidRPr="008C61DB" w14:paraId="3BE4A49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B2DB8FD"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pi_CruMol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41E922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63D9F6F9"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Crustacea &amp; Mollusca</w:t>
            </w:r>
          </w:p>
        </w:tc>
      </w:tr>
      <w:tr w:rsidR="008C61DB" w:rsidRPr="008C61DB" w14:paraId="11BC2A3A"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D8C2C65"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nt_Dipt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590073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5171B1B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Diptera</w:t>
            </w:r>
          </w:p>
        </w:tc>
      </w:tr>
      <w:tr w:rsidR="008C61DB" w:rsidRPr="008C61DB" w14:paraId="7B5ECBAB"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AACBDF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pi_Dipt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001D20D"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70E424A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Diptera</w:t>
            </w:r>
          </w:p>
        </w:tc>
      </w:tr>
      <w:tr w:rsidR="008C61DB" w:rsidRPr="008C61DB" w14:paraId="66F1A4E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EB8578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pt_Dipt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102D25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44C875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Diptera</w:t>
            </w:r>
          </w:p>
        </w:tc>
      </w:tr>
      <w:tr w:rsidR="008C61DB" w:rsidRPr="008C61DB" w14:paraId="56B34E4B"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F4FCDA4"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nt_Ephem</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390EE5D"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3A151AD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Ephemeroptera</w:t>
            </w:r>
          </w:p>
        </w:tc>
      </w:tr>
      <w:tr w:rsidR="008C61DB" w:rsidRPr="008C61DB" w14:paraId="405F0911"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7CF892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pi_Ephem</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FCEA62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25C98E2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Ephemeroptera</w:t>
            </w:r>
          </w:p>
        </w:tc>
      </w:tr>
      <w:tr w:rsidR="008C61DB" w:rsidRPr="008C61DB" w14:paraId="7594385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8EBB309"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pt_Ephem</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5401C4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78A0951"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Ephemeroptera</w:t>
            </w:r>
          </w:p>
        </w:tc>
      </w:tr>
      <w:tr w:rsidR="008C61DB" w:rsidRPr="008C61DB" w14:paraId="01258B4B"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2438D72"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pi_EphemNoCae</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4962ED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10900BE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Order Ephemeroptera, excluding Family </w:t>
            </w:r>
            <w:proofErr w:type="spellStart"/>
            <w:r w:rsidRPr="008C61DB">
              <w:rPr>
                <w:rFonts w:ascii="Calibri" w:eastAsia="Times New Roman" w:hAnsi="Calibri" w:cs="Calibri"/>
                <w:color w:val="000000"/>
              </w:rPr>
              <w:t>Caenidae</w:t>
            </w:r>
            <w:proofErr w:type="spellEnd"/>
          </w:p>
        </w:tc>
      </w:tr>
      <w:tr w:rsidR="008C61DB" w:rsidRPr="008C61DB" w14:paraId="25D2104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85D5EB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pi_EphemNoCaeBae</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1075B3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22440073"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Order Ephemeroptera, excluding Families </w:t>
            </w:r>
            <w:proofErr w:type="spellStart"/>
            <w:r w:rsidRPr="008C61DB">
              <w:rPr>
                <w:rFonts w:ascii="Calibri" w:eastAsia="Times New Roman" w:hAnsi="Calibri" w:cs="Calibri"/>
                <w:color w:val="000000"/>
              </w:rPr>
              <w:t>Caenidae</w:t>
            </w:r>
            <w:proofErr w:type="spellEnd"/>
            <w:r w:rsidRPr="008C61DB">
              <w:rPr>
                <w:rFonts w:ascii="Calibri" w:eastAsia="Times New Roman" w:hAnsi="Calibri" w:cs="Calibri"/>
                <w:color w:val="000000"/>
              </w:rPr>
              <w:t xml:space="preserve"> &amp; </w:t>
            </w:r>
            <w:proofErr w:type="spellStart"/>
            <w:r w:rsidRPr="008C61DB">
              <w:rPr>
                <w:rFonts w:ascii="Calibri" w:eastAsia="Times New Roman" w:hAnsi="Calibri" w:cs="Calibri"/>
                <w:color w:val="000000"/>
              </w:rPr>
              <w:t>Baetidae</w:t>
            </w:r>
            <w:proofErr w:type="spellEnd"/>
          </w:p>
        </w:tc>
      </w:tr>
      <w:tr w:rsidR="008C61DB" w:rsidRPr="008C61DB" w14:paraId="03AECB7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6C80942"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lastRenderedPageBreak/>
              <w:t>nt_EPT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317CDB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033AD94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Orders Ephemeroptera, Plecoptera &amp; Trichoptera (EPT)</w:t>
            </w:r>
          </w:p>
        </w:tc>
      </w:tr>
      <w:tr w:rsidR="008C61DB" w:rsidRPr="008C61DB" w14:paraId="0E390C6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3C171EC"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pi_EPT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F3C50B5"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17F0DC1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Orders Ephemeroptera, Plecoptera &amp; Trichoptera (EPT)</w:t>
            </w:r>
          </w:p>
        </w:tc>
      </w:tr>
      <w:tr w:rsidR="008C61DB" w:rsidRPr="008C61DB" w14:paraId="7D64D28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D9D399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pt_EPT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3B7007D"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E9AA2D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Orders Ephemeroptera, Plecoptera &amp; Trichoptera (EPT)</w:t>
            </w:r>
          </w:p>
        </w:tc>
      </w:tr>
      <w:tr w:rsidR="008C61DB" w:rsidRPr="008C61DB" w14:paraId="466D431A"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FECDA5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nt_Gast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C80DAB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5652ED7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Class Gastropoda</w:t>
            </w:r>
          </w:p>
        </w:tc>
      </w:tr>
      <w:tr w:rsidR="008C61DB" w:rsidRPr="008C61DB" w14:paraId="2288474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8B417D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pi_Gast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0041D7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18EBA0E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Class Gastropoda</w:t>
            </w:r>
          </w:p>
        </w:tc>
      </w:tr>
      <w:tr w:rsidR="008C61DB" w:rsidRPr="008C61DB" w14:paraId="015FB7C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1238A0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pt_Gast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B73AFA0"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1025489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Class Gastropoda</w:t>
            </w:r>
          </w:p>
        </w:tc>
      </w:tr>
      <w:tr w:rsidR="008C61DB" w:rsidRPr="008C61DB" w14:paraId="726B9EC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01A3A1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pi_Hydro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933544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6136125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Family </w:t>
            </w:r>
            <w:proofErr w:type="spellStart"/>
            <w:r w:rsidRPr="008C61DB">
              <w:rPr>
                <w:rFonts w:ascii="Calibri" w:eastAsia="Times New Roman" w:hAnsi="Calibri" w:cs="Calibri"/>
                <w:color w:val="000000"/>
              </w:rPr>
              <w:t>Hydropsychidae</w:t>
            </w:r>
            <w:proofErr w:type="spellEnd"/>
          </w:p>
        </w:tc>
      </w:tr>
      <w:tr w:rsidR="008C61DB" w:rsidRPr="008C61DB" w14:paraId="630B2D5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5B7111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nt_Insect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B1735E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447BF8F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number of taxa - Class </w:t>
            </w:r>
            <w:proofErr w:type="spellStart"/>
            <w:r w:rsidRPr="008C61DB">
              <w:rPr>
                <w:rFonts w:ascii="Calibri" w:eastAsia="Times New Roman" w:hAnsi="Calibri" w:cs="Calibri"/>
                <w:color w:val="000000"/>
              </w:rPr>
              <w:t>Insecta</w:t>
            </w:r>
            <w:proofErr w:type="spellEnd"/>
          </w:p>
        </w:tc>
      </w:tr>
      <w:tr w:rsidR="008C61DB" w:rsidRPr="008C61DB" w14:paraId="53C6736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ED6537E"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pi_Insect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F4DE52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2A5D2E5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Class </w:t>
            </w:r>
            <w:proofErr w:type="spellStart"/>
            <w:r w:rsidRPr="008C61DB">
              <w:rPr>
                <w:rFonts w:ascii="Calibri" w:eastAsia="Times New Roman" w:hAnsi="Calibri" w:cs="Calibri"/>
                <w:color w:val="000000"/>
              </w:rPr>
              <w:t>Insecta</w:t>
            </w:r>
            <w:proofErr w:type="spellEnd"/>
          </w:p>
        </w:tc>
      </w:tr>
      <w:tr w:rsidR="008C61DB" w:rsidRPr="008C61DB" w14:paraId="52E31EB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F46F78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pt_Insect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094166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C2CEF3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taxa - Class </w:t>
            </w:r>
            <w:proofErr w:type="spellStart"/>
            <w:r w:rsidRPr="008C61DB">
              <w:rPr>
                <w:rFonts w:ascii="Calibri" w:eastAsia="Times New Roman" w:hAnsi="Calibri" w:cs="Calibri"/>
                <w:color w:val="000000"/>
              </w:rPr>
              <w:t>Insecta</w:t>
            </w:r>
            <w:proofErr w:type="spellEnd"/>
          </w:p>
        </w:tc>
      </w:tr>
      <w:tr w:rsidR="008C61DB" w:rsidRPr="008C61DB" w14:paraId="0726191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E1D988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nt_Mega</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072967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4704330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Megaloptera</w:t>
            </w:r>
          </w:p>
        </w:tc>
      </w:tr>
      <w:tr w:rsidR="008C61DB" w:rsidRPr="008C61DB" w14:paraId="51BF869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B9D573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pi_Mega</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E283E0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28E0C3A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Megaloptera</w:t>
            </w:r>
          </w:p>
        </w:tc>
      </w:tr>
      <w:tr w:rsidR="008C61DB" w:rsidRPr="008C61DB" w14:paraId="0AB2BDB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B9BE27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pt_Mega</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64AE5B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25C519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Megaloptera</w:t>
            </w:r>
          </w:p>
        </w:tc>
      </w:tr>
      <w:tr w:rsidR="008C61DB" w:rsidRPr="008C61DB" w14:paraId="5704F661"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625B1C3"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nt_NonIns</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F213ED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975608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number of taxa - Class not </w:t>
            </w:r>
            <w:proofErr w:type="spellStart"/>
            <w:r w:rsidRPr="008C61DB">
              <w:rPr>
                <w:rFonts w:ascii="Calibri" w:eastAsia="Times New Roman" w:hAnsi="Calibri" w:cs="Calibri"/>
                <w:color w:val="000000"/>
              </w:rPr>
              <w:t>Insecta</w:t>
            </w:r>
            <w:proofErr w:type="spellEnd"/>
          </w:p>
        </w:tc>
      </w:tr>
      <w:tr w:rsidR="008C61DB" w:rsidRPr="008C61DB" w14:paraId="6BBADC7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46CD12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pi_NonIns</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DA1F22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18D2D82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Class not </w:t>
            </w:r>
            <w:proofErr w:type="spellStart"/>
            <w:r w:rsidRPr="008C61DB">
              <w:rPr>
                <w:rFonts w:ascii="Calibri" w:eastAsia="Times New Roman" w:hAnsi="Calibri" w:cs="Calibri"/>
                <w:color w:val="000000"/>
              </w:rPr>
              <w:t>Insecta</w:t>
            </w:r>
            <w:proofErr w:type="spellEnd"/>
          </w:p>
        </w:tc>
      </w:tr>
      <w:tr w:rsidR="008C61DB" w:rsidRPr="008C61DB" w14:paraId="754AF72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AA8463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pt_NonIns</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49BE5A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0BC73BB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taxa - Class not </w:t>
            </w:r>
            <w:proofErr w:type="spellStart"/>
            <w:r w:rsidRPr="008C61DB">
              <w:rPr>
                <w:rFonts w:ascii="Calibri" w:eastAsia="Times New Roman" w:hAnsi="Calibri" w:cs="Calibri"/>
                <w:color w:val="000000"/>
              </w:rPr>
              <w:t>Insecta</w:t>
            </w:r>
            <w:proofErr w:type="spellEnd"/>
          </w:p>
        </w:tc>
      </w:tr>
      <w:tr w:rsidR="008C61DB" w:rsidRPr="008C61DB" w14:paraId="25103BE2"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7F98AC8"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nt_Odon</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B4E0A3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1BEB184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Odonata</w:t>
            </w:r>
          </w:p>
        </w:tc>
      </w:tr>
      <w:tr w:rsidR="008C61DB" w:rsidRPr="008C61DB" w14:paraId="5496A55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AD614E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pi_Odon</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1EBFC65"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553E5D8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Odonata</w:t>
            </w:r>
          </w:p>
        </w:tc>
      </w:tr>
      <w:tr w:rsidR="008C61DB" w:rsidRPr="008C61DB" w14:paraId="282E64D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250D16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pt_Odon</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17ECA2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581E945C"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Odonata</w:t>
            </w:r>
          </w:p>
        </w:tc>
      </w:tr>
      <w:tr w:rsidR="008C61DB" w:rsidRPr="008C61DB" w14:paraId="1787A59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6E04B2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5AFDAF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3670916C"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Orders Odonata, Ephemeroptera &amp; Trichoptera (OET)</w:t>
            </w:r>
          </w:p>
        </w:tc>
      </w:tr>
      <w:tr w:rsidR="008C61DB" w:rsidRPr="008C61DB" w14:paraId="5208840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9E8650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37888D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7226B55C"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Orders Odonata, Ephemeroptera &amp; Trichoptera (OET)</w:t>
            </w:r>
          </w:p>
        </w:tc>
      </w:tr>
      <w:tr w:rsidR="008C61DB" w:rsidRPr="008C61DB" w14:paraId="6916230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BBDF94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20FFDFE"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A8FC8C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Orders Odonata, Ephemeroptera &amp; Trichoptera (OET)</w:t>
            </w:r>
          </w:p>
        </w:tc>
      </w:tr>
      <w:tr w:rsidR="008C61DB" w:rsidRPr="008C61DB" w14:paraId="3721A1C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14BA2BC"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nt_Oligo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DAEC730"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551C3B74"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Class Oligochaeta</w:t>
            </w:r>
          </w:p>
        </w:tc>
      </w:tr>
      <w:tr w:rsidR="008C61DB" w:rsidRPr="008C61DB" w14:paraId="6434684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047A0C4"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pi_Oligo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6EF3A65"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52A0219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Class Oligochaeta</w:t>
            </w:r>
          </w:p>
        </w:tc>
      </w:tr>
      <w:tr w:rsidR="008C61DB" w:rsidRPr="008C61DB" w14:paraId="2ABC828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9924DC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pt_Oligo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CBDC1A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6BAE3A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Class Oligochaeta</w:t>
            </w:r>
          </w:p>
        </w:tc>
      </w:tr>
      <w:tr w:rsidR="008C61DB" w:rsidRPr="008C61DB" w14:paraId="092FF3A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CE7DDA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nt_Pleco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62FA930"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D7A558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Plecoptera</w:t>
            </w:r>
          </w:p>
        </w:tc>
      </w:tr>
      <w:tr w:rsidR="008C61DB" w:rsidRPr="008C61DB" w14:paraId="061D0D5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FA274B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pi_Pleco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664EC7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48D09CD2"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Plecoptera</w:t>
            </w:r>
          </w:p>
        </w:tc>
      </w:tr>
      <w:tr w:rsidR="008C61DB" w:rsidRPr="008C61DB" w14:paraId="7669D68B"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3958F69"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pt_Pleco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BAB699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39FE936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Plecoptera</w:t>
            </w:r>
          </w:p>
        </w:tc>
      </w:tr>
      <w:tr w:rsidR="008C61DB" w:rsidRPr="008C61DB" w14:paraId="551C1207"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5588390"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nt_POET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FBC08E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BAE346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Orders Plecoptera, Odonata, Ephemeroptera &amp; Trichoptera (POET)</w:t>
            </w:r>
          </w:p>
        </w:tc>
      </w:tr>
      <w:tr w:rsidR="008C61DB" w:rsidRPr="008C61DB" w14:paraId="74AFC0C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0EC7780"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pi_POET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AB144F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7DB06F6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-Orders Plecoptera, Odonata, Ephemeroptera &amp; Trichoptera (POET)</w:t>
            </w:r>
          </w:p>
        </w:tc>
      </w:tr>
      <w:tr w:rsidR="008C61DB" w:rsidRPr="008C61DB" w14:paraId="0367896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58368D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pt_POET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D59ABC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4203A41"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Orders Plecoptera, Odonata, Ephemeroptera &amp; Trichoptera (POET)</w:t>
            </w:r>
          </w:p>
        </w:tc>
      </w:tr>
      <w:tr w:rsidR="008C61DB" w:rsidRPr="008C61DB" w14:paraId="50BB407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60E502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nt_Trich</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E2633B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7A9C1414"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Trichoptera</w:t>
            </w:r>
          </w:p>
        </w:tc>
      </w:tr>
      <w:tr w:rsidR="008C61DB" w:rsidRPr="008C61DB" w14:paraId="4686552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AA52984"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pi_Trich</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D36725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5CCD2EB9"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Trichoptera</w:t>
            </w:r>
          </w:p>
        </w:tc>
      </w:tr>
      <w:tr w:rsidR="008C61DB" w:rsidRPr="008C61DB" w14:paraId="34A20F4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A7ECE15"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pt_Trich</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DB4C595"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7B0CC9A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Trichoptera</w:t>
            </w:r>
          </w:p>
        </w:tc>
      </w:tr>
      <w:tr w:rsidR="008C61DB" w:rsidRPr="008C61DB" w14:paraId="5D62906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830BC08"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lastRenderedPageBreak/>
              <w:t>pi_TricNoHydro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0AA6350"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73B0B6D2"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Order Trichoptera, excluding Family </w:t>
            </w:r>
            <w:proofErr w:type="spellStart"/>
            <w:r w:rsidRPr="008C61DB">
              <w:rPr>
                <w:rFonts w:ascii="Calibri" w:eastAsia="Times New Roman" w:hAnsi="Calibri" w:cs="Calibri"/>
                <w:color w:val="000000"/>
              </w:rPr>
              <w:t>Hydropsychidae</w:t>
            </w:r>
            <w:proofErr w:type="spellEnd"/>
          </w:p>
        </w:tc>
      </w:tr>
      <w:tr w:rsidR="008C61DB" w:rsidRPr="008C61DB" w14:paraId="54D2591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94B5C12"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pi_SimBtri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B17FA6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71EE0F6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Families </w:t>
            </w:r>
            <w:proofErr w:type="spellStart"/>
            <w:r w:rsidRPr="008C61DB">
              <w:rPr>
                <w:rFonts w:ascii="Calibri" w:eastAsia="Times New Roman" w:hAnsi="Calibri" w:cs="Calibri"/>
                <w:color w:val="000000"/>
              </w:rPr>
              <w:t>Simuliidae</w:t>
            </w:r>
            <w:proofErr w:type="spellEnd"/>
            <w:r w:rsidRPr="008C61DB">
              <w:rPr>
                <w:rFonts w:ascii="Calibri" w:eastAsia="Times New Roman" w:hAnsi="Calibri" w:cs="Calibri"/>
                <w:color w:val="000000"/>
              </w:rPr>
              <w:t xml:space="preserve"> &amp; </w:t>
            </w:r>
            <w:proofErr w:type="spellStart"/>
            <w:r w:rsidRPr="008C61DB">
              <w:rPr>
                <w:rFonts w:ascii="Calibri" w:eastAsia="Times New Roman" w:hAnsi="Calibri" w:cs="Calibri"/>
                <w:color w:val="000000"/>
              </w:rPr>
              <w:t>Baetis</w:t>
            </w:r>
            <w:proofErr w:type="spellEnd"/>
            <w:r w:rsidRPr="008C61DB">
              <w:rPr>
                <w:rFonts w:ascii="Calibri" w:eastAsia="Times New Roman" w:hAnsi="Calibri" w:cs="Calibri"/>
                <w:color w:val="000000"/>
              </w:rPr>
              <w:t xml:space="preserve"> </w:t>
            </w:r>
            <w:proofErr w:type="spellStart"/>
            <w:r w:rsidRPr="008C61DB">
              <w:rPr>
                <w:rFonts w:ascii="Calibri" w:eastAsia="Times New Roman" w:hAnsi="Calibri" w:cs="Calibri"/>
                <w:color w:val="000000"/>
              </w:rPr>
              <w:t>tricaudatus</w:t>
            </w:r>
            <w:proofErr w:type="spellEnd"/>
          </w:p>
        </w:tc>
      </w:tr>
      <w:tr w:rsidR="008C61DB" w:rsidRPr="008C61DB" w14:paraId="4C8E5DE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4B052F9"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pi_dom01</w:t>
            </w:r>
          </w:p>
        </w:tc>
        <w:tc>
          <w:tcPr>
            <w:tcW w:w="506" w:type="pct"/>
            <w:tcBorders>
              <w:top w:val="nil"/>
              <w:left w:val="nil"/>
              <w:bottom w:val="single" w:sz="4" w:space="0" w:color="auto"/>
              <w:right w:val="single" w:sz="4" w:space="0" w:color="auto"/>
            </w:tcBorders>
            <w:shd w:val="clear" w:color="auto" w:fill="auto"/>
            <w:vAlign w:val="center"/>
            <w:hideMark/>
          </w:tcPr>
          <w:p w14:paraId="1B6BD3D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12AB314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most dominant taxon [max(N_TAXA)]</w:t>
            </w:r>
          </w:p>
        </w:tc>
      </w:tr>
      <w:tr w:rsidR="008C61DB" w:rsidRPr="008C61DB" w14:paraId="5D3EA0C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CB4B94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pi_dom02</w:t>
            </w:r>
          </w:p>
        </w:tc>
        <w:tc>
          <w:tcPr>
            <w:tcW w:w="506" w:type="pct"/>
            <w:tcBorders>
              <w:top w:val="nil"/>
              <w:left w:val="nil"/>
              <w:bottom w:val="single" w:sz="4" w:space="0" w:color="auto"/>
              <w:right w:val="single" w:sz="4" w:space="0" w:color="auto"/>
            </w:tcBorders>
            <w:shd w:val="clear" w:color="auto" w:fill="auto"/>
            <w:vAlign w:val="center"/>
            <w:hideMark/>
          </w:tcPr>
          <w:p w14:paraId="0C350DF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A65C4D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two most dominant taxa</w:t>
            </w:r>
          </w:p>
        </w:tc>
      </w:tr>
      <w:tr w:rsidR="008C61DB" w:rsidRPr="008C61DB" w14:paraId="2815165A"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6AB2FF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pi_dom03</w:t>
            </w:r>
          </w:p>
        </w:tc>
        <w:tc>
          <w:tcPr>
            <w:tcW w:w="506" w:type="pct"/>
            <w:tcBorders>
              <w:top w:val="nil"/>
              <w:left w:val="nil"/>
              <w:bottom w:val="single" w:sz="4" w:space="0" w:color="auto"/>
              <w:right w:val="single" w:sz="4" w:space="0" w:color="auto"/>
            </w:tcBorders>
            <w:shd w:val="clear" w:color="auto" w:fill="auto"/>
            <w:vAlign w:val="center"/>
            <w:hideMark/>
          </w:tcPr>
          <w:p w14:paraId="305AD9C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860E3E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three most dominant taxa</w:t>
            </w:r>
          </w:p>
        </w:tc>
      </w:tr>
      <w:tr w:rsidR="008C61DB" w:rsidRPr="008C61DB" w14:paraId="6B8127C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C073BF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pi_dom04</w:t>
            </w:r>
          </w:p>
        </w:tc>
        <w:tc>
          <w:tcPr>
            <w:tcW w:w="506" w:type="pct"/>
            <w:tcBorders>
              <w:top w:val="nil"/>
              <w:left w:val="nil"/>
              <w:bottom w:val="single" w:sz="4" w:space="0" w:color="auto"/>
              <w:right w:val="single" w:sz="4" w:space="0" w:color="auto"/>
            </w:tcBorders>
            <w:shd w:val="clear" w:color="auto" w:fill="auto"/>
            <w:vAlign w:val="center"/>
            <w:hideMark/>
          </w:tcPr>
          <w:p w14:paraId="4C9407D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5FE654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four most dominant taxa</w:t>
            </w:r>
          </w:p>
        </w:tc>
      </w:tr>
      <w:tr w:rsidR="008C61DB" w:rsidRPr="008C61DB" w14:paraId="51513EC2"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4DF8084"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pi_dom05</w:t>
            </w:r>
          </w:p>
        </w:tc>
        <w:tc>
          <w:tcPr>
            <w:tcW w:w="506" w:type="pct"/>
            <w:tcBorders>
              <w:top w:val="nil"/>
              <w:left w:val="nil"/>
              <w:bottom w:val="single" w:sz="4" w:space="0" w:color="auto"/>
              <w:right w:val="single" w:sz="4" w:space="0" w:color="auto"/>
            </w:tcBorders>
            <w:shd w:val="clear" w:color="auto" w:fill="auto"/>
            <w:vAlign w:val="center"/>
            <w:hideMark/>
          </w:tcPr>
          <w:p w14:paraId="1D521A9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71D346D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five most dominant taxa</w:t>
            </w:r>
          </w:p>
        </w:tc>
      </w:tr>
      <w:tr w:rsidR="008C61DB" w:rsidRPr="008C61DB" w14:paraId="72488671"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4E1692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x_Shan_2</w:t>
            </w:r>
          </w:p>
        </w:tc>
        <w:tc>
          <w:tcPr>
            <w:tcW w:w="506" w:type="pct"/>
            <w:tcBorders>
              <w:top w:val="nil"/>
              <w:left w:val="nil"/>
              <w:bottom w:val="single" w:sz="4" w:space="0" w:color="auto"/>
              <w:right w:val="single" w:sz="4" w:space="0" w:color="auto"/>
            </w:tcBorders>
            <w:shd w:val="clear" w:color="auto" w:fill="auto"/>
            <w:vAlign w:val="center"/>
            <w:hideMark/>
          </w:tcPr>
          <w:p w14:paraId="468CAEE0"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1E1DA4D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Shannon Wiener Diversity Index (log base 2) - </w:t>
            </w:r>
            <w:proofErr w:type="spellStart"/>
            <w:r w:rsidRPr="008C61DB">
              <w:rPr>
                <w:rFonts w:ascii="Calibri" w:eastAsia="Times New Roman" w:hAnsi="Calibri" w:cs="Calibri"/>
                <w:color w:val="000000"/>
              </w:rPr>
              <w:t>x_Shan_Num</w:t>
            </w:r>
            <w:proofErr w:type="spellEnd"/>
            <w:r w:rsidRPr="008C61DB">
              <w:rPr>
                <w:rFonts w:ascii="Calibri" w:eastAsia="Times New Roman" w:hAnsi="Calibri" w:cs="Calibri"/>
                <w:color w:val="000000"/>
              </w:rPr>
              <w:t>/</w:t>
            </w:r>
            <w:proofErr w:type="gramStart"/>
            <w:r w:rsidRPr="008C61DB">
              <w:rPr>
                <w:rFonts w:ascii="Calibri" w:eastAsia="Times New Roman" w:hAnsi="Calibri" w:cs="Calibri"/>
                <w:color w:val="000000"/>
              </w:rPr>
              <w:t>log(</w:t>
            </w:r>
            <w:proofErr w:type="gramEnd"/>
            <w:r w:rsidRPr="008C61DB">
              <w:rPr>
                <w:rFonts w:ascii="Calibri" w:eastAsia="Times New Roman" w:hAnsi="Calibri" w:cs="Calibri"/>
                <w:color w:val="000000"/>
              </w:rPr>
              <w:t>2)</w:t>
            </w:r>
          </w:p>
        </w:tc>
      </w:tr>
      <w:tr w:rsidR="008C61DB" w:rsidRPr="008C61DB" w14:paraId="0D038E5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35A96C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x_D</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558637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4AED4F2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Simpson's Index</w:t>
            </w:r>
          </w:p>
        </w:tc>
      </w:tr>
      <w:tr w:rsidR="008C61DB" w:rsidRPr="008C61DB" w14:paraId="4436CB81"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C77CE3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x_Evenness</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B2FA39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DA3E937"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Evenness=</w:t>
            </w:r>
            <w:proofErr w:type="spellStart"/>
            <w:r w:rsidRPr="008C61DB">
              <w:rPr>
                <w:rFonts w:ascii="Calibri" w:eastAsia="Times New Roman" w:hAnsi="Calibri" w:cs="Calibri"/>
                <w:color w:val="000000"/>
              </w:rPr>
              <w:t>x_Shan_e</w:t>
            </w:r>
            <w:proofErr w:type="spellEnd"/>
            <w:r w:rsidRPr="008C61DB">
              <w:rPr>
                <w:rFonts w:ascii="Calibri" w:eastAsia="Times New Roman" w:hAnsi="Calibri" w:cs="Calibri"/>
                <w:color w:val="000000"/>
              </w:rPr>
              <w:t>/log(</w:t>
            </w:r>
            <w:proofErr w:type="spellStart"/>
            <w:r w:rsidRPr="008C61DB">
              <w:rPr>
                <w:rFonts w:ascii="Calibri" w:eastAsia="Times New Roman" w:hAnsi="Calibri" w:cs="Calibri"/>
                <w:color w:val="000000"/>
              </w:rPr>
              <w:t>nt_total</w:t>
            </w:r>
            <w:proofErr w:type="spellEnd"/>
            <w:r w:rsidRPr="008C61DB">
              <w:rPr>
                <w:rFonts w:ascii="Calibri" w:eastAsia="Times New Roman" w:hAnsi="Calibri" w:cs="Calibri"/>
                <w:color w:val="000000"/>
              </w:rPr>
              <w:t>)</w:t>
            </w:r>
          </w:p>
        </w:tc>
      </w:tr>
      <w:tr w:rsidR="008C61DB" w:rsidRPr="008C61DB" w14:paraId="20AE28A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529FCB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x_Becks</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6CFCA3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5C8CCD5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Becks Biotic Index = 2*[C1</w:t>
            </w:r>
            <w:proofErr w:type="gramStart"/>
            <w:r w:rsidRPr="008C61DB">
              <w:rPr>
                <w:rFonts w:ascii="Calibri" w:eastAsia="Times New Roman" w:hAnsi="Calibri" w:cs="Calibri"/>
                <w:color w:val="000000"/>
              </w:rPr>
              <w:t>Taxa]+</w:t>
            </w:r>
            <w:proofErr w:type="gramEnd"/>
            <w:r w:rsidRPr="008C61DB">
              <w:rPr>
                <w:rFonts w:ascii="Calibri" w:eastAsia="Times New Roman" w:hAnsi="Calibri" w:cs="Calibri"/>
                <w:color w:val="000000"/>
              </w:rPr>
              <w:t>[C2Taxa] (see footnote)</w:t>
            </w:r>
          </w:p>
        </w:tc>
      </w:tr>
      <w:tr w:rsidR="008C61DB" w:rsidRPr="008C61DB" w14:paraId="08FA51C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45B0C73"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x_HBI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3F979E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54C79DB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Hilsenhoff</w:t>
            </w:r>
            <w:proofErr w:type="spellEnd"/>
            <w:r w:rsidRPr="008C61DB">
              <w:rPr>
                <w:rFonts w:ascii="Calibri" w:eastAsia="Times New Roman" w:hAnsi="Calibri" w:cs="Calibri"/>
                <w:color w:val="000000"/>
              </w:rPr>
              <w:t xml:space="preserve"> Biotic Index (references the </w:t>
            </w:r>
            <w:proofErr w:type="spellStart"/>
            <w:r w:rsidRPr="008C61DB">
              <w:rPr>
                <w:rFonts w:ascii="Calibri" w:eastAsia="Times New Roman" w:hAnsi="Calibri" w:cs="Calibri"/>
                <w:color w:val="000000"/>
              </w:rPr>
              <w:t>TolVal</w:t>
            </w:r>
            <w:proofErr w:type="spellEnd"/>
            <w:r w:rsidRPr="008C61DB">
              <w:rPr>
                <w:rFonts w:ascii="Calibri" w:eastAsia="Times New Roman" w:hAnsi="Calibri" w:cs="Calibri"/>
                <w:color w:val="000000"/>
              </w:rPr>
              <w:t xml:space="preserve"> field)</w:t>
            </w:r>
          </w:p>
        </w:tc>
      </w:tr>
      <w:tr w:rsidR="008C61DB" w:rsidRPr="008C61DB" w14:paraId="4894D1D2"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620AA32"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nt_tv_intol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E2E04A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36752EE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tolerance value - intolerant ≤ 3</w:t>
            </w:r>
          </w:p>
        </w:tc>
      </w:tr>
      <w:tr w:rsidR="008C61DB" w:rsidRPr="008C61DB" w14:paraId="6BDF7652"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0423BD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pi_tv_intol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7FE2C5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4CF8479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tolerance value - intolerant ≤ 3</w:t>
            </w:r>
          </w:p>
        </w:tc>
      </w:tr>
      <w:tr w:rsidR="008C61DB" w:rsidRPr="008C61DB" w14:paraId="01F21B4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6CB1B6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pt_tv_intol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8E722B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062CDB9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tolerance value - intolerant ≤ 3</w:t>
            </w:r>
          </w:p>
        </w:tc>
      </w:tr>
      <w:tr w:rsidR="008C61DB" w:rsidRPr="008C61DB" w14:paraId="7B95D78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00C8B2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nt_tv_toler</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C43C272"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0E876762"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tolerance value -tolerant ≥ 7</w:t>
            </w:r>
          </w:p>
        </w:tc>
      </w:tr>
      <w:tr w:rsidR="008C61DB" w:rsidRPr="008C61DB" w14:paraId="3B35998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E79D6A5"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pi_tv_toler</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32C3CC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33255B8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tolerance value -tolerant ≥ 7</w:t>
            </w:r>
          </w:p>
        </w:tc>
      </w:tr>
      <w:tr w:rsidR="008C61DB" w:rsidRPr="008C61DB" w14:paraId="1BCF598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24F5BBC"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pt_tv_toler</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97EFBA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67895D5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tolerance value -tolerant ≥ 7</w:t>
            </w:r>
          </w:p>
        </w:tc>
      </w:tr>
      <w:tr w:rsidR="008C61DB" w:rsidRPr="008C61DB" w14:paraId="420B340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CAA785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nt_ffg_col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2D79BD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14815E4C"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Functional Feeding Group (FFG) - collector-gatherer (CG)</w:t>
            </w:r>
          </w:p>
        </w:tc>
      </w:tr>
      <w:tr w:rsidR="008C61DB" w:rsidRPr="008C61DB" w14:paraId="2CCF3C0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2D77650"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pi_ffg_col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EE2B460"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3A2EB47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Functional Feeding Group (FFG) - collector-gatherer (CG)</w:t>
            </w:r>
          </w:p>
        </w:tc>
      </w:tr>
      <w:tr w:rsidR="008C61DB" w:rsidRPr="008C61DB" w14:paraId="556421B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53E0AB2"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pt_ffg_col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82D0CB4"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534D3E84"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Functional Feeding Group (FFG) - collector-gatherer (CG)</w:t>
            </w:r>
          </w:p>
        </w:tc>
      </w:tr>
      <w:tr w:rsidR="008C61DB" w:rsidRPr="008C61DB" w14:paraId="7117538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D6E92E4"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nt_ffg_filt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606291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05643A2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Functional Feeding Group (FFG) - collector-filterer (CF)</w:t>
            </w:r>
          </w:p>
        </w:tc>
      </w:tr>
      <w:tr w:rsidR="008C61DB" w:rsidRPr="008C61DB" w14:paraId="470FC75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6ECB485"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pi_ffg_filt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1D60EA2"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6BFC3F2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Functional Feeding Group (FFG) - collector-filterer (CF)</w:t>
            </w:r>
          </w:p>
        </w:tc>
      </w:tr>
      <w:tr w:rsidR="008C61DB" w:rsidRPr="008C61DB" w14:paraId="23C26B8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35FE89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pt_ffg_filt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169DBD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6523A6C9"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Functional Feeding Group (FFG) - collector-filterer (CF)</w:t>
            </w:r>
          </w:p>
        </w:tc>
      </w:tr>
      <w:tr w:rsidR="008C61DB" w:rsidRPr="008C61DB" w14:paraId="0F33CF7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4A2D85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nt_ffg_pred</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652E025"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546DB133"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Functional Feeding Group (FFG) - predator (PR)</w:t>
            </w:r>
          </w:p>
        </w:tc>
      </w:tr>
      <w:tr w:rsidR="008C61DB" w:rsidRPr="008C61DB" w14:paraId="37BE6DB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1ABBFB5"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pi_ffg_pred</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4E65FA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54F0DF9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Functional Feeding Group (FFG) - predator (PR)</w:t>
            </w:r>
          </w:p>
        </w:tc>
      </w:tr>
      <w:tr w:rsidR="008C61DB" w:rsidRPr="008C61DB" w14:paraId="02D8596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F84A2E2"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pt_ffg_pred</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E698CE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725004E2"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Functional Feeding Group (FFG) - predator (PR)</w:t>
            </w:r>
          </w:p>
        </w:tc>
      </w:tr>
      <w:tr w:rsidR="008C61DB" w:rsidRPr="008C61DB" w14:paraId="3C87E72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0EB5FD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nt_ffg_scrap</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0C9CD7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78DC752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Functional Feeding Group (FFG) - scraper (SC)</w:t>
            </w:r>
          </w:p>
        </w:tc>
      </w:tr>
      <w:tr w:rsidR="008C61DB" w:rsidRPr="008C61DB" w14:paraId="432D849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4BAEE93"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pi_ffg_scrap</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25F547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2E385BF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Functional Feeding Group (FFG) - scraper (SC)</w:t>
            </w:r>
          </w:p>
        </w:tc>
      </w:tr>
      <w:tr w:rsidR="008C61DB" w:rsidRPr="008C61DB" w14:paraId="1F3B279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444C84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pt_ffg_scrap</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DC559A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370D95D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Functional Feeding Group (FFG) - scraper (SC)</w:t>
            </w:r>
          </w:p>
        </w:tc>
      </w:tr>
      <w:tr w:rsidR="008C61DB" w:rsidRPr="008C61DB" w14:paraId="19F2101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B6A795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nt_ffg_shred</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EBDBBE5"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4FDE305C"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Functional Feeding Group (FFG) - shredder (SH)</w:t>
            </w:r>
          </w:p>
        </w:tc>
      </w:tr>
      <w:tr w:rsidR="008C61DB" w:rsidRPr="008C61DB" w14:paraId="703587C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661087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pi_ffg_shred</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38DC41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70A7CB77"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Functional Feeding Group (FFG) - shredder (SH)</w:t>
            </w:r>
          </w:p>
        </w:tc>
      </w:tr>
      <w:tr w:rsidR="008C61DB" w:rsidRPr="008C61DB" w14:paraId="0CDC0342"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0A66E00"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pt_ffg_shred</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BD6E35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1DDB9B2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Functional Feeding Group (FFG) - shredder (SH)</w:t>
            </w:r>
          </w:p>
        </w:tc>
      </w:tr>
      <w:tr w:rsidR="008C61DB" w:rsidRPr="008C61DB" w14:paraId="3C750C4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F75B784"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nt_habit_burrow</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20E3A2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46DA36CC"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Habit - burrowers (BU)</w:t>
            </w:r>
          </w:p>
        </w:tc>
      </w:tr>
      <w:tr w:rsidR="008C61DB" w:rsidRPr="008C61DB" w14:paraId="603C478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1649CF0"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pi_habit_burrow</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BE5964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71C2FBA1"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Habit - burrowers (BU)</w:t>
            </w:r>
          </w:p>
        </w:tc>
      </w:tr>
      <w:tr w:rsidR="008C61DB" w:rsidRPr="008C61DB" w14:paraId="105E826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390B939"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lastRenderedPageBreak/>
              <w:t>pt_habit_burrow</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21E758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458EBFB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Habit - burrowers (BU)</w:t>
            </w:r>
          </w:p>
        </w:tc>
      </w:tr>
      <w:tr w:rsidR="008C61DB" w:rsidRPr="008C61DB" w14:paraId="3150BCA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4BCE9C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nt_habit_climb</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E625582"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0D77359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Habit - climbers (CB)</w:t>
            </w:r>
          </w:p>
        </w:tc>
      </w:tr>
      <w:tr w:rsidR="008C61DB" w:rsidRPr="008C61DB" w14:paraId="3E95F8C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16111E2"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pi_habit_climb</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3F7B0B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50433D5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Habit - climbers (CB)</w:t>
            </w:r>
          </w:p>
        </w:tc>
      </w:tr>
      <w:tr w:rsidR="008C61DB" w:rsidRPr="008C61DB" w14:paraId="2CD0F6D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A76AD29"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pt_habit_climb</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5DDCBD2"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38E10D8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Habit - climbers (CB)</w:t>
            </w:r>
          </w:p>
        </w:tc>
      </w:tr>
      <w:tr w:rsidR="008C61DB" w:rsidRPr="008C61DB" w14:paraId="408E810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79B8208"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nt_habit_cling</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3D84F8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2C6F2FE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Habit - clingers (CN)</w:t>
            </w:r>
          </w:p>
        </w:tc>
      </w:tr>
      <w:tr w:rsidR="008C61DB" w:rsidRPr="008C61DB" w14:paraId="4B23F2F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5F97D0E"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pi_habit_cling</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F3F57CE"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7C184BE1"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Habit - clingers (CN)</w:t>
            </w:r>
          </w:p>
        </w:tc>
      </w:tr>
      <w:tr w:rsidR="008C61DB" w:rsidRPr="008C61DB" w14:paraId="06F7EA4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D2CF43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pt_habit_cling</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0A230A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69308F57"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Habit - clingers (CN)</w:t>
            </w:r>
          </w:p>
        </w:tc>
      </w:tr>
      <w:tr w:rsidR="008C61DB" w:rsidRPr="008C61DB" w14:paraId="144FFF7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FE46E4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nt_habit_sprawl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9677F9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0297CAE9"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Habit - sprawlers (SP)</w:t>
            </w:r>
          </w:p>
        </w:tc>
      </w:tr>
      <w:tr w:rsidR="008C61DB" w:rsidRPr="008C61DB" w14:paraId="63DA4B1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C079819"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pi_habit_sprawl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A62E634"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2F261AA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Habit - sprawlers (SP)</w:t>
            </w:r>
          </w:p>
        </w:tc>
      </w:tr>
      <w:tr w:rsidR="008C61DB" w:rsidRPr="008C61DB" w14:paraId="3EDA5B2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880A9CC"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pt_habit_sprawl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AFEC02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6A1EE8E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Habit - sprawlers (SP)</w:t>
            </w:r>
          </w:p>
        </w:tc>
      </w:tr>
      <w:tr w:rsidR="008C61DB" w:rsidRPr="008C61DB" w14:paraId="4891BD61"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9E7FAED"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nt_habit_swim</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392376E"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0B654EE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Habit - swimmers (SW)</w:t>
            </w:r>
          </w:p>
        </w:tc>
      </w:tr>
      <w:tr w:rsidR="008C61DB" w:rsidRPr="008C61DB" w14:paraId="37D7C621"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A1AFF9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pi_habit_swim</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8CB228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43F8B8D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Habit - swimmers (SW)</w:t>
            </w:r>
          </w:p>
        </w:tc>
      </w:tr>
      <w:tr w:rsidR="008C61DB" w:rsidRPr="008C61DB" w14:paraId="1DAB68D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BD8B86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pt_habit_swim</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4272E24"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1E221C7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Habit - swimmers (SW)</w:t>
            </w:r>
          </w:p>
        </w:tc>
      </w:tr>
      <w:tr w:rsidR="008C61DB" w:rsidRPr="008C61DB" w14:paraId="2EED1C8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3E19E8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nt_volt_multi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18B7125"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2D80529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multivoltine (MULTI)</w:t>
            </w:r>
          </w:p>
        </w:tc>
      </w:tr>
      <w:tr w:rsidR="008C61DB" w:rsidRPr="008C61DB" w14:paraId="252A143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96C77A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pi_volt_multi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137313D"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2D68B66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multivoltine (MULTI)</w:t>
            </w:r>
          </w:p>
        </w:tc>
      </w:tr>
      <w:tr w:rsidR="008C61DB" w:rsidRPr="008C61DB" w14:paraId="109A04B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A572FF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pt_volt_multi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DD70AD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1DC7AF3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multivoltine (MULTI)</w:t>
            </w:r>
          </w:p>
        </w:tc>
      </w:tr>
      <w:tr w:rsidR="008C61DB" w:rsidRPr="008C61DB" w14:paraId="06B7ACD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FB470C4"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nt_volt_semi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857128D"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4F6F9519"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semivoltine (SEMI)</w:t>
            </w:r>
          </w:p>
        </w:tc>
      </w:tr>
      <w:tr w:rsidR="008C61DB" w:rsidRPr="008C61DB" w14:paraId="53ADD2CB"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F6D5B0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pi_volt_semi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14A604E"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0D5D69B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semivoltine (SEMI)</w:t>
            </w:r>
          </w:p>
        </w:tc>
      </w:tr>
      <w:tr w:rsidR="008C61DB" w:rsidRPr="008C61DB" w14:paraId="3C00BB3A"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E7CA7DC"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pt_volt_semi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F409544"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0BAB0C3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semivoltine (SEMI)</w:t>
            </w:r>
          </w:p>
        </w:tc>
      </w:tr>
      <w:tr w:rsidR="008C61DB" w:rsidRPr="008C61DB" w14:paraId="0B4E30C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31B75B8"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nt_volt_uni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F7FB88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71D81FF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number of taxa - </w:t>
            </w:r>
            <w:proofErr w:type="spellStart"/>
            <w:r w:rsidRPr="008C61DB">
              <w:rPr>
                <w:rFonts w:ascii="Calibri" w:eastAsia="Times New Roman" w:hAnsi="Calibri" w:cs="Calibri"/>
                <w:color w:val="000000"/>
              </w:rPr>
              <w:t>univoltine</w:t>
            </w:r>
            <w:proofErr w:type="spellEnd"/>
            <w:r w:rsidRPr="008C61DB">
              <w:rPr>
                <w:rFonts w:ascii="Calibri" w:eastAsia="Times New Roman" w:hAnsi="Calibri" w:cs="Calibri"/>
                <w:color w:val="000000"/>
              </w:rPr>
              <w:t xml:space="preserve"> (UNI)</w:t>
            </w:r>
          </w:p>
        </w:tc>
      </w:tr>
      <w:tr w:rsidR="008C61DB" w:rsidRPr="008C61DB" w14:paraId="6610D74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1B2F0A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pi_volt_uni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8C6274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44DCCF7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w:t>
            </w:r>
            <w:proofErr w:type="spellStart"/>
            <w:r w:rsidRPr="008C61DB">
              <w:rPr>
                <w:rFonts w:ascii="Calibri" w:eastAsia="Times New Roman" w:hAnsi="Calibri" w:cs="Calibri"/>
                <w:color w:val="000000"/>
              </w:rPr>
              <w:t>univoltine</w:t>
            </w:r>
            <w:proofErr w:type="spellEnd"/>
            <w:r w:rsidRPr="008C61DB">
              <w:rPr>
                <w:rFonts w:ascii="Calibri" w:eastAsia="Times New Roman" w:hAnsi="Calibri" w:cs="Calibri"/>
                <w:color w:val="000000"/>
              </w:rPr>
              <w:t xml:space="preserve"> (UNI)</w:t>
            </w:r>
          </w:p>
        </w:tc>
      </w:tr>
      <w:tr w:rsidR="008C61DB" w:rsidRPr="008C61DB" w14:paraId="10E2A41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F20D6EE"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pt_volt_uni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9E22B2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149E1D9C"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taxa - </w:t>
            </w:r>
            <w:proofErr w:type="spellStart"/>
            <w:r w:rsidRPr="008C61DB">
              <w:rPr>
                <w:rFonts w:ascii="Calibri" w:eastAsia="Times New Roman" w:hAnsi="Calibri" w:cs="Calibri"/>
                <w:color w:val="000000"/>
              </w:rPr>
              <w:t>univoltine</w:t>
            </w:r>
            <w:proofErr w:type="spellEnd"/>
            <w:r w:rsidRPr="008C61DB">
              <w:rPr>
                <w:rFonts w:ascii="Calibri" w:eastAsia="Times New Roman" w:hAnsi="Calibri" w:cs="Calibri"/>
                <w:color w:val="000000"/>
              </w:rPr>
              <w:t xml:space="preserve"> (UNI)</w:t>
            </w:r>
          </w:p>
        </w:tc>
      </w:tr>
      <w:tr w:rsidR="008C61DB" w:rsidRPr="008C61DB" w14:paraId="46BF221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1BEE073"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nt_ti_cc</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2B5758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TEMP</w:t>
            </w:r>
          </w:p>
        </w:tc>
        <w:tc>
          <w:tcPr>
            <w:tcW w:w="3569" w:type="pct"/>
            <w:tcBorders>
              <w:top w:val="nil"/>
              <w:left w:val="nil"/>
              <w:bottom w:val="single" w:sz="4" w:space="0" w:color="auto"/>
              <w:right w:val="single" w:sz="4" w:space="0" w:color="auto"/>
            </w:tcBorders>
            <w:shd w:val="clear" w:color="auto" w:fill="auto"/>
            <w:vAlign w:val="center"/>
            <w:hideMark/>
          </w:tcPr>
          <w:p w14:paraId="366B2033"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thermal indicator - cold/cool</w:t>
            </w:r>
          </w:p>
        </w:tc>
      </w:tr>
      <w:tr w:rsidR="008C61DB" w:rsidRPr="008C61DB" w14:paraId="5DBDFBE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D8C875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pi_ti_cc</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331793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TEMP</w:t>
            </w:r>
          </w:p>
        </w:tc>
        <w:tc>
          <w:tcPr>
            <w:tcW w:w="3569" w:type="pct"/>
            <w:tcBorders>
              <w:top w:val="nil"/>
              <w:left w:val="nil"/>
              <w:bottom w:val="single" w:sz="4" w:space="0" w:color="auto"/>
              <w:right w:val="single" w:sz="4" w:space="0" w:color="auto"/>
            </w:tcBorders>
            <w:shd w:val="clear" w:color="auto" w:fill="auto"/>
            <w:vAlign w:val="center"/>
            <w:hideMark/>
          </w:tcPr>
          <w:p w14:paraId="1C03ED94"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thermal indicator - cold/cool</w:t>
            </w:r>
          </w:p>
        </w:tc>
      </w:tr>
      <w:tr w:rsidR="008C61DB" w:rsidRPr="008C61DB" w14:paraId="55333DA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C75425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pt_ti_cc</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97F5F7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TEMP</w:t>
            </w:r>
          </w:p>
        </w:tc>
        <w:tc>
          <w:tcPr>
            <w:tcW w:w="3569" w:type="pct"/>
            <w:tcBorders>
              <w:top w:val="nil"/>
              <w:left w:val="nil"/>
              <w:bottom w:val="single" w:sz="4" w:space="0" w:color="auto"/>
              <w:right w:val="single" w:sz="4" w:space="0" w:color="auto"/>
            </w:tcBorders>
            <w:shd w:val="clear" w:color="auto" w:fill="auto"/>
            <w:vAlign w:val="center"/>
            <w:hideMark/>
          </w:tcPr>
          <w:p w14:paraId="467D6FB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thermal indicator - cold/cool</w:t>
            </w:r>
          </w:p>
        </w:tc>
      </w:tr>
      <w:tr w:rsidR="008C61DB" w:rsidRPr="008C61DB" w14:paraId="4AFF947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9D22EA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nt_ti_w</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F5397F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TEMP</w:t>
            </w:r>
          </w:p>
        </w:tc>
        <w:tc>
          <w:tcPr>
            <w:tcW w:w="3569" w:type="pct"/>
            <w:tcBorders>
              <w:top w:val="nil"/>
              <w:left w:val="nil"/>
              <w:bottom w:val="single" w:sz="4" w:space="0" w:color="auto"/>
              <w:right w:val="single" w:sz="4" w:space="0" w:color="auto"/>
            </w:tcBorders>
            <w:shd w:val="clear" w:color="auto" w:fill="auto"/>
            <w:vAlign w:val="center"/>
            <w:hideMark/>
          </w:tcPr>
          <w:p w14:paraId="44FA223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thermal indicator - warm</w:t>
            </w:r>
          </w:p>
        </w:tc>
      </w:tr>
      <w:tr w:rsidR="008C61DB" w:rsidRPr="008C61DB" w14:paraId="6B30659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9EE5B3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pi_ti_w</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82E0E3E"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TEMP</w:t>
            </w:r>
          </w:p>
        </w:tc>
        <w:tc>
          <w:tcPr>
            <w:tcW w:w="3569" w:type="pct"/>
            <w:tcBorders>
              <w:top w:val="nil"/>
              <w:left w:val="nil"/>
              <w:bottom w:val="single" w:sz="4" w:space="0" w:color="auto"/>
              <w:right w:val="single" w:sz="4" w:space="0" w:color="auto"/>
            </w:tcBorders>
            <w:shd w:val="clear" w:color="auto" w:fill="auto"/>
            <w:vAlign w:val="center"/>
            <w:hideMark/>
          </w:tcPr>
          <w:p w14:paraId="79E5426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thermal indicator - warm</w:t>
            </w:r>
          </w:p>
        </w:tc>
      </w:tr>
      <w:tr w:rsidR="008C61DB" w:rsidRPr="008C61DB" w14:paraId="09F5FA3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AB74B45"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pt_ti_w</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4CF6D0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TEMP</w:t>
            </w:r>
          </w:p>
        </w:tc>
        <w:tc>
          <w:tcPr>
            <w:tcW w:w="3569" w:type="pct"/>
            <w:tcBorders>
              <w:top w:val="nil"/>
              <w:left w:val="nil"/>
              <w:bottom w:val="single" w:sz="4" w:space="0" w:color="auto"/>
              <w:right w:val="single" w:sz="4" w:space="0" w:color="auto"/>
            </w:tcBorders>
            <w:shd w:val="clear" w:color="auto" w:fill="auto"/>
            <w:vAlign w:val="center"/>
            <w:hideMark/>
          </w:tcPr>
          <w:p w14:paraId="4497ADD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thermal indicator - warm</w:t>
            </w:r>
          </w:p>
        </w:tc>
      </w:tr>
    </w:tbl>
    <w:p w14:paraId="5E4C0FC1" w14:textId="77777777" w:rsidR="002370C2" w:rsidRDefault="002370C2">
      <w:pPr>
        <w:sectPr w:rsidR="002370C2">
          <w:pgSz w:w="12240" w:h="15840"/>
          <w:pgMar w:top="1440" w:right="1440" w:bottom="1440" w:left="1440" w:header="720" w:footer="720" w:gutter="0"/>
          <w:cols w:space="720"/>
          <w:docGrid w:linePitch="360"/>
        </w:sectPr>
      </w:pPr>
    </w:p>
    <w:p w14:paraId="504724E6" w14:textId="235F4FDC" w:rsidR="002370C2" w:rsidRDefault="003B3CCD" w:rsidP="002370C2">
      <w:pPr>
        <w:rPr>
          <w:rFonts w:ascii="Times New Roman" w:hAnsi="Times New Roman"/>
          <w:sz w:val="28"/>
          <w:szCs w:val="28"/>
        </w:rPr>
      </w:pPr>
      <w:r>
        <w:rPr>
          <w:rFonts w:ascii="Times New Roman" w:hAnsi="Times New Roman"/>
          <w:sz w:val="28"/>
          <w:szCs w:val="28"/>
        </w:rPr>
        <w:lastRenderedPageBreak/>
        <w:t>C</w:t>
      </w:r>
      <w:r w:rsidR="002370C2">
        <w:rPr>
          <w:rFonts w:ascii="Times New Roman" w:hAnsi="Times New Roman"/>
          <w:sz w:val="28"/>
          <w:szCs w:val="28"/>
        </w:rPr>
        <w:t>2</w:t>
      </w:r>
      <w:r w:rsidR="002370C2">
        <w:rPr>
          <w:rFonts w:ascii="Times New Roman" w:hAnsi="Times New Roman"/>
          <w:sz w:val="28"/>
          <w:szCs w:val="28"/>
        </w:rPr>
        <w:tab/>
        <w:t>Summary of input metrics in existing low gradient IBIs</w:t>
      </w:r>
    </w:p>
    <w:p w14:paraId="5607567F" w14:textId="75933D13" w:rsidR="00E32A6A" w:rsidRPr="00636830" w:rsidRDefault="00E32A6A" w:rsidP="00E32A6A">
      <w:pPr>
        <w:pStyle w:val="NoSpacing"/>
        <w:rPr>
          <w:rFonts w:asciiTheme="minorHAnsi" w:hAnsiTheme="minorHAnsi" w:cstheme="minorHAnsi"/>
          <w:sz w:val="22"/>
        </w:rPr>
      </w:pPr>
    </w:p>
    <w:p w14:paraId="2C9AE915" w14:textId="7841D761" w:rsidR="00636830" w:rsidRPr="00636830" w:rsidRDefault="00636830" w:rsidP="00E32A6A">
      <w:pPr>
        <w:pStyle w:val="NoSpacing"/>
        <w:rPr>
          <w:rFonts w:asciiTheme="minorHAnsi" w:hAnsiTheme="minorHAnsi" w:cstheme="minorHAnsi"/>
          <w:sz w:val="22"/>
        </w:rPr>
      </w:pPr>
      <w:r w:rsidRPr="00636830">
        <w:rPr>
          <w:rFonts w:asciiTheme="minorHAnsi" w:hAnsiTheme="minorHAnsi" w:cstheme="minorHAnsi"/>
          <w:sz w:val="22"/>
        </w:rPr>
        <w:t>Vermont DEC (in progress; personal communication Aaron Moore)</w:t>
      </w:r>
    </w:p>
    <w:p w14:paraId="0560DB77" w14:textId="4F642E1C" w:rsidR="00636830" w:rsidRPr="00636830" w:rsidRDefault="00636830" w:rsidP="00E32A6A">
      <w:pPr>
        <w:pStyle w:val="NoSpacing"/>
        <w:rPr>
          <w:rFonts w:asciiTheme="minorHAnsi" w:hAnsiTheme="minorHAnsi" w:cstheme="minorHAnsi"/>
          <w:sz w:val="22"/>
        </w:rPr>
      </w:pPr>
    </w:p>
    <w:p w14:paraId="6DC5A018" w14:textId="77777777" w:rsidR="00636830" w:rsidRPr="00636830" w:rsidRDefault="00636830" w:rsidP="00636830">
      <w:pPr>
        <w:rPr>
          <w:rFonts w:cstheme="minorHAnsi"/>
        </w:rPr>
      </w:pPr>
      <w:r w:rsidRPr="00636830">
        <w:rPr>
          <w:rFonts w:cstheme="minorHAnsi"/>
        </w:rPr>
        <w:t>Hybrid low gradient (HLG)</w:t>
      </w:r>
    </w:p>
    <w:p w14:paraId="519BB0AE" w14:textId="77777777" w:rsidR="00636830" w:rsidRPr="00636830" w:rsidRDefault="00636830" w:rsidP="00636830">
      <w:pPr>
        <w:pStyle w:val="ListParagraph"/>
        <w:numPr>
          <w:ilvl w:val="0"/>
          <w:numId w:val="5"/>
        </w:numPr>
        <w:rPr>
          <w:rFonts w:cstheme="minorHAnsi"/>
        </w:rPr>
      </w:pPr>
      <w:r w:rsidRPr="00636830">
        <w:rPr>
          <w:rFonts w:cstheme="minorHAnsi"/>
        </w:rPr>
        <w:t>Density</w:t>
      </w:r>
    </w:p>
    <w:p w14:paraId="5CD5D5B5" w14:textId="77777777" w:rsidR="00636830" w:rsidRPr="00636830" w:rsidRDefault="00636830" w:rsidP="00636830">
      <w:pPr>
        <w:pStyle w:val="ListParagraph"/>
        <w:numPr>
          <w:ilvl w:val="0"/>
          <w:numId w:val="5"/>
        </w:numPr>
        <w:rPr>
          <w:rFonts w:cstheme="minorHAnsi"/>
        </w:rPr>
      </w:pPr>
      <w:r w:rsidRPr="00636830">
        <w:rPr>
          <w:rFonts w:cstheme="minorHAnsi"/>
        </w:rPr>
        <w:t>EOT Richness</w:t>
      </w:r>
    </w:p>
    <w:p w14:paraId="12745A12" w14:textId="77777777" w:rsidR="00636830" w:rsidRPr="00636830" w:rsidRDefault="00636830" w:rsidP="00636830">
      <w:pPr>
        <w:pStyle w:val="ListParagraph"/>
        <w:numPr>
          <w:ilvl w:val="0"/>
          <w:numId w:val="5"/>
        </w:numPr>
        <w:rPr>
          <w:rFonts w:cstheme="minorHAnsi"/>
        </w:rPr>
      </w:pPr>
      <w:r w:rsidRPr="00636830">
        <w:rPr>
          <w:rFonts w:cstheme="minorHAnsi"/>
        </w:rPr>
        <w:t>BCG intolerant richness</w:t>
      </w:r>
    </w:p>
    <w:p w14:paraId="14B02BCD" w14:textId="77777777" w:rsidR="00636830" w:rsidRPr="00636830" w:rsidRDefault="00636830" w:rsidP="00636830">
      <w:pPr>
        <w:pStyle w:val="ListParagraph"/>
        <w:numPr>
          <w:ilvl w:val="0"/>
          <w:numId w:val="5"/>
        </w:numPr>
        <w:rPr>
          <w:rFonts w:cstheme="minorHAnsi"/>
        </w:rPr>
      </w:pPr>
      <w:r w:rsidRPr="00636830">
        <w:rPr>
          <w:rFonts w:cstheme="minorHAnsi"/>
        </w:rPr>
        <w:t>BCG intolerant COTE %</w:t>
      </w:r>
    </w:p>
    <w:p w14:paraId="458D00FC" w14:textId="77777777" w:rsidR="00636830" w:rsidRPr="00636830" w:rsidRDefault="00636830" w:rsidP="00636830">
      <w:pPr>
        <w:pStyle w:val="ListParagraph"/>
        <w:numPr>
          <w:ilvl w:val="0"/>
          <w:numId w:val="5"/>
        </w:numPr>
        <w:rPr>
          <w:rFonts w:cstheme="minorHAnsi"/>
        </w:rPr>
      </w:pPr>
      <w:r w:rsidRPr="00636830">
        <w:rPr>
          <w:rFonts w:cstheme="minorHAnsi"/>
        </w:rPr>
        <w:t>Modified EOT/</w:t>
      </w:r>
      <w:proofErr w:type="spellStart"/>
      <w:r w:rsidRPr="00636830">
        <w:rPr>
          <w:rFonts w:cstheme="minorHAnsi"/>
        </w:rPr>
        <w:t>EOT+Chiro</w:t>
      </w:r>
      <w:proofErr w:type="spellEnd"/>
    </w:p>
    <w:p w14:paraId="4D6B8F26" w14:textId="77777777" w:rsidR="00636830" w:rsidRPr="00636830" w:rsidRDefault="00636830" w:rsidP="00636830">
      <w:pPr>
        <w:pStyle w:val="ListParagraph"/>
        <w:numPr>
          <w:ilvl w:val="0"/>
          <w:numId w:val="5"/>
        </w:numPr>
        <w:rPr>
          <w:rFonts w:cstheme="minorHAnsi"/>
        </w:rPr>
      </w:pPr>
      <w:r w:rsidRPr="00636830">
        <w:rPr>
          <w:rFonts w:cstheme="minorHAnsi"/>
        </w:rPr>
        <w:t>PMA-O</w:t>
      </w:r>
    </w:p>
    <w:p w14:paraId="325F8936" w14:textId="77777777" w:rsidR="00636830" w:rsidRPr="00636830" w:rsidRDefault="00636830" w:rsidP="00636830">
      <w:pPr>
        <w:pStyle w:val="ListParagraph"/>
        <w:numPr>
          <w:ilvl w:val="0"/>
          <w:numId w:val="5"/>
        </w:numPr>
        <w:rPr>
          <w:rFonts w:cstheme="minorHAnsi"/>
        </w:rPr>
      </w:pPr>
      <w:proofErr w:type="spellStart"/>
      <w:r w:rsidRPr="00636830">
        <w:rPr>
          <w:rFonts w:cstheme="minorHAnsi"/>
        </w:rPr>
        <w:t>Amphipoda+Isopoda</w:t>
      </w:r>
      <w:proofErr w:type="spellEnd"/>
      <w:r w:rsidRPr="00636830">
        <w:rPr>
          <w:rFonts w:cstheme="minorHAnsi"/>
        </w:rPr>
        <w:t xml:space="preserve"> %</w:t>
      </w:r>
    </w:p>
    <w:p w14:paraId="161F9F62" w14:textId="77777777" w:rsidR="00636830" w:rsidRPr="00636830" w:rsidRDefault="00636830" w:rsidP="00636830">
      <w:pPr>
        <w:pStyle w:val="ListParagraph"/>
        <w:numPr>
          <w:ilvl w:val="0"/>
          <w:numId w:val="5"/>
        </w:numPr>
        <w:rPr>
          <w:rFonts w:cstheme="minorHAnsi"/>
        </w:rPr>
      </w:pPr>
      <w:r w:rsidRPr="00636830">
        <w:rPr>
          <w:rFonts w:cstheme="minorHAnsi"/>
        </w:rPr>
        <w:t>Biotic Index</w:t>
      </w:r>
    </w:p>
    <w:p w14:paraId="56322002" w14:textId="77777777" w:rsidR="00636830" w:rsidRPr="00636830" w:rsidRDefault="00636830" w:rsidP="00636830">
      <w:pPr>
        <w:pStyle w:val="ListParagraph"/>
        <w:numPr>
          <w:ilvl w:val="0"/>
          <w:numId w:val="5"/>
        </w:numPr>
        <w:rPr>
          <w:rFonts w:cstheme="minorHAnsi"/>
        </w:rPr>
      </w:pPr>
      <w:r w:rsidRPr="00636830">
        <w:rPr>
          <w:rFonts w:cstheme="minorHAnsi"/>
        </w:rPr>
        <w:t>PPCS-F</w:t>
      </w:r>
    </w:p>
    <w:p w14:paraId="5C02C969" w14:textId="77777777" w:rsidR="00636830" w:rsidRPr="00636830" w:rsidRDefault="00636830" w:rsidP="00636830">
      <w:pPr>
        <w:pStyle w:val="ListParagraph"/>
        <w:numPr>
          <w:ilvl w:val="0"/>
          <w:numId w:val="5"/>
        </w:numPr>
        <w:rPr>
          <w:rFonts w:cstheme="minorHAnsi"/>
        </w:rPr>
      </w:pPr>
      <w:proofErr w:type="spellStart"/>
      <w:r w:rsidRPr="00636830">
        <w:rPr>
          <w:rFonts w:cstheme="minorHAnsi"/>
        </w:rPr>
        <w:t>Shr</w:t>
      </w:r>
      <w:proofErr w:type="spellEnd"/>
      <w:r w:rsidRPr="00636830">
        <w:rPr>
          <w:rFonts w:cstheme="minorHAnsi"/>
        </w:rPr>
        <w:t>%/</w:t>
      </w:r>
      <w:proofErr w:type="spellStart"/>
      <w:r w:rsidRPr="00636830">
        <w:rPr>
          <w:rFonts w:cstheme="minorHAnsi"/>
        </w:rPr>
        <w:t>CF+Shr</w:t>
      </w:r>
      <w:proofErr w:type="spellEnd"/>
      <w:r w:rsidRPr="00636830">
        <w:rPr>
          <w:rFonts w:cstheme="minorHAnsi"/>
        </w:rPr>
        <w:t>%</w:t>
      </w:r>
    </w:p>
    <w:p w14:paraId="3F4DD7B5" w14:textId="77777777" w:rsidR="00636830" w:rsidRDefault="00636830" w:rsidP="00636830">
      <w:pPr>
        <w:rPr>
          <w:rFonts w:cstheme="minorHAnsi"/>
        </w:rPr>
      </w:pPr>
    </w:p>
    <w:p w14:paraId="40334C36" w14:textId="1199408B" w:rsidR="00636830" w:rsidRPr="00636830" w:rsidRDefault="00636830" w:rsidP="00636830">
      <w:pPr>
        <w:rPr>
          <w:rFonts w:cstheme="minorHAnsi"/>
        </w:rPr>
      </w:pPr>
      <w:r w:rsidRPr="00636830">
        <w:rPr>
          <w:rFonts w:cstheme="minorHAnsi"/>
        </w:rPr>
        <w:t>Soft/slow low gradient (SLG)</w:t>
      </w:r>
    </w:p>
    <w:p w14:paraId="0AFF9A0C" w14:textId="77777777" w:rsidR="00636830" w:rsidRPr="00636830" w:rsidRDefault="00636830" w:rsidP="00636830">
      <w:pPr>
        <w:pStyle w:val="ListParagraph"/>
        <w:numPr>
          <w:ilvl w:val="0"/>
          <w:numId w:val="6"/>
        </w:numPr>
        <w:rPr>
          <w:rFonts w:cstheme="minorHAnsi"/>
        </w:rPr>
      </w:pPr>
      <w:r w:rsidRPr="00636830">
        <w:rPr>
          <w:rFonts w:cstheme="minorHAnsi"/>
        </w:rPr>
        <w:t>Density</w:t>
      </w:r>
    </w:p>
    <w:p w14:paraId="0AC57D74" w14:textId="77777777" w:rsidR="00636830" w:rsidRDefault="00636830" w:rsidP="00636830">
      <w:pPr>
        <w:pStyle w:val="ListParagraph"/>
        <w:numPr>
          <w:ilvl w:val="0"/>
          <w:numId w:val="6"/>
        </w:numPr>
      </w:pPr>
      <w:r>
        <w:t>EOT Richness</w:t>
      </w:r>
    </w:p>
    <w:p w14:paraId="556A7C5E" w14:textId="77777777" w:rsidR="00636830" w:rsidRDefault="00636830" w:rsidP="00636830">
      <w:pPr>
        <w:pStyle w:val="ListParagraph"/>
        <w:numPr>
          <w:ilvl w:val="0"/>
          <w:numId w:val="6"/>
        </w:numPr>
      </w:pPr>
      <w:r>
        <w:t>BCG intolerant richness</w:t>
      </w:r>
    </w:p>
    <w:p w14:paraId="713208F3" w14:textId="77777777" w:rsidR="00636830" w:rsidRDefault="00636830" w:rsidP="00636830">
      <w:pPr>
        <w:pStyle w:val="ListParagraph"/>
        <w:numPr>
          <w:ilvl w:val="0"/>
          <w:numId w:val="6"/>
        </w:numPr>
      </w:pPr>
      <w:r>
        <w:t>BCG intolerant COTE %</w:t>
      </w:r>
    </w:p>
    <w:p w14:paraId="278E3436" w14:textId="77777777" w:rsidR="00636830" w:rsidRDefault="00636830" w:rsidP="00636830">
      <w:pPr>
        <w:pStyle w:val="ListParagraph"/>
        <w:numPr>
          <w:ilvl w:val="0"/>
          <w:numId w:val="6"/>
        </w:numPr>
      </w:pPr>
      <w:r>
        <w:t>Modified EOT/</w:t>
      </w:r>
      <w:proofErr w:type="spellStart"/>
      <w:r>
        <w:t>EOT+Chiro</w:t>
      </w:r>
      <w:proofErr w:type="spellEnd"/>
    </w:p>
    <w:p w14:paraId="1575BEAE" w14:textId="77777777" w:rsidR="00636830" w:rsidRDefault="00636830" w:rsidP="00636830">
      <w:pPr>
        <w:pStyle w:val="ListParagraph"/>
        <w:numPr>
          <w:ilvl w:val="0"/>
          <w:numId w:val="6"/>
        </w:numPr>
      </w:pPr>
      <w:r>
        <w:t>PMA-O</w:t>
      </w:r>
    </w:p>
    <w:p w14:paraId="6120E27D" w14:textId="77777777" w:rsidR="00636830" w:rsidRDefault="00636830" w:rsidP="00636830">
      <w:pPr>
        <w:pStyle w:val="ListParagraph"/>
        <w:numPr>
          <w:ilvl w:val="0"/>
          <w:numId w:val="6"/>
        </w:numPr>
      </w:pPr>
      <w:proofErr w:type="spellStart"/>
      <w:r>
        <w:t>Amphipoda+Isopoda</w:t>
      </w:r>
      <w:proofErr w:type="spellEnd"/>
      <w:r>
        <w:t xml:space="preserve"> %</w:t>
      </w:r>
    </w:p>
    <w:p w14:paraId="459DC7FA" w14:textId="77777777" w:rsidR="00636830" w:rsidRDefault="00636830" w:rsidP="00636830">
      <w:pPr>
        <w:pStyle w:val="ListParagraph"/>
        <w:numPr>
          <w:ilvl w:val="0"/>
          <w:numId w:val="6"/>
        </w:numPr>
      </w:pPr>
      <w:r>
        <w:t>Biotic Index</w:t>
      </w:r>
    </w:p>
    <w:p w14:paraId="510D913E" w14:textId="77777777" w:rsidR="00636830" w:rsidRDefault="00636830" w:rsidP="00636830">
      <w:pPr>
        <w:pStyle w:val="ListParagraph"/>
        <w:numPr>
          <w:ilvl w:val="0"/>
          <w:numId w:val="6"/>
        </w:numPr>
      </w:pPr>
      <w:r>
        <w:t>PPCS-F</w:t>
      </w:r>
    </w:p>
    <w:p w14:paraId="1089E60C" w14:textId="77777777" w:rsidR="00636830" w:rsidRDefault="00636830" w:rsidP="00636830">
      <w:pPr>
        <w:pStyle w:val="ListParagraph"/>
        <w:numPr>
          <w:ilvl w:val="0"/>
          <w:numId w:val="6"/>
        </w:numPr>
      </w:pPr>
      <w:r>
        <w:t>Modified EOT Density</w:t>
      </w:r>
    </w:p>
    <w:p w14:paraId="5149D6EA" w14:textId="18C6BAAF" w:rsidR="00636830" w:rsidRDefault="00636830" w:rsidP="00E32A6A">
      <w:pPr>
        <w:pStyle w:val="NoSpacing"/>
      </w:pPr>
    </w:p>
    <w:p w14:paraId="1AF47FBA" w14:textId="77777777" w:rsidR="00636830" w:rsidRDefault="00636830" w:rsidP="00E32A6A">
      <w:pPr>
        <w:pStyle w:val="NoSpacing"/>
      </w:pPr>
    </w:p>
    <w:p w14:paraId="7C13416A" w14:textId="77777777" w:rsidR="00636830" w:rsidRDefault="00636830" w:rsidP="00E32A6A">
      <w:pPr>
        <w:pStyle w:val="NoSpacing"/>
        <w:sectPr w:rsidR="00636830" w:rsidSect="00636830">
          <w:pgSz w:w="12240" w:h="15840"/>
          <w:pgMar w:top="1440" w:right="1440" w:bottom="1440" w:left="1440" w:header="720" w:footer="720" w:gutter="0"/>
          <w:cols w:space="720"/>
          <w:docGrid w:linePitch="360"/>
        </w:sectPr>
      </w:pPr>
    </w:p>
    <w:p w14:paraId="37BE64F0" w14:textId="124F0771" w:rsidR="00636830" w:rsidRPr="00636830" w:rsidRDefault="00636830" w:rsidP="00636830">
      <w:pPr>
        <w:pStyle w:val="NoSpacing"/>
        <w:rPr>
          <w:rFonts w:asciiTheme="minorHAnsi" w:hAnsiTheme="minorHAnsi" w:cstheme="minorHAnsi"/>
          <w:sz w:val="22"/>
        </w:rPr>
      </w:pPr>
      <w:r w:rsidRPr="00636830">
        <w:rPr>
          <w:rFonts w:asciiTheme="minorHAnsi" w:hAnsiTheme="minorHAnsi" w:cstheme="minorHAnsi"/>
          <w:sz w:val="22"/>
        </w:rPr>
        <w:lastRenderedPageBreak/>
        <w:t>New York State DEC (in progress; personal communication Gavin</w:t>
      </w:r>
      <w:r>
        <w:rPr>
          <w:rFonts w:asciiTheme="minorHAnsi" w:hAnsiTheme="minorHAnsi" w:cstheme="minorHAnsi"/>
          <w:sz w:val="22"/>
        </w:rPr>
        <w:t xml:space="preserve"> Lemly</w:t>
      </w:r>
      <w:r w:rsidRPr="00636830">
        <w:rPr>
          <w:rFonts w:asciiTheme="minorHAnsi" w:hAnsiTheme="minorHAnsi" w:cstheme="minorHAnsi"/>
          <w:sz w:val="22"/>
        </w:rPr>
        <w:t>)</w:t>
      </w:r>
    </w:p>
    <w:p w14:paraId="042ACDCE" w14:textId="1E3309C1" w:rsidR="00636830" w:rsidRDefault="00636830" w:rsidP="00E32A6A">
      <w:pPr>
        <w:pStyle w:val="NoSpacing"/>
      </w:pPr>
    </w:p>
    <w:p w14:paraId="4008EA2E" w14:textId="13689844"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Provisional IBIs by regions for low-gradient streams for three regions:</w:t>
      </w:r>
    </w:p>
    <w:p w14:paraId="4C22E258" w14:textId="5937C8ED" w:rsidR="00636830" w:rsidRDefault="00636830" w:rsidP="00636830">
      <w:pPr>
        <w:pStyle w:val="NoSpacing"/>
        <w:rPr>
          <w:rFonts w:asciiTheme="minorHAnsi" w:hAnsiTheme="minorHAnsi" w:cstheme="minorHAnsi"/>
          <w:sz w:val="20"/>
          <w:szCs w:val="20"/>
          <w:u w:val="single"/>
          <w:lang w:val="en-US"/>
        </w:rPr>
      </w:pPr>
    </w:p>
    <w:p w14:paraId="751B060D" w14:textId="77777777" w:rsidR="00636830" w:rsidRPr="00636830" w:rsidRDefault="00636830" w:rsidP="00636830">
      <w:pPr>
        <w:pStyle w:val="NoSpacing"/>
        <w:rPr>
          <w:rFonts w:asciiTheme="minorHAnsi" w:hAnsiTheme="minorHAnsi" w:cstheme="minorHAnsi"/>
          <w:sz w:val="20"/>
          <w:szCs w:val="20"/>
          <w:u w:val="single"/>
          <w:lang w:val="en-US"/>
        </w:rPr>
      </w:pPr>
    </w:p>
    <w:p w14:paraId="310CB097" w14:textId="2EA61403" w:rsidR="00636830" w:rsidRPr="00636830" w:rsidRDefault="00636830" w:rsidP="00636830">
      <w:pPr>
        <w:pStyle w:val="NoSpacing"/>
        <w:rPr>
          <w:rFonts w:asciiTheme="minorHAnsi" w:hAnsiTheme="minorHAnsi" w:cstheme="minorHAnsi"/>
          <w:sz w:val="22"/>
          <w:szCs w:val="20"/>
          <w:u w:val="single"/>
        </w:rPr>
      </w:pPr>
      <w:r w:rsidRPr="00636830">
        <w:rPr>
          <w:rFonts w:asciiTheme="minorHAnsi" w:hAnsiTheme="minorHAnsi" w:cstheme="minorHAnsi"/>
          <w:sz w:val="22"/>
          <w:szCs w:val="20"/>
          <w:u w:val="single"/>
        </w:rPr>
        <w:t>Great Lakes</w:t>
      </w:r>
    </w:p>
    <w:p w14:paraId="4EDF6E71" w14:textId="6173BE4F"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rich_family: decrease</w:t>
      </w:r>
      <w:r>
        <w:rPr>
          <w:rFonts w:asciiTheme="minorHAnsi" w:hAnsiTheme="minorHAnsi" w:cstheme="minorHAnsi"/>
          <w:sz w:val="22"/>
          <w:szCs w:val="20"/>
        </w:rPr>
        <w:t xml:space="preserve"> with stress</w:t>
      </w:r>
    </w:p>
    <w:p w14:paraId="34D0867E"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pct_dom1_order: increase</w:t>
      </w:r>
      <w:r>
        <w:rPr>
          <w:rFonts w:asciiTheme="minorHAnsi" w:hAnsiTheme="minorHAnsi" w:cstheme="minorHAnsi"/>
          <w:sz w:val="22"/>
          <w:szCs w:val="20"/>
        </w:rPr>
        <w:t xml:space="preserve"> with stress</w:t>
      </w:r>
    </w:p>
    <w:p w14:paraId="2BF9A131"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shannon_family: decrease</w:t>
      </w:r>
      <w:r>
        <w:rPr>
          <w:rFonts w:asciiTheme="minorHAnsi" w:hAnsiTheme="minorHAnsi" w:cstheme="minorHAnsi"/>
          <w:sz w:val="22"/>
          <w:szCs w:val="20"/>
        </w:rPr>
        <w:t xml:space="preserve"> with stress</w:t>
      </w:r>
    </w:p>
    <w:p w14:paraId="06D794D1"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rich_scraper: decrease</w:t>
      </w:r>
      <w:r>
        <w:rPr>
          <w:rFonts w:asciiTheme="minorHAnsi" w:hAnsiTheme="minorHAnsi" w:cstheme="minorHAnsi"/>
          <w:sz w:val="22"/>
          <w:szCs w:val="20"/>
        </w:rPr>
        <w:t xml:space="preserve"> with stress</w:t>
      </w:r>
    </w:p>
    <w:p w14:paraId="59830B4A" w14:textId="1774BBFE" w:rsidR="00636830" w:rsidRPr="00636830" w:rsidRDefault="00636830" w:rsidP="00636830">
      <w:pPr>
        <w:pStyle w:val="NoSpacing"/>
        <w:rPr>
          <w:rFonts w:asciiTheme="minorHAnsi" w:hAnsiTheme="minorHAnsi" w:cstheme="minorHAnsi"/>
          <w:sz w:val="22"/>
          <w:szCs w:val="20"/>
        </w:rPr>
      </w:pPr>
    </w:p>
    <w:p w14:paraId="1354F857" w14:textId="77777777" w:rsidR="00636830" w:rsidRPr="00636830" w:rsidRDefault="00636830" w:rsidP="00636830">
      <w:pPr>
        <w:pStyle w:val="NoSpacing"/>
        <w:rPr>
          <w:rFonts w:asciiTheme="minorHAnsi" w:hAnsiTheme="minorHAnsi" w:cstheme="minorHAnsi"/>
          <w:sz w:val="22"/>
          <w:szCs w:val="20"/>
        </w:rPr>
      </w:pPr>
    </w:p>
    <w:p w14:paraId="3DC7EF02" w14:textId="77777777" w:rsidR="00636830" w:rsidRPr="00636830" w:rsidRDefault="00636830" w:rsidP="00636830">
      <w:pPr>
        <w:pStyle w:val="NoSpacing"/>
        <w:rPr>
          <w:rFonts w:asciiTheme="minorHAnsi" w:hAnsiTheme="minorHAnsi" w:cstheme="minorHAnsi"/>
          <w:sz w:val="22"/>
          <w:szCs w:val="20"/>
          <w:u w:val="single"/>
        </w:rPr>
      </w:pPr>
      <w:r w:rsidRPr="00636830">
        <w:rPr>
          <w:rFonts w:asciiTheme="minorHAnsi" w:hAnsiTheme="minorHAnsi" w:cstheme="minorHAnsi"/>
          <w:sz w:val="22"/>
          <w:szCs w:val="20"/>
          <w:u w:val="single"/>
        </w:rPr>
        <w:t>Adirondacks</w:t>
      </w:r>
    </w:p>
    <w:p w14:paraId="29A4557B"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pct_insecta: decrease</w:t>
      </w:r>
      <w:r>
        <w:rPr>
          <w:rFonts w:asciiTheme="minorHAnsi" w:hAnsiTheme="minorHAnsi" w:cstheme="minorHAnsi"/>
          <w:sz w:val="22"/>
          <w:szCs w:val="20"/>
        </w:rPr>
        <w:t xml:space="preserve"> with stress</w:t>
      </w:r>
    </w:p>
    <w:p w14:paraId="00E05B2F"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rich_mollusca_amphipoda_fa: increase</w:t>
      </w:r>
      <w:r>
        <w:rPr>
          <w:rFonts w:asciiTheme="minorHAnsi" w:hAnsiTheme="minorHAnsi" w:cstheme="minorHAnsi"/>
          <w:sz w:val="22"/>
          <w:szCs w:val="20"/>
        </w:rPr>
        <w:t xml:space="preserve"> with stress</w:t>
      </w:r>
    </w:p>
    <w:p w14:paraId="304622D6"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rich_intolerant: decrease</w:t>
      </w:r>
      <w:r>
        <w:rPr>
          <w:rFonts w:asciiTheme="minorHAnsi" w:hAnsiTheme="minorHAnsi" w:cstheme="minorHAnsi"/>
          <w:sz w:val="22"/>
          <w:szCs w:val="20"/>
        </w:rPr>
        <w:t xml:space="preserve"> with stress</w:t>
      </w:r>
    </w:p>
    <w:p w14:paraId="76E6A00E"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rich_et_macro_genspecies: decrease</w:t>
      </w:r>
      <w:r>
        <w:rPr>
          <w:rFonts w:asciiTheme="minorHAnsi" w:hAnsiTheme="minorHAnsi" w:cstheme="minorHAnsi"/>
          <w:sz w:val="22"/>
          <w:szCs w:val="20"/>
        </w:rPr>
        <w:t xml:space="preserve"> with stress</w:t>
      </w:r>
    </w:p>
    <w:p w14:paraId="53541313" w14:textId="7D33FB56" w:rsidR="00636830" w:rsidRDefault="00636830" w:rsidP="00636830">
      <w:pPr>
        <w:pStyle w:val="NoSpacing"/>
        <w:rPr>
          <w:rFonts w:asciiTheme="minorHAnsi" w:hAnsiTheme="minorHAnsi" w:cstheme="minorHAnsi"/>
          <w:sz w:val="22"/>
          <w:szCs w:val="20"/>
        </w:rPr>
      </w:pPr>
    </w:p>
    <w:p w14:paraId="4E3DFFA3" w14:textId="77777777" w:rsidR="00636830" w:rsidRPr="00636830" w:rsidRDefault="00636830" w:rsidP="00636830">
      <w:pPr>
        <w:pStyle w:val="NoSpacing"/>
        <w:rPr>
          <w:rFonts w:asciiTheme="minorHAnsi" w:hAnsiTheme="minorHAnsi" w:cstheme="minorHAnsi"/>
          <w:sz w:val="22"/>
          <w:szCs w:val="20"/>
        </w:rPr>
      </w:pPr>
    </w:p>
    <w:p w14:paraId="5B6C9CBD"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u w:val="single"/>
        </w:rPr>
        <w:t>Hudson Valley+Southern Tier</w:t>
      </w:r>
      <w:r w:rsidRPr="00636830">
        <w:rPr>
          <w:rFonts w:asciiTheme="minorHAnsi" w:hAnsiTheme="minorHAnsi" w:cstheme="minorHAnsi"/>
          <w:sz w:val="22"/>
          <w:szCs w:val="20"/>
        </w:rPr>
        <w:t>:</w:t>
      </w:r>
    </w:p>
    <w:p w14:paraId="76335FD2"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pct_rich_cote_family: decrease</w:t>
      </w:r>
      <w:r>
        <w:rPr>
          <w:rFonts w:asciiTheme="minorHAnsi" w:hAnsiTheme="minorHAnsi" w:cstheme="minorHAnsi"/>
          <w:sz w:val="22"/>
          <w:szCs w:val="20"/>
        </w:rPr>
        <w:t xml:space="preserve"> with stress</w:t>
      </w:r>
    </w:p>
    <w:p w14:paraId="52A6A343"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pct_et: decrease</w:t>
      </w:r>
      <w:r>
        <w:rPr>
          <w:rFonts w:asciiTheme="minorHAnsi" w:hAnsiTheme="minorHAnsi" w:cstheme="minorHAnsi"/>
          <w:sz w:val="22"/>
          <w:szCs w:val="20"/>
        </w:rPr>
        <w:t xml:space="preserve"> with stress</w:t>
      </w:r>
    </w:p>
    <w:p w14:paraId="665629A3"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pct_filterer: decrease</w:t>
      </w:r>
      <w:r>
        <w:rPr>
          <w:rFonts w:asciiTheme="minorHAnsi" w:hAnsiTheme="minorHAnsi" w:cstheme="minorHAnsi"/>
          <w:sz w:val="22"/>
          <w:szCs w:val="20"/>
        </w:rPr>
        <w:t xml:space="preserve"> with stress</w:t>
      </w:r>
    </w:p>
    <w:p w14:paraId="2C60F42D" w14:textId="28429F79" w:rsidR="004F6C71" w:rsidRPr="00636830" w:rsidRDefault="00636830" w:rsidP="00636830">
      <w:pPr>
        <w:pStyle w:val="NoSpacing"/>
        <w:rPr>
          <w:rFonts w:asciiTheme="minorHAnsi" w:hAnsiTheme="minorHAnsi" w:cstheme="minorHAnsi"/>
          <w:sz w:val="22"/>
          <w:szCs w:val="20"/>
        </w:rPr>
        <w:sectPr w:rsidR="004F6C71" w:rsidRPr="00636830" w:rsidSect="00636830">
          <w:pgSz w:w="12240" w:h="15840"/>
          <w:pgMar w:top="1440" w:right="1440" w:bottom="1440" w:left="1440" w:header="720" w:footer="720" w:gutter="0"/>
          <w:cols w:space="720"/>
          <w:docGrid w:linePitch="360"/>
        </w:sectPr>
      </w:pPr>
      <w:r w:rsidRPr="00636830">
        <w:rPr>
          <w:rFonts w:asciiTheme="minorHAnsi" w:hAnsiTheme="minorHAnsi" w:cstheme="minorHAnsi"/>
          <w:sz w:val="22"/>
          <w:szCs w:val="20"/>
        </w:rPr>
        <w:t xml:space="preserve">  shannon_genus: decrease</w:t>
      </w:r>
      <w:r>
        <w:rPr>
          <w:rFonts w:asciiTheme="minorHAnsi" w:hAnsiTheme="minorHAnsi" w:cstheme="minorHAnsi"/>
          <w:sz w:val="22"/>
          <w:szCs w:val="20"/>
        </w:rPr>
        <w:t xml:space="preserve"> with stress</w:t>
      </w:r>
    </w:p>
    <w:tbl>
      <w:tblPr>
        <w:tblW w:w="5000" w:type="pct"/>
        <w:tblLook w:val="04A0" w:firstRow="1" w:lastRow="0" w:firstColumn="1" w:lastColumn="0" w:noHBand="0" w:noVBand="1"/>
      </w:tblPr>
      <w:tblGrid>
        <w:gridCol w:w="1849"/>
        <w:gridCol w:w="1911"/>
        <w:gridCol w:w="1647"/>
        <w:gridCol w:w="3805"/>
        <w:gridCol w:w="1018"/>
        <w:gridCol w:w="2720"/>
      </w:tblGrid>
      <w:tr w:rsidR="00E32A6A" w:rsidRPr="00E32A6A" w14:paraId="4981A7D6" w14:textId="77777777" w:rsidTr="00636830">
        <w:trPr>
          <w:trHeight w:val="402"/>
        </w:trPr>
        <w:tc>
          <w:tcPr>
            <w:tcW w:w="714"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775D900B"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lastRenderedPageBreak/>
              <w:t>Location</w:t>
            </w:r>
          </w:p>
        </w:tc>
        <w:tc>
          <w:tcPr>
            <w:tcW w:w="738" w:type="pct"/>
            <w:tcBorders>
              <w:top w:val="single" w:sz="4" w:space="0" w:color="auto"/>
              <w:left w:val="nil"/>
              <w:bottom w:val="single" w:sz="4" w:space="0" w:color="auto"/>
              <w:right w:val="single" w:sz="4" w:space="0" w:color="auto"/>
            </w:tcBorders>
            <w:shd w:val="clear" w:color="000000" w:fill="F2F2F2"/>
            <w:vAlign w:val="center"/>
            <w:hideMark/>
          </w:tcPr>
          <w:p w14:paraId="5B6BF992"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Index Identifier</w:t>
            </w:r>
          </w:p>
        </w:tc>
        <w:tc>
          <w:tcPr>
            <w:tcW w:w="636" w:type="pct"/>
            <w:tcBorders>
              <w:top w:val="single" w:sz="4" w:space="0" w:color="auto"/>
              <w:left w:val="nil"/>
              <w:bottom w:val="single" w:sz="4" w:space="0" w:color="auto"/>
              <w:right w:val="single" w:sz="4" w:space="0" w:color="auto"/>
            </w:tcBorders>
            <w:shd w:val="clear" w:color="000000" w:fill="F2F2F2"/>
            <w:vAlign w:val="center"/>
            <w:hideMark/>
          </w:tcPr>
          <w:p w14:paraId="585239EB"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Metrics</w:t>
            </w:r>
          </w:p>
        </w:tc>
        <w:tc>
          <w:tcPr>
            <w:tcW w:w="1469" w:type="pct"/>
            <w:tcBorders>
              <w:top w:val="single" w:sz="4" w:space="0" w:color="auto"/>
              <w:left w:val="nil"/>
              <w:bottom w:val="single" w:sz="4" w:space="0" w:color="auto"/>
              <w:right w:val="single" w:sz="4" w:space="0" w:color="auto"/>
            </w:tcBorders>
            <w:shd w:val="clear" w:color="000000" w:fill="F2F2F2"/>
            <w:vAlign w:val="center"/>
            <w:hideMark/>
          </w:tcPr>
          <w:p w14:paraId="6584CB14"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 response to stress</w:t>
            </w:r>
          </w:p>
        </w:tc>
        <w:tc>
          <w:tcPr>
            <w:tcW w:w="393" w:type="pct"/>
            <w:tcBorders>
              <w:top w:val="single" w:sz="4" w:space="0" w:color="auto"/>
              <w:left w:val="nil"/>
              <w:bottom w:val="single" w:sz="4" w:space="0" w:color="auto"/>
              <w:right w:val="single" w:sz="4" w:space="0" w:color="auto"/>
            </w:tcBorders>
            <w:shd w:val="clear" w:color="000000" w:fill="F2F2F2"/>
            <w:vAlign w:val="center"/>
            <w:hideMark/>
          </w:tcPr>
          <w:p w14:paraId="326FAEE2"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Citation</w:t>
            </w:r>
          </w:p>
        </w:tc>
        <w:tc>
          <w:tcPr>
            <w:tcW w:w="1050" w:type="pct"/>
            <w:tcBorders>
              <w:top w:val="single" w:sz="4" w:space="0" w:color="auto"/>
              <w:left w:val="nil"/>
              <w:bottom w:val="single" w:sz="4" w:space="0" w:color="auto"/>
              <w:right w:val="single" w:sz="4" w:space="0" w:color="auto"/>
            </w:tcBorders>
            <w:shd w:val="clear" w:color="000000" w:fill="F2F2F2"/>
            <w:vAlign w:val="center"/>
            <w:hideMark/>
          </w:tcPr>
          <w:p w14:paraId="0194EE2B"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Remarks</w:t>
            </w:r>
          </w:p>
        </w:tc>
      </w:tr>
      <w:tr w:rsidR="00E32A6A" w:rsidRPr="00E32A6A" w14:paraId="0B756F13" w14:textId="77777777" w:rsidTr="00636830">
        <w:trPr>
          <w:trHeight w:val="402"/>
        </w:trPr>
        <w:tc>
          <w:tcPr>
            <w:tcW w:w="714" w:type="pct"/>
            <w:tcBorders>
              <w:top w:val="nil"/>
              <w:left w:val="single" w:sz="4" w:space="0" w:color="auto"/>
              <w:bottom w:val="single" w:sz="4" w:space="0" w:color="auto"/>
              <w:right w:val="single" w:sz="4" w:space="0" w:color="auto"/>
            </w:tcBorders>
            <w:shd w:val="clear" w:color="auto" w:fill="auto"/>
            <w:hideMark/>
          </w:tcPr>
          <w:p w14:paraId="0E1089C6" w14:textId="6CFBBABC" w:rsidR="00E32A6A" w:rsidRPr="00E32A6A" w:rsidRDefault="00E32A6A" w:rsidP="00E32A6A">
            <w:pPr>
              <w:spacing w:after="0" w:line="240" w:lineRule="auto"/>
              <w:jc w:val="center"/>
              <w:rPr>
                <w:rFonts w:ascii="Calibri" w:eastAsia="Times New Roman" w:hAnsi="Calibri" w:cs="Calibri"/>
                <w:color w:val="000000"/>
              </w:rPr>
            </w:pPr>
            <w:r>
              <w:t>Coastal plain region of the 6 states (New Jersey, Delaware, Maryland, Virginia, North Carolina, and South Carolina)</w:t>
            </w:r>
          </w:p>
        </w:tc>
        <w:tc>
          <w:tcPr>
            <w:tcW w:w="738" w:type="pct"/>
            <w:tcBorders>
              <w:top w:val="nil"/>
              <w:left w:val="nil"/>
              <w:bottom w:val="single" w:sz="4" w:space="0" w:color="auto"/>
              <w:right w:val="single" w:sz="4" w:space="0" w:color="auto"/>
            </w:tcBorders>
            <w:shd w:val="clear" w:color="auto" w:fill="auto"/>
            <w:hideMark/>
          </w:tcPr>
          <w:p w14:paraId="2B822562" w14:textId="44BC6FDF" w:rsidR="00E32A6A" w:rsidRPr="00E32A6A" w:rsidRDefault="00E32A6A" w:rsidP="00E32A6A">
            <w:pPr>
              <w:spacing w:after="0" w:line="240" w:lineRule="auto"/>
              <w:jc w:val="center"/>
              <w:rPr>
                <w:rFonts w:ascii="Calibri" w:eastAsia="Times New Roman" w:hAnsi="Calibri" w:cs="Calibri"/>
                <w:color w:val="000000"/>
              </w:rPr>
            </w:pPr>
            <w:r>
              <w:t>Coastal Plain Macroinvertebrate Index (CPMI)</w:t>
            </w:r>
          </w:p>
        </w:tc>
        <w:tc>
          <w:tcPr>
            <w:tcW w:w="636" w:type="pct"/>
            <w:tcBorders>
              <w:top w:val="nil"/>
              <w:left w:val="nil"/>
              <w:bottom w:val="single" w:sz="4" w:space="0" w:color="auto"/>
              <w:right w:val="single" w:sz="4" w:space="0" w:color="auto"/>
            </w:tcBorders>
            <w:shd w:val="clear" w:color="auto" w:fill="auto"/>
            <w:hideMark/>
          </w:tcPr>
          <w:p w14:paraId="403C74E5" w14:textId="77777777" w:rsidR="00E32A6A" w:rsidRDefault="00E32A6A" w:rsidP="00E32A6A">
            <w:r>
              <w:t># of taxa</w:t>
            </w:r>
          </w:p>
          <w:p w14:paraId="6A5D3C85" w14:textId="77777777" w:rsidR="00E32A6A" w:rsidRDefault="00E32A6A" w:rsidP="00E32A6A">
            <w:r>
              <w:t># of EPT taxa</w:t>
            </w:r>
          </w:p>
          <w:p w14:paraId="15E7B786" w14:textId="77777777" w:rsidR="00E32A6A" w:rsidRDefault="00E32A6A" w:rsidP="00E32A6A">
            <w:r>
              <w:t>% Ephemeroptera</w:t>
            </w:r>
          </w:p>
          <w:p w14:paraId="75785729" w14:textId="77777777" w:rsidR="00E32A6A" w:rsidRDefault="00E32A6A" w:rsidP="00E32A6A">
            <w:proofErr w:type="spellStart"/>
            <w:r>
              <w:t>Hilsenhoff</w:t>
            </w:r>
            <w:proofErr w:type="spellEnd"/>
            <w:r>
              <w:t xml:space="preserve"> Biotic Index (HBI)</w:t>
            </w:r>
          </w:p>
          <w:p w14:paraId="3AE0D9C6" w14:textId="24B4A4AD" w:rsidR="00E32A6A" w:rsidRPr="00E32A6A" w:rsidRDefault="00E32A6A" w:rsidP="00E32A6A">
            <w:pPr>
              <w:spacing w:after="0" w:line="240" w:lineRule="auto"/>
              <w:rPr>
                <w:rFonts w:ascii="Calibri" w:eastAsia="Times New Roman" w:hAnsi="Calibri" w:cs="Calibri"/>
                <w:color w:val="000000"/>
              </w:rPr>
            </w:pPr>
            <w:r>
              <w:t>% clingers</w:t>
            </w:r>
          </w:p>
        </w:tc>
        <w:tc>
          <w:tcPr>
            <w:tcW w:w="1469" w:type="pct"/>
            <w:tcBorders>
              <w:top w:val="nil"/>
              <w:left w:val="nil"/>
              <w:bottom w:val="single" w:sz="4" w:space="0" w:color="auto"/>
              <w:right w:val="single" w:sz="4" w:space="0" w:color="auto"/>
            </w:tcBorders>
            <w:shd w:val="clear" w:color="auto" w:fill="auto"/>
            <w:hideMark/>
          </w:tcPr>
          <w:p w14:paraId="7B8F43C3" w14:textId="77777777" w:rsidR="00E32A6A" w:rsidRDefault="00E32A6A" w:rsidP="00E32A6A">
            <w:pPr>
              <w:spacing w:after="120"/>
            </w:pPr>
            <w:r w:rsidRPr="00990D48">
              <w:rPr>
                <w:b/>
              </w:rPr>
              <w:t># taxa</w:t>
            </w:r>
            <w:r>
              <w:t>: decrease; 45% overall</w:t>
            </w:r>
            <w:r>
              <w:rPr>
                <w:strike/>
              </w:rPr>
              <w:t xml:space="preserve"> </w:t>
            </w:r>
            <w:r w:rsidRPr="0088044E">
              <w:t>assessment accu</w:t>
            </w:r>
            <w:r>
              <w:t>racy</w:t>
            </w:r>
          </w:p>
          <w:p w14:paraId="42279942" w14:textId="77777777" w:rsidR="00E32A6A" w:rsidRDefault="00E32A6A" w:rsidP="00E32A6A">
            <w:pPr>
              <w:spacing w:after="120"/>
            </w:pPr>
            <w:r w:rsidRPr="00990D48">
              <w:rPr>
                <w:b/>
              </w:rPr>
              <w:t># EPT taxa</w:t>
            </w:r>
            <w:r>
              <w:t xml:space="preserve">: decrease; high assessment accuracy (84% overall); correlated with </w:t>
            </w:r>
            <w:proofErr w:type="spellStart"/>
            <w:r>
              <w:t>Ephem</w:t>
            </w:r>
            <w:proofErr w:type="spellEnd"/>
            <w:r>
              <w:t xml:space="preserve"> and </w:t>
            </w:r>
            <w:proofErr w:type="spellStart"/>
            <w:r>
              <w:t>Trichop</w:t>
            </w:r>
            <w:proofErr w:type="spellEnd"/>
            <w:r>
              <w:t xml:space="preserve"> metrics; historic reliability.</w:t>
            </w:r>
          </w:p>
          <w:p w14:paraId="042F57EA" w14:textId="77777777" w:rsidR="00E32A6A" w:rsidRDefault="00E32A6A" w:rsidP="00E32A6A">
            <w:pPr>
              <w:spacing w:after="120"/>
            </w:pPr>
            <w:r w:rsidRPr="00075960">
              <w:rPr>
                <w:b/>
              </w:rPr>
              <w:t>% Ephemeroptera</w:t>
            </w:r>
            <w:r>
              <w:t>: decrease; 57% overall</w:t>
            </w:r>
            <w:r>
              <w:rPr>
                <w:strike/>
              </w:rPr>
              <w:t xml:space="preserve"> </w:t>
            </w:r>
            <w:r w:rsidRPr="0088044E">
              <w:t>assessment accu</w:t>
            </w:r>
            <w:r>
              <w:t xml:space="preserve">racy; </w:t>
            </w:r>
            <w:r w:rsidRPr="0088044E">
              <w:t>lower</w:t>
            </w:r>
            <w:r>
              <w:t xml:space="preserve"> redundancies with HBI &amp; # EPT; high redundancy with % </w:t>
            </w:r>
            <w:proofErr w:type="gramStart"/>
            <w:r>
              <w:t>EPT  metrics</w:t>
            </w:r>
            <w:proofErr w:type="gramEnd"/>
            <w:r>
              <w:t xml:space="preserve"> already selected</w:t>
            </w:r>
          </w:p>
          <w:p w14:paraId="274C64CE" w14:textId="77777777" w:rsidR="00E32A6A" w:rsidRDefault="00E32A6A" w:rsidP="00E32A6A">
            <w:pPr>
              <w:spacing w:after="120"/>
            </w:pPr>
            <w:r w:rsidRPr="00FE45B3">
              <w:rPr>
                <w:b/>
              </w:rPr>
              <w:t>HBI</w:t>
            </w:r>
            <w:r>
              <w:t>: increase; high assessment accuracy (80%overall); strongly correlated with other tolerance metrics; historic reliability.</w:t>
            </w:r>
          </w:p>
          <w:p w14:paraId="5F0F4B1B" w14:textId="38C4008A" w:rsidR="00E32A6A" w:rsidRPr="00E32A6A" w:rsidRDefault="00E32A6A" w:rsidP="00E32A6A">
            <w:pPr>
              <w:spacing w:after="0" w:line="240" w:lineRule="auto"/>
              <w:rPr>
                <w:rFonts w:ascii="Calibri" w:eastAsia="Times New Roman" w:hAnsi="Calibri" w:cs="Calibri"/>
                <w:color w:val="000000"/>
              </w:rPr>
            </w:pPr>
            <w:r w:rsidRPr="00FE45B3">
              <w:rPr>
                <w:b/>
              </w:rPr>
              <w:t>% clingers</w:t>
            </w:r>
            <w:r>
              <w:t>: decrease; not redundant with TT and %E metrics already selected, moderately redundant with the HBI and EPT metrics</w:t>
            </w:r>
          </w:p>
        </w:tc>
        <w:tc>
          <w:tcPr>
            <w:tcW w:w="393" w:type="pct"/>
            <w:tcBorders>
              <w:top w:val="nil"/>
              <w:left w:val="nil"/>
              <w:bottom w:val="single" w:sz="4" w:space="0" w:color="auto"/>
              <w:right w:val="single" w:sz="4" w:space="0" w:color="auto"/>
            </w:tcBorders>
            <w:shd w:val="clear" w:color="auto" w:fill="auto"/>
            <w:hideMark/>
          </w:tcPr>
          <w:p w14:paraId="68C14444" w14:textId="32A2376B" w:rsidR="00E32A6A" w:rsidRPr="00E32A6A" w:rsidRDefault="00E32A6A" w:rsidP="00E32A6A">
            <w:pPr>
              <w:spacing w:after="0" w:line="240" w:lineRule="auto"/>
              <w:jc w:val="center"/>
              <w:rPr>
                <w:rFonts w:ascii="Calibri" w:eastAsia="Times New Roman" w:hAnsi="Calibri" w:cs="Calibri"/>
                <w:color w:val="000000"/>
              </w:rPr>
            </w:pPr>
            <w:proofErr w:type="spellStart"/>
            <w:r>
              <w:t>Maxted</w:t>
            </w:r>
            <w:proofErr w:type="spellEnd"/>
            <w:r>
              <w:t xml:space="preserve"> et al. 2000</w:t>
            </w:r>
          </w:p>
        </w:tc>
        <w:tc>
          <w:tcPr>
            <w:tcW w:w="1050" w:type="pct"/>
            <w:tcBorders>
              <w:top w:val="nil"/>
              <w:left w:val="nil"/>
              <w:bottom w:val="single" w:sz="4" w:space="0" w:color="auto"/>
              <w:right w:val="single" w:sz="4" w:space="0" w:color="auto"/>
            </w:tcBorders>
            <w:shd w:val="clear" w:color="auto" w:fill="auto"/>
            <w:hideMark/>
          </w:tcPr>
          <w:p w14:paraId="4BD3F929" w14:textId="77777777" w:rsidR="00E32A6A" w:rsidRDefault="00E32A6A" w:rsidP="00E32A6A">
            <w:pPr>
              <w:spacing w:after="120"/>
            </w:pPr>
            <w:r>
              <w:t>Oct/Nov sampling period.</w:t>
            </w:r>
          </w:p>
          <w:p w14:paraId="1E0A6653" w14:textId="77777777" w:rsidR="00E32A6A" w:rsidRDefault="00E32A6A" w:rsidP="00E32A6A">
            <w:pPr>
              <w:spacing w:after="120"/>
            </w:pPr>
            <w:r>
              <w:t>Accurately identified 86% of impaired sites overall (varied 83-100% across the 3 regions classified).</w:t>
            </w:r>
          </w:p>
          <w:p w14:paraId="5964CF66" w14:textId="10043C1F" w:rsidR="00E32A6A" w:rsidRPr="00E32A6A" w:rsidRDefault="00E32A6A" w:rsidP="00E32A6A">
            <w:pPr>
              <w:spacing w:after="0" w:line="240" w:lineRule="auto"/>
              <w:jc w:val="center"/>
              <w:rPr>
                <w:rFonts w:ascii="Calibri" w:eastAsia="Times New Roman" w:hAnsi="Calibri" w:cs="Calibri"/>
                <w:color w:val="000000"/>
              </w:rPr>
            </w:pPr>
            <w:r>
              <w:t xml:space="preserve">90% CI for the </w:t>
            </w:r>
            <w:proofErr w:type="gramStart"/>
            <w:r>
              <w:t>5 core</w:t>
            </w:r>
            <w:proofErr w:type="gramEnd"/>
            <w:r>
              <w:t xml:space="preserve"> metrics were </w:t>
            </w:r>
            <w:r w:rsidRPr="00302E9F">
              <w:rPr>
                <w:u w:val="single"/>
              </w:rPr>
              <w:t>+</w:t>
            </w:r>
            <w:r>
              <w:t xml:space="preserve">6.0 taxa for TT, </w:t>
            </w:r>
            <w:r w:rsidRPr="00302E9F">
              <w:rPr>
                <w:u w:val="single"/>
              </w:rPr>
              <w:t>+</w:t>
            </w:r>
            <w:r>
              <w:t xml:space="preserve">2.5 taxa for EPT, </w:t>
            </w:r>
            <w:r w:rsidRPr="00302E9F">
              <w:rPr>
                <w:u w:val="single"/>
              </w:rPr>
              <w:t>+</w:t>
            </w:r>
            <w:r>
              <w:t xml:space="preserve">8.9% for %E, </w:t>
            </w:r>
            <w:r w:rsidRPr="00302E9F">
              <w:rPr>
                <w:u w:val="single"/>
              </w:rPr>
              <w:t>+</w:t>
            </w:r>
            <w:r>
              <w:t xml:space="preserve">0.28 units for the HBI, </w:t>
            </w:r>
            <w:r w:rsidRPr="00302E9F">
              <w:rPr>
                <w:u w:val="single"/>
              </w:rPr>
              <w:t>+</w:t>
            </w:r>
            <w:r>
              <w:t xml:space="preserve">13.8% for %CL, and </w:t>
            </w:r>
            <w:r w:rsidRPr="00302E9F">
              <w:rPr>
                <w:u w:val="single"/>
              </w:rPr>
              <w:t>+</w:t>
            </w:r>
            <w:r>
              <w:t>3.1 units for the CPMI.</w:t>
            </w:r>
          </w:p>
        </w:tc>
      </w:tr>
    </w:tbl>
    <w:p w14:paraId="5220BE8F" w14:textId="77777777" w:rsidR="008C61DB" w:rsidRDefault="008C61DB"/>
    <w:p w14:paraId="5288F8BB" w14:textId="77777777" w:rsidR="00636830" w:rsidRDefault="00636830">
      <w:pPr>
        <w:sectPr w:rsidR="00636830" w:rsidSect="002370C2">
          <w:pgSz w:w="15840" w:h="12240" w:orient="landscape"/>
          <w:pgMar w:top="1440" w:right="1440" w:bottom="1440" w:left="1440" w:header="720" w:footer="720" w:gutter="0"/>
          <w:cols w:space="720"/>
          <w:docGrid w:linePitch="360"/>
        </w:sectPr>
      </w:pPr>
    </w:p>
    <w:p w14:paraId="77F5E69C" w14:textId="0959BBDE" w:rsidR="002370C2" w:rsidRDefault="002370C2"/>
    <w:tbl>
      <w:tblPr>
        <w:tblW w:w="5000" w:type="pct"/>
        <w:tblLook w:val="04A0" w:firstRow="1" w:lastRow="0" w:firstColumn="1" w:lastColumn="0" w:noHBand="0" w:noVBand="1"/>
      </w:tblPr>
      <w:tblGrid>
        <w:gridCol w:w="1977"/>
        <w:gridCol w:w="1282"/>
        <w:gridCol w:w="1774"/>
        <w:gridCol w:w="3929"/>
        <w:gridCol w:w="1142"/>
        <w:gridCol w:w="2846"/>
      </w:tblGrid>
      <w:tr w:rsidR="00E32A6A" w:rsidRPr="00E32A6A" w14:paraId="237F3523" w14:textId="77777777" w:rsidTr="00E32A6A">
        <w:trPr>
          <w:trHeight w:val="402"/>
        </w:trPr>
        <w:tc>
          <w:tcPr>
            <w:tcW w:w="763"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3BDA3C32"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Location</w:t>
            </w:r>
          </w:p>
        </w:tc>
        <w:tc>
          <w:tcPr>
            <w:tcW w:w="495" w:type="pct"/>
            <w:tcBorders>
              <w:top w:val="single" w:sz="4" w:space="0" w:color="auto"/>
              <w:left w:val="nil"/>
              <w:bottom w:val="single" w:sz="4" w:space="0" w:color="auto"/>
              <w:right w:val="single" w:sz="4" w:space="0" w:color="auto"/>
            </w:tcBorders>
            <w:shd w:val="clear" w:color="000000" w:fill="F2F2F2"/>
            <w:vAlign w:val="center"/>
            <w:hideMark/>
          </w:tcPr>
          <w:p w14:paraId="3E44116C"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Index Identifier</w:t>
            </w:r>
          </w:p>
        </w:tc>
        <w:tc>
          <w:tcPr>
            <w:tcW w:w="685" w:type="pct"/>
            <w:tcBorders>
              <w:top w:val="single" w:sz="4" w:space="0" w:color="auto"/>
              <w:left w:val="nil"/>
              <w:bottom w:val="single" w:sz="4" w:space="0" w:color="auto"/>
              <w:right w:val="single" w:sz="4" w:space="0" w:color="auto"/>
            </w:tcBorders>
            <w:shd w:val="clear" w:color="000000" w:fill="F2F2F2"/>
            <w:vAlign w:val="center"/>
            <w:hideMark/>
          </w:tcPr>
          <w:p w14:paraId="545D2C1B"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Metrics</w:t>
            </w:r>
          </w:p>
        </w:tc>
        <w:tc>
          <w:tcPr>
            <w:tcW w:w="1517" w:type="pct"/>
            <w:tcBorders>
              <w:top w:val="single" w:sz="4" w:space="0" w:color="auto"/>
              <w:left w:val="nil"/>
              <w:bottom w:val="single" w:sz="4" w:space="0" w:color="auto"/>
              <w:right w:val="single" w:sz="4" w:space="0" w:color="auto"/>
            </w:tcBorders>
            <w:shd w:val="clear" w:color="000000" w:fill="F2F2F2"/>
            <w:vAlign w:val="center"/>
            <w:hideMark/>
          </w:tcPr>
          <w:p w14:paraId="1571F9C7"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 response to stress</w:t>
            </w:r>
          </w:p>
        </w:tc>
        <w:tc>
          <w:tcPr>
            <w:tcW w:w="441" w:type="pct"/>
            <w:tcBorders>
              <w:top w:val="single" w:sz="4" w:space="0" w:color="auto"/>
              <w:left w:val="nil"/>
              <w:bottom w:val="single" w:sz="4" w:space="0" w:color="auto"/>
              <w:right w:val="single" w:sz="4" w:space="0" w:color="auto"/>
            </w:tcBorders>
            <w:shd w:val="clear" w:color="000000" w:fill="F2F2F2"/>
            <w:vAlign w:val="center"/>
            <w:hideMark/>
          </w:tcPr>
          <w:p w14:paraId="50880555"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Citation</w:t>
            </w:r>
          </w:p>
        </w:tc>
        <w:tc>
          <w:tcPr>
            <w:tcW w:w="1099" w:type="pct"/>
            <w:tcBorders>
              <w:top w:val="single" w:sz="4" w:space="0" w:color="auto"/>
              <w:left w:val="nil"/>
              <w:bottom w:val="single" w:sz="4" w:space="0" w:color="auto"/>
              <w:right w:val="single" w:sz="4" w:space="0" w:color="auto"/>
            </w:tcBorders>
            <w:shd w:val="clear" w:color="000000" w:fill="F2F2F2"/>
            <w:vAlign w:val="center"/>
            <w:hideMark/>
          </w:tcPr>
          <w:p w14:paraId="0D417702"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Remarks</w:t>
            </w:r>
          </w:p>
        </w:tc>
      </w:tr>
      <w:tr w:rsidR="00E32A6A" w:rsidRPr="00E32A6A" w14:paraId="7B64ACA6" w14:textId="77777777" w:rsidTr="00E32A6A">
        <w:trPr>
          <w:trHeight w:val="402"/>
        </w:trPr>
        <w:tc>
          <w:tcPr>
            <w:tcW w:w="763" w:type="pct"/>
            <w:tcBorders>
              <w:top w:val="nil"/>
              <w:left w:val="single" w:sz="4" w:space="0" w:color="auto"/>
              <w:bottom w:val="single" w:sz="4" w:space="0" w:color="auto"/>
              <w:right w:val="single" w:sz="4" w:space="0" w:color="auto"/>
            </w:tcBorders>
            <w:shd w:val="clear" w:color="auto" w:fill="auto"/>
          </w:tcPr>
          <w:p w14:paraId="62263609" w14:textId="6B238FC6" w:rsidR="00E32A6A" w:rsidRPr="00E32A6A" w:rsidRDefault="00E32A6A" w:rsidP="00E32A6A">
            <w:pPr>
              <w:spacing w:after="0" w:line="240" w:lineRule="auto"/>
              <w:jc w:val="center"/>
              <w:rPr>
                <w:rFonts w:ascii="Calibri" w:eastAsia="Times New Roman" w:hAnsi="Calibri" w:cs="Calibri"/>
                <w:color w:val="000000"/>
              </w:rPr>
            </w:pPr>
            <w:r>
              <w:t>Florida</w:t>
            </w:r>
          </w:p>
        </w:tc>
        <w:tc>
          <w:tcPr>
            <w:tcW w:w="495" w:type="pct"/>
            <w:tcBorders>
              <w:top w:val="nil"/>
              <w:left w:val="nil"/>
              <w:bottom w:val="single" w:sz="4" w:space="0" w:color="auto"/>
              <w:right w:val="single" w:sz="4" w:space="0" w:color="auto"/>
            </w:tcBorders>
            <w:shd w:val="clear" w:color="auto" w:fill="auto"/>
          </w:tcPr>
          <w:p w14:paraId="4E4F861B" w14:textId="77777777" w:rsidR="00E32A6A" w:rsidRPr="004F6C71" w:rsidRDefault="00E32A6A" w:rsidP="004F6C71">
            <w:pPr>
              <w:pStyle w:val="NoSpacing"/>
              <w:rPr>
                <w:rFonts w:asciiTheme="minorHAnsi" w:hAnsiTheme="minorHAnsi" w:cstheme="minorHAnsi"/>
                <w:sz w:val="22"/>
                <w:szCs w:val="20"/>
              </w:rPr>
            </w:pPr>
            <w:r w:rsidRPr="004F6C71">
              <w:rPr>
                <w:rFonts w:asciiTheme="minorHAnsi" w:hAnsiTheme="minorHAnsi" w:cstheme="minorHAnsi"/>
                <w:sz w:val="22"/>
                <w:szCs w:val="20"/>
              </w:rPr>
              <w:t>Stream Condition</w:t>
            </w:r>
          </w:p>
          <w:p w14:paraId="6EF3EB8E" w14:textId="5BD8984B" w:rsidR="00E32A6A" w:rsidRPr="00E32A6A" w:rsidRDefault="00E32A6A" w:rsidP="004F6C71">
            <w:pPr>
              <w:pStyle w:val="NoSpacing"/>
              <w:rPr>
                <w:rFonts w:ascii="Calibri" w:eastAsia="Times New Roman" w:hAnsi="Calibri"/>
                <w:color w:val="000000"/>
              </w:rPr>
            </w:pPr>
            <w:r w:rsidRPr="004F6C71">
              <w:rPr>
                <w:rFonts w:asciiTheme="minorHAnsi" w:hAnsiTheme="minorHAnsi" w:cstheme="minorHAnsi"/>
                <w:sz w:val="22"/>
                <w:szCs w:val="20"/>
              </w:rPr>
              <w:t>Index (SCI)</w:t>
            </w:r>
          </w:p>
        </w:tc>
        <w:tc>
          <w:tcPr>
            <w:tcW w:w="685" w:type="pct"/>
            <w:tcBorders>
              <w:top w:val="nil"/>
              <w:left w:val="nil"/>
              <w:bottom w:val="single" w:sz="4" w:space="0" w:color="auto"/>
              <w:right w:val="single" w:sz="4" w:space="0" w:color="auto"/>
            </w:tcBorders>
            <w:shd w:val="clear" w:color="auto" w:fill="auto"/>
          </w:tcPr>
          <w:p w14:paraId="1F5750F6" w14:textId="77777777" w:rsidR="00E32A6A" w:rsidRDefault="00E32A6A" w:rsidP="00E32A6A">
            <w:r>
              <w:t># total taxa</w:t>
            </w:r>
          </w:p>
          <w:p w14:paraId="73C9AD6E" w14:textId="77777777" w:rsidR="00E32A6A" w:rsidRDefault="00E32A6A" w:rsidP="00E32A6A">
            <w:r>
              <w:t># EPT taxa</w:t>
            </w:r>
          </w:p>
          <w:p w14:paraId="1B0F3A6B" w14:textId="77777777" w:rsidR="00E32A6A" w:rsidRDefault="00E32A6A" w:rsidP="00E32A6A">
            <w:r>
              <w:t># Chironomidae taxa</w:t>
            </w:r>
          </w:p>
          <w:p w14:paraId="3240CC40" w14:textId="77777777" w:rsidR="00E32A6A" w:rsidRDefault="00E32A6A" w:rsidP="00E32A6A">
            <w:r>
              <w:t>Florida Index</w:t>
            </w:r>
          </w:p>
          <w:p w14:paraId="7AE8819F" w14:textId="77777777" w:rsidR="00E32A6A" w:rsidRDefault="00E32A6A" w:rsidP="00E32A6A">
            <w:r>
              <w:t>% dominant taxa</w:t>
            </w:r>
          </w:p>
          <w:p w14:paraId="44C1B0D0" w14:textId="77777777" w:rsidR="00E32A6A" w:rsidRDefault="00E32A6A" w:rsidP="00E32A6A">
            <w:r>
              <w:t>% Diptera</w:t>
            </w:r>
          </w:p>
          <w:p w14:paraId="55A905BC" w14:textId="77777777" w:rsidR="00E32A6A" w:rsidRDefault="00E32A6A" w:rsidP="00E32A6A">
            <w:r>
              <w:t>% gatherers</w:t>
            </w:r>
          </w:p>
          <w:p w14:paraId="37FBAE1B" w14:textId="504DE5E5" w:rsidR="00E32A6A" w:rsidRPr="00E32A6A" w:rsidRDefault="00E32A6A" w:rsidP="00E32A6A">
            <w:pPr>
              <w:spacing w:after="0" w:line="240" w:lineRule="auto"/>
              <w:rPr>
                <w:rFonts w:ascii="Calibri" w:eastAsia="Times New Roman" w:hAnsi="Calibri" w:cs="Calibri"/>
                <w:color w:val="000000"/>
              </w:rPr>
            </w:pPr>
            <w:r>
              <w:t>% filterers</w:t>
            </w:r>
          </w:p>
        </w:tc>
        <w:tc>
          <w:tcPr>
            <w:tcW w:w="1517" w:type="pct"/>
            <w:tcBorders>
              <w:top w:val="nil"/>
              <w:left w:val="nil"/>
              <w:bottom w:val="single" w:sz="4" w:space="0" w:color="auto"/>
              <w:right w:val="single" w:sz="4" w:space="0" w:color="auto"/>
            </w:tcBorders>
            <w:shd w:val="clear" w:color="auto" w:fill="auto"/>
          </w:tcPr>
          <w:p w14:paraId="577971E9" w14:textId="77777777" w:rsidR="00E32A6A" w:rsidRDefault="00E32A6A" w:rsidP="00E32A6A">
            <w:r w:rsidRPr="00875C3B">
              <w:rPr>
                <w:b/>
              </w:rPr>
              <w:t># total taxa</w:t>
            </w:r>
            <w:r>
              <w:t>: decrease</w:t>
            </w:r>
          </w:p>
          <w:p w14:paraId="6913CAD0" w14:textId="77777777" w:rsidR="00E32A6A" w:rsidRDefault="00E32A6A" w:rsidP="00E32A6A">
            <w:r w:rsidRPr="00875C3B">
              <w:rPr>
                <w:b/>
              </w:rPr>
              <w:t># EPT taxa</w:t>
            </w:r>
            <w:r>
              <w:t>: decrease</w:t>
            </w:r>
          </w:p>
          <w:p w14:paraId="37587F3B" w14:textId="77777777" w:rsidR="00E32A6A" w:rsidRDefault="00E32A6A" w:rsidP="00E32A6A">
            <w:r w:rsidRPr="00875C3B">
              <w:rPr>
                <w:b/>
              </w:rPr>
              <w:t># Chironomidae taxa</w:t>
            </w:r>
            <w:r>
              <w:t>: decrease</w:t>
            </w:r>
          </w:p>
          <w:p w14:paraId="5915C2F7" w14:textId="77777777" w:rsidR="00E32A6A" w:rsidRDefault="00E32A6A" w:rsidP="00E32A6A">
            <w:r w:rsidRPr="00875C3B">
              <w:rPr>
                <w:b/>
              </w:rPr>
              <w:t>Florida Index</w:t>
            </w:r>
            <w:r>
              <w:t xml:space="preserve">: </w:t>
            </w:r>
            <w:r w:rsidRPr="007C128F">
              <w:t>decrease</w:t>
            </w:r>
            <w:r>
              <w:t xml:space="preserve"> </w:t>
            </w:r>
          </w:p>
          <w:p w14:paraId="32E550FA" w14:textId="77777777" w:rsidR="00E32A6A" w:rsidRDefault="00E32A6A" w:rsidP="00E32A6A">
            <w:r w:rsidRPr="00875C3B">
              <w:rPr>
                <w:b/>
              </w:rPr>
              <w:t>% dominant taxa</w:t>
            </w:r>
            <w:r>
              <w:t>: increase</w:t>
            </w:r>
          </w:p>
          <w:p w14:paraId="22605918" w14:textId="77777777" w:rsidR="00E32A6A" w:rsidRDefault="00E32A6A" w:rsidP="00E32A6A">
            <w:r w:rsidRPr="00721E90">
              <w:rPr>
                <w:b/>
              </w:rPr>
              <w:t>% Diptera</w:t>
            </w:r>
            <w:r>
              <w:t>: increase</w:t>
            </w:r>
          </w:p>
          <w:p w14:paraId="6546B220" w14:textId="77777777" w:rsidR="00E32A6A" w:rsidRDefault="00E32A6A" w:rsidP="00E32A6A">
            <w:r w:rsidRPr="00721E90">
              <w:rPr>
                <w:b/>
              </w:rPr>
              <w:t>% gatherers</w:t>
            </w:r>
            <w:r>
              <w:t>: variable</w:t>
            </w:r>
          </w:p>
          <w:p w14:paraId="20EC444A" w14:textId="642C6F9B" w:rsidR="00E32A6A" w:rsidRPr="00E32A6A" w:rsidRDefault="00E32A6A" w:rsidP="00E32A6A">
            <w:pPr>
              <w:spacing w:after="0" w:line="240" w:lineRule="auto"/>
              <w:rPr>
                <w:rFonts w:ascii="Calibri" w:eastAsia="Times New Roman" w:hAnsi="Calibri" w:cs="Calibri"/>
                <w:color w:val="000000"/>
              </w:rPr>
            </w:pPr>
            <w:r w:rsidRPr="00721E90">
              <w:rPr>
                <w:b/>
              </w:rPr>
              <w:t>% filtere</w:t>
            </w:r>
            <w:r>
              <w:t>rs: decrease; “filter feeders are also thought to be sensitive in low-gradient streams (Wallace et al. 1977).”</w:t>
            </w:r>
          </w:p>
        </w:tc>
        <w:tc>
          <w:tcPr>
            <w:tcW w:w="441" w:type="pct"/>
            <w:tcBorders>
              <w:top w:val="nil"/>
              <w:left w:val="nil"/>
              <w:bottom w:val="single" w:sz="4" w:space="0" w:color="auto"/>
              <w:right w:val="single" w:sz="4" w:space="0" w:color="auto"/>
            </w:tcBorders>
            <w:shd w:val="clear" w:color="auto" w:fill="auto"/>
          </w:tcPr>
          <w:p w14:paraId="23048DDF" w14:textId="17C2826D" w:rsidR="00E32A6A" w:rsidRPr="00E32A6A" w:rsidRDefault="00E32A6A" w:rsidP="00E32A6A">
            <w:pPr>
              <w:spacing w:after="0" w:line="240" w:lineRule="auto"/>
              <w:jc w:val="center"/>
              <w:rPr>
                <w:rFonts w:ascii="Calibri" w:eastAsia="Times New Roman" w:hAnsi="Calibri" w:cs="Calibri"/>
                <w:color w:val="000000"/>
              </w:rPr>
            </w:pPr>
            <w:r>
              <w:t>Barbour et al. 1996</w:t>
            </w:r>
          </w:p>
        </w:tc>
        <w:tc>
          <w:tcPr>
            <w:tcW w:w="1099" w:type="pct"/>
            <w:tcBorders>
              <w:top w:val="nil"/>
              <w:left w:val="nil"/>
              <w:bottom w:val="single" w:sz="4" w:space="0" w:color="auto"/>
              <w:right w:val="single" w:sz="4" w:space="0" w:color="auto"/>
            </w:tcBorders>
            <w:shd w:val="clear" w:color="auto" w:fill="auto"/>
          </w:tcPr>
          <w:p w14:paraId="1C123F68" w14:textId="77777777" w:rsidR="00E32A6A" w:rsidRDefault="00E32A6A" w:rsidP="00E32A6A">
            <w:pPr>
              <w:spacing w:after="120"/>
            </w:pPr>
            <w:r>
              <w:t>Summer index sampling period (Jul-Sep).</w:t>
            </w:r>
          </w:p>
          <w:p w14:paraId="031727EA" w14:textId="77777777" w:rsidR="00E32A6A" w:rsidRDefault="00E32A6A" w:rsidP="00E32A6A">
            <w:pPr>
              <w:spacing w:after="120"/>
            </w:pPr>
            <w:r>
              <w:t xml:space="preserve">3 classified regions: </w:t>
            </w:r>
            <w:r w:rsidRPr="00DC0505">
              <w:t>panhandle,</w:t>
            </w:r>
            <w:r>
              <w:t xml:space="preserve"> </w:t>
            </w:r>
            <w:r w:rsidRPr="00DC0505">
              <w:t>peninsular</w:t>
            </w:r>
            <w:r>
              <w:t xml:space="preserve"> </w:t>
            </w:r>
            <w:r w:rsidRPr="00DC0505">
              <w:t>Florida,</w:t>
            </w:r>
            <w:r>
              <w:t xml:space="preserve"> &amp;</w:t>
            </w:r>
            <w:r w:rsidRPr="00DC0505">
              <w:t xml:space="preserve"> the northeastern</w:t>
            </w:r>
            <w:r>
              <w:t xml:space="preserve"> </w:t>
            </w:r>
            <w:r w:rsidRPr="00DC0505">
              <w:t>portion</w:t>
            </w:r>
            <w:r>
              <w:t xml:space="preserve"> </w:t>
            </w:r>
            <w:r w:rsidRPr="00DC0505">
              <w:t>of Florida</w:t>
            </w:r>
          </w:p>
          <w:p w14:paraId="28846D5F" w14:textId="2A62F927" w:rsidR="00E32A6A" w:rsidRPr="00E32A6A" w:rsidRDefault="00E32A6A" w:rsidP="00E32A6A">
            <w:pPr>
              <w:spacing w:after="0" w:line="240" w:lineRule="auto"/>
              <w:jc w:val="center"/>
              <w:rPr>
                <w:rFonts w:ascii="Calibri" w:eastAsia="Times New Roman" w:hAnsi="Calibri" w:cs="Calibri"/>
                <w:color w:val="000000"/>
              </w:rPr>
            </w:pPr>
            <w:r>
              <w:t>Scores (5, 3, or 1) developed for 8 metrics to allow aggregation into an index</w:t>
            </w:r>
          </w:p>
        </w:tc>
      </w:tr>
    </w:tbl>
    <w:p w14:paraId="63E2EA0E" w14:textId="77777777" w:rsidR="004F6C71" w:rsidRDefault="004F6C71">
      <w:pPr>
        <w:sectPr w:rsidR="004F6C71" w:rsidSect="002370C2">
          <w:pgSz w:w="15840" w:h="12240" w:orient="landscape"/>
          <w:pgMar w:top="1440" w:right="1440" w:bottom="1440" w:left="1440" w:header="720" w:footer="720" w:gutter="0"/>
          <w:cols w:space="720"/>
          <w:docGrid w:linePitch="360"/>
        </w:sectPr>
      </w:pPr>
    </w:p>
    <w:tbl>
      <w:tblPr>
        <w:tblW w:w="5000" w:type="pct"/>
        <w:tblLook w:val="04A0" w:firstRow="1" w:lastRow="0" w:firstColumn="1" w:lastColumn="0" w:noHBand="0" w:noVBand="1"/>
      </w:tblPr>
      <w:tblGrid>
        <w:gridCol w:w="1965"/>
        <w:gridCol w:w="1337"/>
        <w:gridCol w:w="1764"/>
        <w:gridCol w:w="3919"/>
        <w:gridCol w:w="1132"/>
        <w:gridCol w:w="2833"/>
      </w:tblGrid>
      <w:tr w:rsidR="004F6C71" w:rsidRPr="00E32A6A" w14:paraId="5460B3C5" w14:textId="77777777" w:rsidTr="004F6C71">
        <w:trPr>
          <w:trHeight w:val="402"/>
        </w:trPr>
        <w:tc>
          <w:tcPr>
            <w:tcW w:w="759"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40D614F7"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lastRenderedPageBreak/>
              <w:t>Location</w:t>
            </w:r>
          </w:p>
        </w:tc>
        <w:tc>
          <w:tcPr>
            <w:tcW w:w="516" w:type="pct"/>
            <w:tcBorders>
              <w:top w:val="single" w:sz="4" w:space="0" w:color="auto"/>
              <w:left w:val="nil"/>
              <w:bottom w:val="single" w:sz="4" w:space="0" w:color="auto"/>
              <w:right w:val="single" w:sz="4" w:space="0" w:color="auto"/>
            </w:tcBorders>
            <w:shd w:val="clear" w:color="000000" w:fill="F2F2F2"/>
            <w:vAlign w:val="center"/>
            <w:hideMark/>
          </w:tcPr>
          <w:p w14:paraId="6FEF0C96"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Index Identifier</w:t>
            </w:r>
          </w:p>
        </w:tc>
        <w:tc>
          <w:tcPr>
            <w:tcW w:w="681" w:type="pct"/>
            <w:tcBorders>
              <w:top w:val="single" w:sz="4" w:space="0" w:color="auto"/>
              <w:left w:val="nil"/>
              <w:bottom w:val="single" w:sz="4" w:space="0" w:color="auto"/>
              <w:right w:val="single" w:sz="4" w:space="0" w:color="auto"/>
            </w:tcBorders>
            <w:shd w:val="clear" w:color="000000" w:fill="F2F2F2"/>
            <w:vAlign w:val="center"/>
            <w:hideMark/>
          </w:tcPr>
          <w:p w14:paraId="40C2D3EC"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Metrics</w:t>
            </w:r>
          </w:p>
        </w:tc>
        <w:tc>
          <w:tcPr>
            <w:tcW w:w="1513" w:type="pct"/>
            <w:tcBorders>
              <w:top w:val="single" w:sz="4" w:space="0" w:color="auto"/>
              <w:left w:val="nil"/>
              <w:bottom w:val="single" w:sz="4" w:space="0" w:color="auto"/>
              <w:right w:val="single" w:sz="4" w:space="0" w:color="auto"/>
            </w:tcBorders>
            <w:shd w:val="clear" w:color="000000" w:fill="F2F2F2"/>
            <w:vAlign w:val="center"/>
            <w:hideMark/>
          </w:tcPr>
          <w:p w14:paraId="0D48E146"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 response to stress</w:t>
            </w:r>
          </w:p>
        </w:tc>
        <w:tc>
          <w:tcPr>
            <w:tcW w:w="437" w:type="pct"/>
            <w:tcBorders>
              <w:top w:val="single" w:sz="4" w:space="0" w:color="auto"/>
              <w:left w:val="nil"/>
              <w:bottom w:val="single" w:sz="4" w:space="0" w:color="auto"/>
              <w:right w:val="single" w:sz="4" w:space="0" w:color="auto"/>
            </w:tcBorders>
            <w:shd w:val="clear" w:color="000000" w:fill="F2F2F2"/>
            <w:vAlign w:val="center"/>
            <w:hideMark/>
          </w:tcPr>
          <w:p w14:paraId="3FF6FA6B"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Citation</w:t>
            </w:r>
          </w:p>
        </w:tc>
        <w:tc>
          <w:tcPr>
            <w:tcW w:w="1095" w:type="pct"/>
            <w:tcBorders>
              <w:top w:val="single" w:sz="4" w:space="0" w:color="auto"/>
              <w:left w:val="nil"/>
              <w:bottom w:val="single" w:sz="4" w:space="0" w:color="auto"/>
              <w:right w:val="single" w:sz="4" w:space="0" w:color="auto"/>
            </w:tcBorders>
            <w:shd w:val="clear" w:color="000000" w:fill="F2F2F2"/>
            <w:vAlign w:val="center"/>
            <w:hideMark/>
          </w:tcPr>
          <w:p w14:paraId="00F1B95C"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Remarks</w:t>
            </w:r>
          </w:p>
        </w:tc>
      </w:tr>
      <w:tr w:rsidR="004F6C71" w:rsidRPr="00E32A6A" w14:paraId="0FF2A4FF" w14:textId="77777777" w:rsidTr="004F6C71">
        <w:trPr>
          <w:trHeight w:val="402"/>
        </w:trPr>
        <w:tc>
          <w:tcPr>
            <w:tcW w:w="759" w:type="pct"/>
            <w:tcBorders>
              <w:top w:val="nil"/>
              <w:left w:val="single" w:sz="4" w:space="0" w:color="auto"/>
              <w:bottom w:val="single" w:sz="4" w:space="0" w:color="auto"/>
              <w:right w:val="single" w:sz="4" w:space="0" w:color="auto"/>
            </w:tcBorders>
            <w:shd w:val="clear" w:color="auto" w:fill="auto"/>
          </w:tcPr>
          <w:p w14:paraId="1CDD72FF" w14:textId="6B194BB0" w:rsidR="004F6C71" w:rsidRPr="004F6C71" w:rsidRDefault="004F6C71" w:rsidP="004F6C71">
            <w:pPr>
              <w:spacing w:after="0" w:line="240" w:lineRule="auto"/>
              <w:jc w:val="center"/>
              <w:rPr>
                <w:rFonts w:ascii="Calibri" w:eastAsia="Times New Roman" w:hAnsi="Calibri" w:cs="Calibri"/>
                <w:color w:val="000000"/>
              </w:rPr>
            </w:pPr>
            <w:r w:rsidRPr="004F6C71">
              <w:t>Choctawhatchee-Pea Rivers watershed, AL</w:t>
            </w:r>
          </w:p>
        </w:tc>
        <w:tc>
          <w:tcPr>
            <w:tcW w:w="516" w:type="pct"/>
            <w:tcBorders>
              <w:top w:val="nil"/>
              <w:left w:val="nil"/>
              <w:bottom w:val="single" w:sz="4" w:space="0" w:color="auto"/>
              <w:right w:val="single" w:sz="4" w:space="0" w:color="auto"/>
            </w:tcBorders>
            <w:shd w:val="clear" w:color="auto" w:fill="auto"/>
          </w:tcPr>
          <w:p w14:paraId="43CA0660" w14:textId="44799F84" w:rsidR="004F6C71" w:rsidRPr="004F6C71" w:rsidRDefault="004F6C71" w:rsidP="004F6C71">
            <w:pPr>
              <w:pStyle w:val="NoSpacing"/>
              <w:rPr>
                <w:rFonts w:asciiTheme="minorHAnsi" w:eastAsia="Times New Roman" w:hAnsiTheme="minorHAnsi" w:cstheme="minorHAnsi"/>
                <w:color w:val="000000"/>
                <w:sz w:val="22"/>
              </w:rPr>
            </w:pPr>
            <w:r w:rsidRPr="004F6C71">
              <w:rPr>
                <w:rFonts w:asciiTheme="minorHAnsi" w:hAnsiTheme="minorHAnsi" w:cstheme="minorHAnsi"/>
                <w:sz w:val="22"/>
              </w:rPr>
              <w:t>Invertebrate community index (ICI)</w:t>
            </w:r>
          </w:p>
        </w:tc>
        <w:tc>
          <w:tcPr>
            <w:tcW w:w="681" w:type="pct"/>
            <w:tcBorders>
              <w:top w:val="nil"/>
              <w:left w:val="nil"/>
              <w:bottom w:val="single" w:sz="4" w:space="0" w:color="auto"/>
              <w:right w:val="single" w:sz="4" w:space="0" w:color="auto"/>
            </w:tcBorders>
            <w:shd w:val="clear" w:color="auto" w:fill="auto"/>
          </w:tcPr>
          <w:p w14:paraId="08E9591B" w14:textId="77777777" w:rsidR="004F6C71" w:rsidRPr="004F6C71" w:rsidRDefault="004F6C71" w:rsidP="004F6C71">
            <w:pPr>
              <w:rPr>
                <w:rFonts w:cstheme="minorHAnsi"/>
              </w:rPr>
            </w:pPr>
            <w:r w:rsidRPr="004F6C71">
              <w:rPr>
                <w:rFonts w:cstheme="minorHAnsi"/>
              </w:rPr>
              <w:t># EPT taxa</w:t>
            </w:r>
          </w:p>
          <w:p w14:paraId="7B0C2597" w14:textId="77777777" w:rsidR="004F6C71" w:rsidRPr="004F6C71" w:rsidRDefault="004F6C71" w:rsidP="004F6C71">
            <w:pPr>
              <w:rPr>
                <w:rFonts w:cstheme="minorHAnsi"/>
              </w:rPr>
            </w:pPr>
            <w:r w:rsidRPr="004F6C71">
              <w:rPr>
                <w:rFonts w:cstheme="minorHAnsi"/>
              </w:rPr>
              <w:t># Trichoptera taxa</w:t>
            </w:r>
          </w:p>
          <w:p w14:paraId="1C0B0852" w14:textId="77777777" w:rsidR="004F6C71" w:rsidRPr="004F6C71" w:rsidRDefault="004F6C71" w:rsidP="004F6C71">
            <w:pPr>
              <w:rPr>
                <w:rFonts w:cstheme="minorHAnsi"/>
              </w:rPr>
            </w:pPr>
            <w:r w:rsidRPr="004F6C71">
              <w:rPr>
                <w:rFonts w:cstheme="minorHAnsi"/>
              </w:rPr>
              <w:t>#  Diptera taxa</w:t>
            </w:r>
          </w:p>
          <w:p w14:paraId="6E4AEC01" w14:textId="77777777" w:rsidR="004F6C71" w:rsidRPr="004F6C71" w:rsidRDefault="004F6C71" w:rsidP="004F6C71">
            <w:pPr>
              <w:rPr>
                <w:rFonts w:cstheme="minorHAnsi"/>
              </w:rPr>
            </w:pPr>
            <w:r w:rsidRPr="004F6C71">
              <w:rPr>
                <w:rFonts w:cstheme="minorHAnsi"/>
              </w:rPr>
              <w:t># Crustacea + Mollusca</w:t>
            </w:r>
          </w:p>
          <w:p w14:paraId="4B4CE7BC" w14:textId="77777777" w:rsidR="004F6C71" w:rsidRPr="004F6C71" w:rsidRDefault="004F6C71" w:rsidP="004F6C71">
            <w:pPr>
              <w:rPr>
                <w:rFonts w:cstheme="minorHAnsi"/>
              </w:rPr>
            </w:pPr>
            <w:r w:rsidRPr="004F6C71">
              <w:rPr>
                <w:rFonts w:cstheme="minorHAnsi"/>
              </w:rPr>
              <w:t>% Dominant taxa</w:t>
            </w:r>
          </w:p>
          <w:p w14:paraId="6062FD6C" w14:textId="77777777" w:rsidR="004F6C71" w:rsidRPr="004F6C71" w:rsidRDefault="004F6C71" w:rsidP="004F6C71">
            <w:pPr>
              <w:rPr>
                <w:rFonts w:cstheme="minorHAnsi"/>
              </w:rPr>
            </w:pPr>
            <w:r w:rsidRPr="004F6C71">
              <w:rPr>
                <w:rFonts w:cstheme="minorHAnsi"/>
              </w:rPr>
              <w:t>% Ephemeroptera</w:t>
            </w:r>
          </w:p>
          <w:p w14:paraId="50A1082D" w14:textId="77777777" w:rsidR="004F6C71" w:rsidRPr="004F6C71" w:rsidRDefault="004F6C71" w:rsidP="004F6C71">
            <w:pPr>
              <w:rPr>
                <w:rFonts w:cstheme="minorHAnsi"/>
              </w:rPr>
            </w:pPr>
            <w:r w:rsidRPr="004F6C71">
              <w:rPr>
                <w:rFonts w:cstheme="minorHAnsi"/>
              </w:rPr>
              <w:t>% Diptera</w:t>
            </w:r>
          </w:p>
          <w:p w14:paraId="4CC38E6C" w14:textId="77777777" w:rsidR="004F6C71" w:rsidRPr="004F6C71" w:rsidRDefault="004F6C71" w:rsidP="004F6C71">
            <w:pPr>
              <w:rPr>
                <w:rFonts w:cstheme="minorHAnsi"/>
              </w:rPr>
            </w:pPr>
            <w:r w:rsidRPr="004F6C71">
              <w:rPr>
                <w:rFonts w:cstheme="minorHAnsi"/>
              </w:rPr>
              <w:t xml:space="preserve">% </w:t>
            </w:r>
            <w:proofErr w:type="spellStart"/>
            <w:r w:rsidRPr="004F6C71">
              <w:rPr>
                <w:rFonts w:cstheme="minorHAnsi"/>
              </w:rPr>
              <w:t>Chironominae</w:t>
            </w:r>
            <w:proofErr w:type="spellEnd"/>
            <w:r w:rsidRPr="004F6C71">
              <w:rPr>
                <w:rFonts w:cstheme="minorHAnsi"/>
              </w:rPr>
              <w:t xml:space="preserve"> to chironomids</w:t>
            </w:r>
          </w:p>
          <w:p w14:paraId="053BAA8B" w14:textId="77777777" w:rsidR="004F6C71" w:rsidRPr="004F6C71" w:rsidRDefault="004F6C71" w:rsidP="004F6C71">
            <w:pPr>
              <w:rPr>
                <w:rFonts w:cstheme="minorHAnsi"/>
              </w:rPr>
            </w:pPr>
            <w:r w:rsidRPr="004F6C71">
              <w:rPr>
                <w:rFonts w:cstheme="minorHAnsi"/>
              </w:rPr>
              <w:t>Family Biotic Index (FBI)</w:t>
            </w:r>
          </w:p>
          <w:p w14:paraId="3F95FB2F" w14:textId="5D0A39C9" w:rsidR="004F6C71" w:rsidRPr="004F6C71" w:rsidRDefault="004F6C71" w:rsidP="004F6C71">
            <w:pPr>
              <w:spacing w:after="0" w:line="240" w:lineRule="auto"/>
              <w:rPr>
                <w:rFonts w:eastAsia="Times New Roman" w:cstheme="minorHAnsi"/>
                <w:color w:val="000000"/>
              </w:rPr>
            </w:pPr>
            <w:r w:rsidRPr="004F6C71">
              <w:rPr>
                <w:rFonts w:cstheme="minorHAnsi"/>
              </w:rPr>
              <w:t>% Shredders</w:t>
            </w:r>
          </w:p>
        </w:tc>
        <w:tc>
          <w:tcPr>
            <w:tcW w:w="1513" w:type="pct"/>
            <w:tcBorders>
              <w:top w:val="nil"/>
              <w:left w:val="nil"/>
              <w:bottom w:val="single" w:sz="4" w:space="0" w:color="auto"/>
              <w:right w:val="single" w:sz="4" w:space="0" w:color="auto"/>
            </w:tcBorders>
            <w:shd w:val="clear" w:color="auto" w:fill="auto"/>
          </w:tcPr>
          <w:p w14:paraId="6C57C310" w14:textId="77777777" w:rsidR="004F6C71" w:rsidRPr="004F6C71" w:rsidRDefault="004F6C71" w:rsidP="004F6C71">
            <w:r w:rsidRPr="004F6C71">
              <w:t># EPT taxa:  decrease</w:t>
            </w:r>
          </w:p>
          <w:p w14:paraId="7DE31DFE" w14:textId="77777777" w:rsidR="004F6C71" w:rsidRPr="004F6C71" w:rsidRDefault="004F6C71" w:rsidP="004F6C71">
            <w:r w:rsidRPr="004F6C71">
              <w:t># Trichoptera taxa:  decrease</w:t>
            </w:r>
          </w:p>
          <w:p w14:paraId="0D0289BF" w14:textId="77777777" w:rsidR="004F6C71" w:rsidRPr="004F6C71" w:rsidRDefault="004F6C71" w:rsidP="004F6C71">
            <w:r w:rsidRPr="004F6C71">
              <w:t>#  Diptera taxa:  decrease</w:t>
            </w:r>
          </w:p>
          <w:p w14:paraId="356B0A3A" w14:textId="77777777" w:rsidR="004F6C71" w:rsidRPr="004F6C71" w:rsidRDefault="004F6C71" w:rsidP="004F6C71">
            <w:r w:rsidRPr="004F6C71">
              <w:t># Crustacea + Mollusca:  decrease</w:t>
            </w:r>
          </w:p>
          <w:p w14:paraId="6674227E" w14:textId="77777777" w:rsidR="004F6C71" w:rsidRPr="004F6C71" w:rsidRDefault="004F6C71" w:rsidP="004F6C71">
            <w:r w:rsidRPr="004F6C71">
              <w:t>% Dominant taxa:  increase</w:t>
            </w:r>
          </w:p>
          <w:p w14:paraId="105C2A4C" w14:textId="77777777" w:rsidR="004F6C71" w:rsidRPr="004F6C71" w:rsidRDefault="004F6C71" w:rsidP="004F6C71">
            <w:r w:rsidRPr="004F6C71">
              <w:t>% Ephemeroptera:  decrease</w:t>
            </w:r>
          </w:p>
          <w:p w14:paraId="3ACF5604" w14:textId="77777777" w:rsidR="004F6C71" w:rsidRPr="004F6C71" w:rsidRDefault="004F6C71" w:rsidP="004F6C71">
            <w:r w:rsidRPr="004F6C71">
              <w:t>% Diptera:  increase</w:t>
            </w:r>
          </w:p>
          <w:p w14:paraId="3F2397F7" w14:textId="77777777" w:rsidR="004F6C71" w:rsidRPr="004F6C71" w:rsidRDefault="004F6C71" w:rsidP="004F6C71">
            <w:r w:rsidRPr="004F6C71">
              <w:t xml:space="preserve">% </w:t>
            </w:r>
            <w:proofErr w:type="spellStart"/>
            <w:r w:rsidRPr="004F6C71">
              <w:t>Chironominae</w:t>
            </w:r>
            <w:proofErr w:type="spellEnd"/>
            <w:r w:rsidRPr="004F6C71">
              <w:t xml:space="preserve"> to chironomids:  decrease</w:t>
            </w:r>
          </w:p>
          <w:p w14:paraId="5389C7A1" w14:textId="77777777" w:rsidR="004F6C71" w:rsidRPr="004F6C71" w:rsidRDefault="004F6C71" w:rsidP="004F6C71">
            <w:r w:rsidRPr="004F6C71">
              <w:t>Family Biotic Index (FBI):  increase</w:t>
            </w:r>
          </w:p>
          <w:p w14:paraId="000AE5F9" w14:textId="67BC50B7" w:rsidR="004F6C71" w:rsidRPr="004F6C71" w:rsidRDefault="004F6C71" w:rsidP="004F6C71">
            <w:pPr>
              <w:spacing w:after="0" w:line="240" w:lineRule="auto"/>
              <w:rPr>
                <w:rFonts w:ascii="Calibri" w:eastAsia="Times New Roman" w:hAnsi="Calibri" w:cs="Calibri"/>
                <w:color w:val="000000"/>
              </w:rPr>
            </w:pPr>
            <w:r w:rsidRPr="004F6C71">
              <w:t>% Shredders:  decrease</w:t>
            </w:r>
          </w:p>
        </w:tc>
        <w:tc>
          <w:tcPr>
            <w:tcW w:w="437" w:type="pct"/>
            <w:tcBorders>
              <w:top w:val="nil"/>
              <w:left w:val="nil"/>
              <w:bottom w:val="single" w:sz="4" w:space="0" w:color="auto"/>
              <w:right w:val="single" w:sz="4" w:space="0" w:color="auto"/>
            </w:tcBorders>
            <w:shd w:val="clear" w:color="auto" w:fill="auto"/>
          </w:tcPr>
          <w:p w14:paraId="3D2526EC" w14:textId="3E716588" w:rsidR="004F6C71" w:rsidRPr="004F6C71" w:rsidRDefault="004F6C71" w:rsidP="004F6C71">
            <w:pPr>
              <w:spacing w:after="0" w:line="240" w:lineRule="auto"/>
              <w:jc w:val="center"/>
              <w:rPr>
                <w:rFonts w:ascii="Calibri" w:eastAsia="Times New Roman" w:hAnsi="Calibri" w:cs="Calibri"/>
                <w:color w:val="000000"/>
              </w:rPr>
            </w:pPr>
            <w:r w:rsidRPr="004F6C71">
              <w:t>Bennet et al. 2004</w:t>
            </w:r>
          </w:p>
        </w:tc>
        <w:tc>
          <w:tcPr>
            <w:tcW w:w="1095" w:type="pct"/>
            <w:tcBorders>
              <w:top w:val="nil"/>
              <w:left w:val="nil"/>
              <w:bottom w:val="single" w:sz="4" w:space="0" w:color="auto"/>
              <w:right w:val="single" w:sz="4" w:space="0" w:color="auto"/>
            </w:tcBorders>
            <w:shd w:val="clear" w:color="auto" w:fill="auto"/>
          </w:tcPr>
          <w:p w14:paraId="1F50DF36" w14:textId="77777777" w:rsidR="004F6C71" w:rsidRPr="004F6C71" w:rsidRDefault="004F6C71" w:rsidP="004F6C71">
            <w:pPr>
              <w:spacing w:after="120"/>
            </w:pPr>
            <w:r w:rsidRPr="004F6C71">
              <w:t xml:space="preserve">Within the coastal </w:t>
            </w:r>
            <w:proofErr w:type="gramStart"/>
            <w:r w:rsidRPr="004F6C71">
              <w:t>plains</w:t>
            </w:r>
            <w:proofErr w:type="gramEnd"/>
            <w:r w:rsidRPr="004F6C71">
              <w:t xml:space="preserve"> ecoregion in southeast Alabama; low elevation and loosely compacted, sandy soils.</w:t>
            </w:r>
          </w:p>
          <w:p w14:paraId="7C8FD50F" w14:textId="77777777" w:rsidR="004F6C71" w:rsidRPr="004F6C71" w:rsidRDefault="004F6C71" w:rsidP="004F6C71">
            <w:pPr>
              <w:spacing w:after="120"/>
            </w:pPr>
            <w:r w:rsidRPr="004F6C71">
              <w:t xml:space="preserve">34 </w:t>
            </w:r>
            <w:proofErr w:type="spellStart"/>
            <w:r w:rsidRPr="004F6C71">
              <w:t>wadeable</w:t>
            </w:r>
            <w:proofErr w:type="spellEnd"/>
            <w:r w:rsidRPr="004F6C71">
              <w:t xml:space="preserve"> first through sixth-order streams; </w:t>
            </w:r>
            <w:proofErr w:type="gramStart"/>
            <w:r w:rsidRPr="004F6C71">
              <w:t>plus</w:t>
            </w:r>
            <w:proofErr w:type="gramEnd"/>
            <w:r w:rsidRPr="004F6C71">
              <w:t xml:space="preserve"> for validation 7 additional least impacted and 8 impacted streams.</w:t>
            </w:r>
          </w:p>
          <w:p w14:paraId="34ED945D" w14:textId="77777777" w:rsidR="004F6C71" w:rsidRPr="004F6C71" w:rsidRDefault="004F6C71" w:rsidP="004F6C71">
            <w:pPr>
              <w:spacing w:after="120"/>
            </w:pPr>
            <w:r w:rsidRPr="004F6C71">
              <w:t>49 sites sampled once during April and May 2001.</w:t>
            </w:r>
          </w:p>
          <w:p w14:paraId="19618DA0" w14:textId="77777777" w:rsidR="004F6C71" w:rsidRPr="004F6C71" w:rsidRDefault="004F6C71" w:rsidP="004F6C71">
            <w:pPr>
              <w:spacing w:after="120"/>
            </w:pPr>
            <w:r w:rsidRPr="004F6C71">
              <w:t>The 10 selected metrics (of 38 tested) had significant correlations with one or more physiochemical variables.</w:t>
            </w:r>
          </w:p>
          <w:p w14:paraId="4E8304CC" w14:textId="77777777" w:rsidR="004F6C71" w:rsidRPr="004F6C71" w:rsidRDefault="004F6C71" w:rsidP="004F6C71">
            <w:pPr>
              <w:spacing w:after="120"/>
            </w:pPr>
            <w:r w:rsidRPr="004F6C71">
              <w:t>ICI calculated by summing the 10 metric scores from 34 sites; ranged from 18 to 56 out of a possible score of 60.</w:t>
            </w:r>
          </w:p>
          <w:p w14:paraId="078B8ED1" w14:textId="135BDF80" w:rsidR="004F6C71" w:rsidRPr="004F6C71" w:rsidRDefault="004F6C71" w:rsidP="004F6C71">
            <w:pPr>
              <w:spacing w:after="0" w:line="240" w:lineRule="auto"/>
              <w:jc w:val="center"/>
              <w:rPr>
                <w:rFonts w:ascii="Calibri" w:eastAsia="Times New Roman" w:hAnsi="Calibri" w:cs="Calibri"/>
                <w:color w:val="000000"/>
              </w:rPr>
            </w:pPr>
            <w:r w:rsidRPr="004F6C71">
              <w:t>The ICI was not always capable of discriminating between artificially enriched sites and good quality sites</w:t>
            </w:r>
          </w:p>
        </w:tc>
      </w:tr>
    </w:tbl>
    <w:p w14:paraId="4E84ED31" w14:textId="77777777" w:rsidR="004F6C71" w:rsidRDefault="004F6C71"/>
    <w:p w14:paraId="0B607B0A" w14:textId="77777777" w:rsidR="004F6C71" w:rsidRDefault="004F6C71"/>
    <w:tbl>
      <w:tblPr>
        <w:tblW w:w="5000" w:type="pct"/>
        <w:tblLook w:val="04A0" w:firstRow="1" w:lastRow="0" w:firstColumn="1" w:lastColumn="0" w:noHBand="0" w:noVBand="1"/>
      </w:tblPr>
      <w:tblGrid>
        <w:gridCol w:w="1528"/>
        <w:gridCol w:w="1349"/>
        <w:gridCol w:w="1888"/>
        <w:gridCol w:w="3059"/>
        <w:gridCol w:w="1171"/>
        <w:gridCol w:w="3955"/>
      </w:tblGrid>
      <w:tr w:rsidR="004F6C71" w:rsidRPr="00E32A6A" w14:paraId="69A8283D" w14:textId="77777777" w:rsidTr="004F6C71">
        <w:trPr>
          <w:trHeight w:val="402"/>
        </w:trPr>
        <w:tc>
          <w:tcPr>
            <w:tcW w:w="590"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19FE7A60"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lastRenderedPageBreak/>
              <w:t>Location</w:t>
            </w:r>
          </w:p>
        </w:tc>
        <w:tc>
          <w:tcPr>
            <w:tcW w:w="521" w:type="pct"/>
            <w:tcBorders>
              <w:top w:val="single" w:sz="4" w:space="0" w:color="auto"/>
              <w:left w:val="nil"/>
              <w:bottom w:val="single" w:sz="4" w:space="0" w:color="auto"/>
              <w:right w:val="single" w:sz="4" w:space="0" w:color="auto"/>
            </w:tcBorders>
            <w:shd w:val="clear" w:color="000000" w:fill="F2F2F2"/>
            <w:vAlign w:val="center"/>
            <w:hideMark/>
          </w:tcPr>
          <w:p w14:paraId="52A96368"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Index Identifier</w:t>
            </w:r>
          </w:p>
        </w:tc>
        <w:tc>
          <w:tcPr>
            <w:tcW w:w="729" w:type="pct"/>
            <w:tcBorders>
              <w:top w:val="single" w:sz="4" w:space="0" w:color="auto"/>
              <w:left w:val="nil"/>
              <w:bottom w:val="single" w:sz="4" w:space="0" w:color="auto"/>
              <w:right w:val="single" w:sz="4" w:space="0" w:color="auto"/>
            </w:tcBorders>
            <w:shd w:val="clear" w:color="000000" w:fill="F2F2F2"/>
            <w:vAlign w:val="center"/>
            <w:hideMark/>
          </w:tcPr>
          <w:p w14:paraId="47575EE7"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Metrics</w:t>
            </w:r>
          </w:p>
        </w:tc>
        <w:tc>
          <w:tcPr>
            <w:tcW w:w="1181" w:type="pct"/>
            <w:tcBorders>
              <w:top w:val="single" w:sz="4" w:space="0" w:color="auto"/>
              <w:left w:val="nil"/>
              <w:bottom w:val="single" w:sz="4" w:space="0" w:color="auto"/>
              <w:right w:val="single" w:sz="4" w:space="0" w:color="auto"/>
            </w:tcBorders>
            <w:shd w:val="clear" w:color="000000" w:fill="F2F2F2"/>
            <w:vAlign w:val="center"/>
            <w:hideMark/>
          </w:tcPr>
          <w:p w14:paraId="7DE0A0C0"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 response to stress</w:t>
            </w:r>
          </w:p>
        </w:tc>
        <w:tc>
          <w:tcPr>
            <w:tcW w:w="452" w:type="pct"/>
            <w:tcBorders>
              <w:top w:val="single" w:sz="4" w:space="0" w:color="auto"/>
              <w:left w:val="nil"/>
              <w:bottom w:val="single" w:sz="4" w:space="0" w:color="auto"/>
              <w:right w:val="single" w:sz="4" w:space="0" w:color="auto"/>
            </w:tcBorders>
            <w:shd w:val="clear" w:color="000000" w:fill="F2F2F2"/>
            <w:vAlign w:val="center"/>
            <w:hideMark/>
          </w:tcPr>
          <w:p w14:paraId="2D83E7FA"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Citation</w:t>
            </w:r>
          </w:p>
        </w:tc>
        <w:tc>
          <w:tcPr>
            <w:tcW w:w="1527" w:type="pct"/>
            <w:tcBorders>
              <w:top w:val="single" w:sz="4" w:space="0" w:color="auto"/>
              <w:left w:val="nil"/>
              <w:bottom w:val="single" w:sz="4" w:space="0" w:color="auto"/>
              <w:right w:val="single" w:sz="4" w:space="0" w:color="auto"/>
            </w:tcBorders>
            <w:shd w:val="clear" w:color="000000" w:fill="F2F2F2"/>
            <w:vAlign w:val="center"/>
            <w:hideMark/>
          </w:tcPr>
          <w:p w14:paraId="38672FF9"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Remarks</w:t>
            </w:r>
          </w:p>
        </w:tc>
      </w:tr>
      <w:tr w:rsidR="004F6C71" w:rsidRPr="00E32A6A" w14:paraId="5D72D93F" w14:textId="77777777" w:rsidTr="004F6C71">
        <w:trPr>
          <w:trHeight w:val="402"/>
        </w:trPr>
        <w:tc>
          <w:tcPr>
            <w:tcW w:w="590" w:type="pct"/>
            <w:tcBorders>
              <w:top w:val="nil"/>
              <w:left w:val="single" w:sz="4" w:space="0" w:color="auto"/>
              <w:bottom w:val="single" w:sz="4" w:space="0" w:color="auto"/>
              <w:right w:val="single" w:sz="4" w:space="0" w:color="auto"/>
            </w:tcBorders>
            <w:shd w:val="clear" w:color="auto" w:fill="auto"/>
          </w:tcPr>
          <w:p w14:paraId="731CA29E" w14:textId="677B9AD4" w:rsidR="004F6C71" w:rsidRPr="00E32A6A" w:rsidRDefault="004F6C71" w:rsidP="004F6C71">
            <w:pPr>
              <w:spacing w:after="0" w:line="240" w:lineRule="auto"/>
              <w:jc w:val="center"/>
              <w:rPr>
                <w:rFonts w:ascii="Calibri" w:eastAsia="Times New Roman" w:hAnsi="Calibri" w:cs="Calibri"/>
                <w:color w:val="000000"/>
              </w:rPr>
            </w:pPr>
            <w:r>
              <w:t>Central Valley, CA</w:t>
            </w:r>
          </w:p>
        </w:tc>
        <w:tc>
          <w:tcPr>
            <w:tcW w:w="521" w:type="pct"/>
            <w:tcBorders>
              <w:top w:val="nil"/>
              <w:left w:val="nil"/>
              <w:bottom w:val="single" w:sz="4" w:space="0" w:color="auto"/>
              <w:right w:val="single" w:sz="4" w:space="0" w:color="auto"/>
            </w:tcBorders>
            <w:shd w:val="clear" w:color="auto" w:fill="auto"/>
          </w:tcPr>
          <w:p w14:paraId="2C978E45" w14:textId="0BEFAD1B" w:rsidR="004F6C71" w:rsidRPr="004F6C71" w:rsidRDefault="004F6C71" w:rsidP="004F6C71">
            <w:pPr>
              <w:pStyle w:val="NoSpacing"/>
              <w:jc w:val="center"/>
              <w:rPr>
                <w:rFonts w:asciiTheme="minorHAnsi" w:eastAsia="Times New Roman" w:hAnsiTheme="minorHAnsi" w:cstheme="minorHAnsi"/>
                <w:color w:val="000000"/>
                <w:sz w:val="22"/>
              </w:rPr>
            </w:pPr>
            <w:r w:rsidRPr="004F6C71">
              <w:rPr>
                <w:rFonts w:asciiTheme="minorHAnsi" w:hAnsiTheme="minorHAnsi" w:cstheme="minorHAnsi"/>
                <w:sz w:val="22"/>
              </w:rPr>
              <w:t>Central Valley IBI</w:t>
            </w:r>
          </w:p>
        </w:tc>
        <w:tc>
          <w:tcPr>
            <w:tcW w:w="729" w:type="pct"/>
            <w:tcBorders>
              <w:top w:val="nil"/>
              <w:left w:val="nil"/>
              <w:bottom w:val="single" w:sz="4" w:space="0" w:color="auto"/>
              <w:right w:val="single" w:sz="4" w:space="0" w:color="auto"/>
            </w:tcBorders>
            <w:shd w:val="clear" w:color="auto" w:fill="auto"/>
          </w:tcPr>
          <w:p w14:paraId="04D0A27B" w14:textId="77777777" w:rsidR="004F6C71" w:rsidRPr="004F6C71" w:rsidRDefault="004F6C71" w:rsidP="004F6C71">
            <w:pPr>
              <w:rPr>
                <w:rFonts w:cstheme="minorHAnsi"/>
              </w:rPr>
            </w:pPr>
            <w:r w:rsidRPr="004F6C71">
              <w:rPr>
                <w:rFonts w:cstheme="minorHAnsi"/>
              </w:rPr>
              <w:t>collector richness</w:t>
            </w:r>
          </w:p>
          <w:p w14:paraId="52F5E89A" w14:textId="77777777" w:rsidR="004F6C71" w:rsidRPr="004F6C71" w:rsidRDefault="004F6C71" w:rsidP="004F6C71">
            <w:pPr>
              <w:rPr>
                <w:rFonts w:cstheme="minorHAnsi"/>
              </w:rPr>
            </w:pPr>
            <w:r w:rsidRPr="004F6C71">
              <w:rPr>
                <w:rFonts w:cstheme="minorHAnsi"/>
              </w:rPr>
              <w:t>predator richness</w:t>
            </w:r>
          </w:p>
          <w:p w14:paraId="3EE94452" w14:textId="77777777" w:rsidR="004F6C71" w:rsidRPr="004F6C71" w:rsidRDefault="004F6C71" w:rsidP="004F6C71">
            <w:pPr>
              <w:rPr>
                <w:rFonts w:cstheme="minorHAnsi"/>
              </w:rPr>
            </w:pPr>
            <w:r w:rsidRPr="004F6C71">
              <w:rPr>
                <w:rFonts w:cstheme="minorHAnsi"/>
              </w:rPr>
              <w:t>percent EPT taxa</w:t>
            </w:r>
          </w:p>
          <w:p w14:paraId="15EED89B" w14:textId="77777777" w:rsidR="004F6C71" w:rsidRPr="004F6C71" w:rsidRDefault="004F6C71" w:rsidP="004F6C71">
            <w:pPr>
              <w:rPr>
                <w:rFonts w:cstheme="minorHAnsi"/>
              </w:rPr>
            </w:pPr>
            <w:r w:rsidRPr="004F6C71">
              <w:rPr>
                <w:rFonts w:cstheme="minorHAnsi"/>
              </w:rPr>
              <w:t>percent clinger taxa</w:t>
            </w:r>
          </w:p>
          <w:p w14:paraId="4D39C51B" w14:textId="06F86B7C" w:rsidR="004F6C71" w:rsidRPr="004F6C71" w:rsidRDefault="004F6C71" w:rsidP="004F6C71">
            <w:pPr>
              <w:spacing w:after="0" w:line="240" w:lineRule="auto"/>
              <w:rPr>
                <w:rFonts w:eastAsia="Times New Roman" w:cstheme="minorHAnsi"/>
                <w:color w:val="000000"/>
              </w:rPr>
            </w:pPr>
            <w:r w:rsidRPr="004F6C71">
              <w:rPr>
                <w:rFonts w:cstheme="minorHAnsi"/>
              </w:rPr>
              <w:t>Shannon diversity</w:t>
            </w:r>
          </w:p>
        </w:tc>
        <w:tc>
          <w:tcPr>
            <w:tcW w:w="1181" w:type="pct"/>
            <w:tcBorders>
              <w:top w:val="nil"/>
              <w:left w:val="nil"/>
              <w:bottom w:val="single" w:sz="4" w:space="0" w:color="auto"/>
              <w:right w:val="single" w:sz="4" w:space="0" w:color="auto"/>
            </w:tcBorders>
            <w:shd w:val="clear" w:color="auto" w:fill="auto"/>
          </w:tcPr>
          <w:p w14:paraId="034017DE" w14:textId="77777777" w:rsidR="004F6C71" w:rsidRDefault="004F6C71" w:rsidP="004F6C71">
            <w:r>
              <w:t>collector richness: decrease</w:t>
            </w:r>
          </w:p>
          <w:p w14:paraId="4CE04C61" w14:textId="77777777" w:rsidR="004F6C71" w:rsidRDefault="004F6C71" w:rsidP="004F6C71">
            <w:r>
              <w:t>predator richness: decrease</w:t>
            </w:r>
          </w:p>
          <w:p w14:paraId="53DF0FF0" w14:textId="77777777" w:rsidR="004F6C71" w:rsidRDefault="004F6C71" w:rsidP="004F6C71">
            <w:r>
              <w:t>percent EPT taxa:  decrease</w:t>
            </w:r>
          </w:p>
          <w:p w14:paraId="2F734DD8" w14:textId="77777777" w:rsidR="004F6C71" w:rsidRDefault="004F6C71" w:rsidP="004F6C71">
            <w:r>
              <w:t>percent clinger taxa:  decrease</w:t>
            </w:r>
          </w:p>
          <w:p w14:paraId="757E2145" w14:textId="77777777" w:rsidR="004F6C71" w:rsidRDefault="004F6C71" w:rsidP="004F6C71">
            <w:r>
              <w:t>Shannon diversity:  decrease</w:t>
            </w:r>
          </w:p>
          <w:p w14:paraId="02CF510D" w14:textId="77777777" w:rsidR="004F6C71" w:rsidRDefault="004F6C71" w:rsidP="004F6C71"/>
          <w:p w14:paraId="3C4B870F" w14:textId="6665124C" w:rsidR="004F6C71" w:rsidRPr="00E32A6A" w:rsidRDefault="004F6C71" w:rsidP="004F6C71">
            <w:pPr>
              <w:spacing w:after="0" w:line="240" w:lineRule="auto"/>
              <w:rPr>
                <w:rFonts w:ascii="Calibri" w:eastAsia="Times New Roman" w:hAnsi="Calibri" w:cs="Calibri"/>
                <w:color w:val="000000"/>
              </w:rPr>
            </w:pPr>
            <w:r w:rsidRPr="00EB683C">
              <w:rPr>
                <w:i/>
                <w:iCs/>
              </w:rPr>
              <w:t>Note: these expectations deduced from the scoring ranges presented in Table 2 of paper.</w:t>
            </w:r>
          </w:p>
        </w:tc>
        <w:tc>
          <w:tcPr>
            <w:tcW w:w="452" w:type="pct"/>
            <w:tcBorders>
              <w:top w:val="nil"/>
              <w:left w:val="nil"/>
              <w:bottom w:val="single" w:sz="4" w:space="0" w:color="auto"/>
              <w:right w:val="single" w:sz="4" w:space="0" w:color="auto"/>
            </w:tcBorders>
            <w:shd w:val="clear" w:color="auto" w:fill="auto"/>
          </w:tcPr>
          <w:p w14:paraId="388913A8" w14:textId="4E7BDEC1" w:rsidR="004F6C71" w:rsidRPr="00E32A6A" w:rsidRDefault="004F6C71" w:rsidP="004F6C71">
            <w:pPr>
              <w:spacing w:after="0" w:line="240" w:lineRule="auto"/>
              <w:jc w:val="center"/>
              <w:rPr>
                <w:rFonts w:ascii="Calibri" w:eastAsia="Times New Roman" w:hAnsi="Calibri" w:cs="Calibri"/>
                <w:color w:val="000000"/>
              </w:rPr>
            </w:pPr>
            <w:r>
              <w:t>Rehn et al. 2008</w:t>
            </w:r>
          </w:p>
        </w:tc>
        <w:tc>
          <w:tcPr>
            <w:tcW w:w="1527" w:type="pct"/>
            <w:tcBorders>
              <w:top w:val="nil"/>
              <w:left w:val="nil"/>
              <w:bottom w:val="single" w:sz="4" w:space="0" w:color="auto"/>
              <w:right w:val="single" w:sz="4" w:space="0" w:color="auto"/>
            </w:tcBorders>
            <w:shd w:val="clear" w:color="auto" w:fill="auto"/>
          </w:tcPr>
          <w:p w14:paraId="011D673C" w14:textId="77777777" w:rsidR="004F6C71" w:rsidRDefault="004F6C71" w:rsidP="004F6C71">
            <w:pPr>
              <w:spacing w:after="120"/>
            </w:pPr>
            <w:r>
              <w:t>P</w:t>
            </w:r>
            <w:r w:rsidRPr="009E7BA6">
              <w:t xml:space="preserve">erennial streams on the valley floor </w:t>
            </w:r>
          </w:p>
          <w:p w14:paraId="600E2975" w14:textId="77777777" w:rsidR="004F6C71" w:rsidRDefault="004F6C71" w:rsidP="004F6C71">
            <w:pPr>
              <w:spacing w:after="120"/>
            </w:pPr>
            <w:r>
              <w:t>In the Central Valley, minimally disturbed reference sites no longer available.</w:t>
            </w:r>
          </w:p>
          <w:p w14:paraId="1A596458" w14:textId="77777777" w:rsidR="004F6C71" w:rsidRDefault="004F6C71" w:rsidP="004F6C71">
            <w:pPr>
              <w:spacing w:after="120"/>
            </w:pPr>
            <w:r>
              <w:t xml:space="preserve">Most streams are highly </w:t>
            </w:r>
            <w:proofErr w:type="spellStart"/>
            <w:r>
              <w:t>alteredby</w:t>
            </w:r>
            <w:proofErr w:type="spellEnd"/>
            <w:r>
              <w:t xml:space="preserve"> human activities such as urbanization, </w:t>
            </w:r>
            <w:proofErr w:type="gramStart"/>
            <w:r>
              <w:t>agriculture</w:t>
            </w:r>
            <w:proofErr w:type="gramEnd"/>
            <w:r>
              <w:t xml:space="preserve"> and water diversions.</w:t>
            </w:r>
          </w:p>
          <w:p w14:paraId="726B460E" w14:textId="77777777" w:rsidR="004F6C71" w:rsidRDefault="004F6C71" w:rsidP="004F6C71">
            <w:pPr>
              <w:spacing w:after="120"/>
            </w:pPr>
            <w:r>
              <w:t>80 metrics evaluated; metric criteria: 1) sufficient range for scoring; 2) responsiveness to land use and reach-scale disturbance variables (as data allowed); 3) good discrimination between reference and test sites; 4) lack of correlation with other responsive metrics.</w:t>
            </w:r>
          </w:p>
          <w:p w14:paraId="186B68DF" w14:textId="77777777" w:rsidR="004F6C71" w:rsidRDefault="004F6C71" w:rsidP="004F6C71">
            <w:pPr>
              <w:spacing w:after="120"/>
            </w:pPr>
            <w:r>
              <w:t>Lack of intolerant and shredder taxa in Valley floor streams.</w:t>
            </w:r>
          </w:p>
          <w:p w14:paraId="6BA2E822" w14:textId="77777777" w:rsidR="004F6C71" w:rsidRDefault="004F6C71" w:rsidP="004F6C71">
            <w:pPr>
              <w:spacing w:after="120"/>
            </w:pPr>
            <w:r>
              <w:t>Final IBI more strongly related to reach-scale physical habitat variables than to water chemistry or land use variables.</w:t>
            </w:r>
          </w:p>
          <w:p w14:paraId="7DC3D943" w14:textId="63B0583C" w:rsidR="004F6C71" w:rsidRPr="00E32A6A" w:rsidRDefault="004F6C71" w:rsidP="004F6C71">
            <w:pPr>
              <w:spacing w:after="0" w:line="240" w:lineRule="auto"/>
              <w:rPr>
                <w:rFonts w:ascii="Calibri" w:eastAsia="Times New Roman" w:hAnsi="Calibri" w:cs="Calibri"/>
                <w:color w:val="000000"/>
              </w:rPr>
            </w:pPr>
            <w:r>
              <w:t>The final 5 IBI metrics did not vary between spring and fall samples and did not require seasonal adjustments in scoring.</w:t>
            </w:r>
          </w:p>
        </w:tc>
      </w:tr>
    </w:tbl>
    <w:p w14:paraId="7BCAE1C7" w14:textId="31448322" w:rsidR="004F6C71" w:rsidRDefault="004F6C71">
      <w:pPr>
        <w:sectPr w:rsidR="004F6C71" w:rsidSect="002370C2">
          <w:pgSz w:w="15840" w:h="12240" w:orient="landscape"/>
          <w:pgMar w:top="1440" w:right="1440" w:bottom="1440" w:left="1440" w:header="720" w:footer="720" w:gutter="0"/>
          <w:cols w:space="720"/>
          <w:docGrid w:linePitch="360"/>
        </w:sectPr>
      </w:pPr>
    </w:p>
    <w:tbl>
      <w:tblPr>
        <w:tblW w:w="5000" w:type="pct"/>
        <w:tblLook w:val="04A0" w:firstRow="1" w:lastRow="0" w:firstColumn="1" w:lastColumn="0" w:noHBand="0" w:noVBand="1"/>
      </w:tblPr>
      <w:tblGrid>
        <w:gridCol w:w="1076"/>
        <w:gridCol w:w="2183"/>
        <w:gridCol w:w="1774"/>
        <w:gridCol w:w="3929"/>
        <w:gridCol w:w="1142"/>
        <w:gridCol w:w="2846"/>
      </w:tblGrid>
      <w:tr w:rsidR="004F6C71" w:rsidRPr="00E32A6A" w14:paraId="2D250996" w14:textId="77777777" w:rsidTr="004F6C71">
        <w:trPr>
          <w:trHeight w:val="402"/>
        </w:trPr>
        <w:tc>
          <w:tcPr>
            <w:tcW w:w="415"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4A48204E"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lastRenderedPageBreak/>
              <w:t>Location</w:t>
            </w:r>
          </w:p>
        </w:tc>
        <w:tc>
          <w:tcPr>
            <w:tcW w:w="843" w:type="pct"/>
            <w:tcBorders>
              <w:top w:val="single" w:sz="4" w:space="0" w:color="auto"/>
              <w:left w:val="nil"/>
              <w:bottom w:val="single" w:sz="4" w:space="0" w:color="auto"/>
              <w:right w:val="single" w:sz="4" w:space="0" w:color="auto"/>
            </w:tcBorders>
            <w:shd w:val="clear" w:color="000000" w:fill="F2F2F2"/>
            <w:vAlign w:val="center"/>
            <w:hideMark/>
          </w:tcPr>
          <w:p w14:paraId="4C0C2F0B"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Index Identifier</w:t>
            </w:r>
          </w:p>
        </w:tc>
        <w:tc>
          <w:tcPr>
            <w:tcW w:w="685" w:type="pct"/>
            <w:tcBorders>
              <w:top w:val="single" w:sz="4" w:space="0" w:color="auto"/>
              <w:left w:val="nil"/>
              <w:bottom w:val="single" w:sz="4" w:space="0" w:color="auto"/>
              <w:right w:val="single" w:sz="4" w:space="0" w:color="auto"/>
            </w:tcBorders>
            <w:shd w:val="clear" w:color="000000" w:fill="F2F2F2"/>
            <w:vAlign w:val="center"/>
            <w:hideMark/>
          </w:tcPr>
          <w:p w14:paraId="0A75A99E"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Metrics</w:t>
            </w:r>
          </w:p>
        </w:tc>
        <w:tc>
          <w:tcPr>
            <w:tcW w:w="1517" w:type="pct"/>
            <w:tcBorders>
              <w:top w:val="single" w:sz="4" w:space="0" w:color="auto"/>
              <w:left w:val="nil"/>
              <w:bottom w:val="single" w:sz="4" w:space="0" w:color="auto"/>
              <w:right w:val="single" w:sz="4" w:space="0" w:color="auto"/>
            </w:tcBorders>
            <w:shd w:val="clear" w:color="000000" w:fill="F2F2F2"/>
            <w:vAlign w:val="center"/>
            <w:hideMark/>
          </w:tcPr>
          <w:p w14:paraId="5EF8C619"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 response to stress</w:t>
            </w:r>
          </w:p>
        </w:tc>
        <w:tc>
          <w:tcPr>
            <w:tcW w:w="441" w:type="pct"/>
            <w:tcBorders>
              <w:top w:val="single" w:sz="4" w:space="0" w:color="auto"/>
              <w:left w:val="nil"/>
              <w:bottom w:val="single" w:sz="4" w:space="0" w:color="auto"/>
              <w:right w:val="single" w:sz="4" w:space="0" w:color="auto"/>
            </w:tcBorders>
            <w:shd w:val="clear" w:color="000000" w:fill="F2F2F2"/>
            <w:vAlign w:val="center"/>
            <w:hideMark/>
          </w:tcPr>
          <w:p w14:paraId="08D493AA"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Citation</w:t>
            </w:r>
          </w:p>
        </w:tc>
        <w:tc>
          <w:tcPr>
            <w:tcW w:w="1099" w:type="pct"/>
            <w:tcBorders>
              <w:top w:val="single" w:sz="4" w:space="0" w:color="auto"/>
              <w:left w:val="nil"/>
              <w:bottom w:val="single" w:sz="4" w:space="0" w:color="auto"/>
              <w:right w:val="single" w:sz="4" w:space="0" w:color="auto"/>
            </w:tcBorders>
            <w:shd w:val="clear" w:color="000000" w:fill="F2F2F2"/>
            <w:vAlign w:val="center"/>
            <w:hideMark/>
          </w:tcPr>
          <w:p w14:paraId="5E31876B"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Remarks</w:t>
            </w:r>
          </w:p>
        </w:tc>
      </w:tr>
      <w:tr w:rsidR="004F6C71" w:rsidRPr="00E32A6A" w14:paraId="787F6ACC" w14:textId="77777777" w:rsidTr="004F6C71">
        <w:trPr>
          <w:trHeight w:val="402"/>
        </w:trPr>
        <w:tc>
          <w:tcPr>
            <w:tcW w:w="415" w:type="pct"/>
            <w:tcBorders>
              <w:top w:val="nil"/>
              <w:left w:val="single" w:sz="4" w:space="0" w:color="auto"/>
              <w:bottom w:val="single" w:sz="4" w:space="0" w:color="auto"/>
              <w:right w:val="single" w:sz="4" w:space="0" w:color="auto"/>
            </w:tcBorders>
            <w:shd w:val="clear" w:color="auto" w:fill="auto"/>
          </w:tcPr>
          <w:p w14:paraId="00ED80AF" w14:textId="70CB4750" w:rsidR="004F6C71" w:rsidRPr="00E32A6A" w:rsidRDefault="004F6C71" w:rsidP="004F6C71">
            <w:pPr>
              <w:spacing w:after="0" w:line="240" w:lineRule="auto"/>
              <w:jc w:val="center"/>
              <w:rPr>
                <w:rFonts w:ascii="Calibri" w:eastAsia="Times New Roman" w:hAnsi="Calibri" w:cs="Calibri"/>
                <w:color w:val="000000"/>
              </w:rPr>
            </w:pPr>
            <w:r>
              <w:t>Austria</w:t>
            </w:r>
          </w:p>
        </w:tc>
        <w:tc>
          <w:tcPr>
            <w:tcW w:w="843" w:type="pct"/>
            <w:tcBorders>
              <w:top w:val="nil"/>
              <w:left w:val="nil"/>
              <w:bottom w:val="single" w:sz="4" w:space="0" w:color="auto"/>
              <w:right w:val="single" w:sz="4" w:space="0" w:color="auto"/>
            </w:tcBorders>
            <w:shd w:val="clear" w:color="auto" w:fill="auto"/>
          </w:tcPr>
          <w:p w14:paraId="326E6E1A" w14:textId="417BB4EF" w:rsidR="004F6C71" w:rsidRPr="004F6C71" w:rsidRDefault="004F6C71" w:rsidP="004F6C71">
            <w:pPr>
              <w:pStyle w:val="NoSpacing"/>
              <w:rPr>
                <w:rFonts w:asciiTheme="minorHAnsi" w:eastAsia="Times New Roman" w:hAnsiTheme="minorHAnsi" w:cstheme="minorHAnsi"/>
                <w:color w:val="000000"/>
              </w:rPr>
            </w:pPr>
            <w:r w:rsidRPr="004F6C71">
              <w:rPr>
                <w:rFonts w:asciiTheme="minorHAnsi" w:hAnsiTheme="minorHAnsi" w:cstheme="minorHAnsi"/>
                <w:sz w:val="22"/>
                <w:szCs w:val="20"/>
              </w:rPr>
              <w:t>Multimetric index (for A01 - Mid-sized (low-gradient) streams in the Hungarian Plains)</w:t>
            </w:r>
          </w:p>
        </w:tc>
        <w:tc>
          <w:tcPr>
            <w:tcW w:w="685" w:type="pct"/>
            <w:tcBorders>
              <w:top w:val="nil"/>
              <w:left w:val="nil"/>
              <w:bottom w:val="single" w:sz="4" w:space="0" w:color="auto"/>
              <w:right w:val="single" w:sz="4" w:space="0" w:color="auto"/>
            </w:tcBorders>
            <w:shd w:val="clear" w:color="auto" w:fill="auto"/>
          </w:tcPr>
          <w:p w14:paraId="41D90BD1" w14:textId="77777777" w:rsidR="004F6C71" w:rsidRDefault="004F6C71" w:rsidP="004F6C71">
            <w:r w:rsidRPr="006D6E6E">
              <w:t># of total families</w:t>
            </w:r>
          </w:p>
          <w:p w14:paraId="3EA72658" w14:textId="77777777" w:rsidR="004F6C71" w:rsidRDefault="004F6C71" w:rsidP="004F6C71">
            <w:r w:rsidRPr="006D6E6E">
              <w:t># of EP # taxa</w:t>
            </w:r>
          </w:p>
          <w:p w14:paraId="2D76DA82" w14:textId="77777777" w:rsidR="004F6C71" w:rsidRDefault="004F6C71" w:rsidP="004F6C71">
            <w:r w:rsidRPr="006D6E6E">
              <w:t># of Plecoptera (abundance)</w:t>
            </w:r>
          </w:p>
          <w:p w14:paraId="43A96D37" w14:textId="77777777" w:rsidR="004F6C71" w:rsidRDefault="004F6C71" w:rsidP="004F6C71">
            <w:r w:rsidRPr="006D6E6E">
              <w:t>[%] EP # individuals</w:t>
            </w:r>
          </w:p>
          <w:p w14:paraId="55CFB577" w14:textId="77777777" w:rsidR="004F6C71" w:rsidRDefault="004F6C71" w:rsidP="004F6C71">
            <w:r w:rsidRPr="006D6E6E">
              <w:t>[%] EP # taxa</w:t>
            </w:r>
          </w:p>
          <w:p w14:paraId="1C7171F2" w14:textId="77777777" w:rsidR="004F6C71" w:rsidRDefault="004F6C71" w:rsidP="004F6C71">
            <w:r w:rsidRPr="006D6E6E">
              <w:t>Saprobic index</w:t>
            </w:r>
          </w:p>
          <w:p w14:paraId="472D10FA" w14:textId="77777777" w:rsidR="004F6C71" w:rsidRDefault="004F6C71" w:rsidP="004F6C71">
            <w:r w:rsidRPr="006D6E6E">
              <w:t># of sensitive taxa</w:t>
            </w:r>
          </w:p>
          <w:p w14:paraId="26F12C46" w14:textId="77777777" w:rsidR="004F6C71" w:rsidRDefault="004F6C71" w:rsidP="004F6C71">
            <w:r w:rsidRPr="006D6E6E">
              <w:t>[%] Shredder</w:t>
            </w:r>
          </w:p>
          <w:p w14:paraId="51829B96" w14:textId="0D3C5106" w:rsidR="004F6C71" w:rsidRPr="00E32A6A" w:rsidRDefault="004F6C71" w:rsidP="004F6C71">
            <w:pPr>
              <w:spacing w:after="0" w:line="240" w:lineRule="auto"/>
              <w:rPr>
                <w:rFonts w:ascii="Calibri" w:eastAsia="Times New Roman" w:hAnsi="Calibri" w:cs="Calibri"/>
                <w:color w:val="000000"/>
              </w:rPr>
            </w:pPr>
            <w:r w:rsidRPr="006D6E6E">
              <w:t>Diversity (</w:t>
            </w:r>
            <w:proofErr w:type="spellStart"/>
            <w:r w:rsidRPr="006D6E6E">
              <w:t>Margalef</w:t>
            </w:r>
            <w:proofErr w:type="spellEnd"/>
            <w:r w:rsidRPr="006D6E6E">
              <w:t>)</w:t>
            </w:r>
          </w:p>
        </w:tc>
        <w:tc>
          <w:tcPr>
            <w:tcW w:w="1517" w:type="pct"/>
            <w:tcBorders>
              <w:top w:val="nil"/>
              <w:left w:val="nil"/>
              <w:bottom w:val="single" w:sz="4" w:space="0" w:color="auto"/>
              <w:right w:val="single" w:sz="4" w:space="0" w:color="auto"/>
            </w:tcBorders>
            <w:shd w:val="clear" w:color="auto" w:fill="auto"/>
          </w:tcPr>
          <w:p w14:paraId="5DFD139E" w14:textId="77777777" w:rsidR="004F6C71" w:rsidRDefault="004F6C71" w:rsidP="004F6C71">
            <w:r w:rsidRPr="006D6E6E">
              <w:t># of total families</w:t>
            </w:r>
            <w:r>
              <w:t>: decrease</w:t>
            </w:r>
          </w:p>
          <w:p w14:paraId="50E67654" w14:textId="77777777" w:rsidR="004F6C71" w:rsidRDefault="004F6C71" w:rsidP="004F6C71">
            <w:r w:rsidRPr="006D6E6E">
              <w:t># of EP # taxa</w:t>
            </w:r>
            <w:r>
              <w:t>:  decrease</w:t>
            </w:r>
          </w:p>
          <w:p w14:paraId="34565DDE" w14:textId="77777777" w:rsidR="004F6C71" w:rsidRDefault="004F6C71" w:rsidP="004F6C71">
            <w:r w:rsidRPr="006D6E6E">
              <w:t># of Plecoptera (abundance)</w:t>
            </w:r>
            <w:r>
              <w:t xml:space="preserve">:  </w:t>
            </w:r>
          </w:p>
          <w:p w14:paraId="705BCFF5" w14:textId="77777777" w:rsidR="004F6C71" w:rsidRDefault="004F6C71" w:rsidP="004F6C71">
            <w:r w:rsidRPr="006D6E6E">
              <w:t>[%] EP # individuals</w:t>
            </w:r>
            <w:r>
              <w:t>:  decrease</w:t>
            </w:r>
          </w:p>
          <w:p w14:paraId="0D45E0B2" w14:textId="77777777" w:rsidR="004F6C71" w:rsidRDefault="004F6C71" w:rsidP="004F6C71">
            <w:r w:rsidRPr="006D6E6E">
              <w:t>[%] EP # taxa</w:t>
            </w:r>
            <w:r>
              <w:t>:  decrease</w:t>
            </w:r>
          </w:p>
          <w:p w14:paraId="4CC9B55A" w14:textId="77777777" w:rsidR="004F6C71" w:rsidRDefault="004F6C71" w:rsidP="004F6C71">
            <w:r w:rsidRPr="006D6E6E">
              <w:t>Saprobic index</w:t>
            </w:r>
            <w:r>
              <w:t>:  increase</w:t>
            </w:r>
          </w:p>
          <w:p w14:paraId="713F095F" w14:textId="77777777" w:rsidR="004F6C71" w:rsidRDefault="004F6C71" w:rsidP="004F6C71">
            <w:r w:rsidRPr="006D6E6E">
              <w:t># of sensitive taxa</w:t>
            </w:r>
            <w:r>
              <w:t>: decrease</w:t>
            </w:r>
          </w:p>
          <w:p w14:paraId="1A576CE3" w14:textId="77777777" w:rsidR="004F6C71" w:rsidRDefault="004F6C71" w:rsidP="004F6C71">
            <w:r w:rsidRPr="006D6E6E">
              <w:t>[%] Shredder</w:t>
            </w:r>
            <w:r>
              <w:t>:  decrease</w:t>
            </w:r>
          </w:p>
          <w:p w14:paraId="1A979B0E" w14:textId="26F8FF2F" w:rsidR="004F6C71" w:rsidRPr="00E32A6A" w:rsidRDefault="004F6C71" w:rsidP="004F6C71">
            <w:pPr>
              <w:spacing w:after="0" w:line="240" w:lineRule="auto"/>
              <w:rPr>
                <w:rFonts w:ascii="Calibri" w:eastAsia="Times New Roman" w:hAnsi="Calibri" w:cs="Calibri"/>
                <w:color w:val="000000"/>
              </w:rPr>
            </w:pPr>
            <w:r w:rsidRPr="006D6E6E">
              <w:t>Diversity (</w:t>
            </w:r>
            <w:proofErr w:type="spellStart"/>
            <w:r w:rsidRPr="006D6E6E">
              <w:t>Margalef</w:t>
            </w:r>
            <w:proofErr w:type="spellEnd"/>
            <w:r w:rsidRPr="006D6E6E">
              <w:t>)</w:t>
            </w:r>
            <w:r>
              <w:t>:  decrease</w:t>
            </w:r>
          </w:p>
        </w:tc>
        <w:tc>
          <w:tcPr>
            <w:tcW w:w="441" w:type="pct"/>
            <w:tcBorders>
              <w:top w:val="nil"/>
              <w:left w:val="nil"/>
              <w:bottom w:val="single" w:sz="4" w:space="0" w:color="auto"/>
              <w:right w:val="single" w:sz="4" w:space="0" w:color="auto"/>
            </w:tcBorders>
            <w:shd w:val="clear" w:color="auto" w:fill="auto"/>
          </w:tcPr>
          <w:p w14:paraId="452423E1" w14:textId="396262D3" w:rsidR="004F6C71" w:rsidRPr="00E32A6A" w:rsidRDefault="004F6C71" w:rsidP="004F6C71">
            <w:pPr>
              <w:spacing w:after="0" w:line="240" w:lineRule="auto"/>
              <w:jc w:val="center"/>
              <w:rPr>
                <w:rFonts w:ascii="Calibri" w:eastAsia="Times New Roman" w:hAnsi="Calibri" w:cs="Calibri"/>
                <w:color w:val="000000"/>
              </w:rPr>
            </w:pPr>
            <w:proofErr w:type="spellStart"/>
            <w:r w:rsidRPr="008A143F">
              <w:t>Ofenböck</w:t>
            </w:r>
            <w:proofErr w:type="spellEnd"/>
            <w:r>
              <w:t xml:space="preserve"> et al. 2004</w:t>
            </w:r>
          </w:p>
        </w:tc>
        <w:tc>
          <w:tcPr>
            <w:tcW w:w="1099" w:type="pct"/>
            <w:tcBorders>
              <w:top w:val="nil"/>
              <w:left w:val="nil"/>
              <w:bottom w:val="single" w:sz="4" w:space="0" w:color="auto"/>
              <w:right w:val="single" w:sz="4" w:space="0" w:color="auto"/>
            </w:tcBorders>
            <w:shd w:val="clear" w:color="auto" w:fill="auto"/>
          </w:tcPr>
          <w:p w14:paraId="168146A2" w14:textId="0E760DB3" w:rsidR="004F6C71" w:rsidRPr="00E32A6A" w:rsidRDefault="004F6C71" w:rsidP="004F6C71">
            <w:pPr>
              <w:spacing w:after="0" w:line="240" w:lineRule="auto"/>
              <w:jc w:val="center"/>
              <w:rPr>
                <w:rFonts w:ascii="Calibri" w:eastAsia="Times New Roman" w:hAnsi="Calibri" w:cs="Calibri"/>
                <w:color w:val="000000"/>
              </w:rPr>
            </w:pPr>
            <w:r>
              <w:t>Stressor – organic pollution</w:t>
            </w:r>
          </w:p>
        </w:tc>
      </w:tr>
    </w:tbl>
    <w:p w14:paraId="2E392EB8" w14:textId="77777777" w:rsidR="004F6C71" w:rsidRDefault="004F6C71">
      <w:pPr>
        <w:sectPr w:rsidR="004F6C71" w:rsidSect="002370C2">
          <w:pgSz w:w="15840" w:h="12240" w:orient="landscape"/>
          <w:pgMar w:top="1440" w:right="1440" w:bottom="1440" w:left="1440" w:header="720" w:footer="720" w:gutter="0"/>
          <w:cols w:space="720"/>
          <w:docGrid w:linePitch="360"/>
        </w:sectPr>
      </w:pPr>
    </w:p>
    <w:tbl>
      <w:tblPr>
        <w:tblW w:w="5000" w:type="pct"/>
        <w:tblLook w:val="04A0" w:firstRow="1" w:lastRow="0" w:firstColumn="1" w:lastColumn="0" w:noHBand="0" w:noVBand="1"/>
      </w:tblPr>
      <w:tblGrid>
        <w:gridCol w:w="1615"/>
        <w:gridCol w:w="1440"/>
        <w:gridCol w:w="1979"/>
        <w:gridCol w:w="2611"/>
        <w:gridCol w:w="1619"/>
        <w:gridCol w:w="3686"/>
      </w:tblGrid>
      <w:tr w:rsidR="004F6C71" w:rsidRPr="00E32A6A" w14:paraId="007233ED" w14:textId="77777777" w:rsidTr="004F6C71">
        <w:trPr>
          <w:trHeight w:val="402"/>
        </w:trPr>
        <w:tc>
          <w:tcPr>
            <w:tcW w:w="624"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508B20F4"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lastRenderedPageBreak/>
              <w:t>Location</w:t>
            </w:r>
          </w:p>
        </w:tc>
        <w:tc>
          <w:tcPr>
            <w:tcW w:w="556" w:type="pct"/>
            <w:tcBorders>
              <w:top w:val="single" w:sz="4" w:space="0" w:color="auto"/>
              <w:left w:val="nil"/>
              <w:bottom w:val="single" w:sz="4" w:space="0" w:color="auto"/>
              <w:right w:val="single" w:sz="4" w:space="0" w:color="auto"/>
            </w:tcBorders>
            <w:shd w:val="clear" w:color="000000" w:fill="F2F2F2"/>
            <w:vAlign w:val="center"/>
            <w:hideMark/>
          </w:tcPr>
          <w:p w14:paraId="047C10DA"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Index Identifier</w:t>
            </w:r>
          </w:p>
        </w:tc>
        <w:tc>
          <w:tcPr>
            <w:tcW w:w="764" w:type="pct"/>
            <w:tcBorders>
              <w:top w:val="single" w:sz="4" w:space="0" w:color="auto"/>
              <w:left w:val="nil"/>
              <w:bottom w:val="single" w:sz="4" w:space="0" w:color="auto"/>
              <w:right w:val="single" w:sz="4" w:space="0" w:color="auto"/>
            </w:tcBorders>
            <w:shd w:val="clear" w:color="000000" w:fill="F2F2F2"/>
            <w:vAlign w:val="center"/>
            <w:hideMark/>
          </w:tcPr>
          <w:p w14:paraId="269F375D"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Metrics</w:t>
            </w:r>
          </w:p>
        </w:tc>
        <w:tc>
          <w:tcPr>
            <w:tcW w:w="1008" w:type="pct"/>
            <w:tcBorders>
              <w:top w:val="single" w:sz="4" w:space="0" w:color="auto"/>
              <w:left w:val="nil"/>
              <w:bottom w:val="single" w:sz="4" w:space="0" w:color="auto"/>
              <w:right w:val="single" w:sz="4" w:space="0" w:color="auto"/>
            </w:tcBorders>
            <w:shd w:val="clear" w:color="000000" w:fill="F2F2F2"/>
            <w:vAlign w:val="center"/>
            <w:hideMark/>
          </w:tcPr>
          <w:p w14:paraId="451BBF28"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 response to stress</w:t>
            </w:r>
          </w:p>
        </w:tc>
        <w:tc>
          <w:tcPr>
            <w:tcW w:w="625" w:type="pct"/>
            <w:tcBorders>
              <w:top w:val="single" w:sz="4" w:space="0" w:color="auto"/>
              <w:left w:val="nil"/>
              <w:bottom w:val="single" w:sz="4" w:space="0" w:color="auto"/>
              <w:right w:val="single" w:sz="4" w:space="0" w:color="auto"/>
            </w:tcBorders>
            <w:shd w:val="clear" w:color="000000" w:fill="F2F2F2"/>
            <w:vAlign w:val="center"/>
            <w:hideMark/>
          </w:tcPr>
          <w:p w14:paraId="5481293D"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Citation</w:t>
            </w:r>
          </w:p>
        </w:tc>
        <w:tc>
          <w:tcPr>
            <w:tcW w:w="1423" w:type="pct"/>
            <w:tcBorders>
              <w:top w:val="single" w:sz="4" w:space="0" w:color="auto"/>
              <w:left w:val="nil"/>
              <w:bottom w:val="single" w:sz="4" w:space="0" w:color="auto"/>
              <w:right w:val="single" w:sz="4" w:space="0" w:color="auto"/>
            </w:tcBorders>
            <w:shd w:val="clear" w:color="000000" w:fill="F2F2F2"/>
            <w:vAlign w:val="center"/>
            <w:hideMark/>
          </w:tcPr>
          <w:p w14:paraId="7A17DC7A"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Remarks</w:t>
            </w:r>
          </w:p>
        </w:tc>
      </w:tr>
      <w:tr w:rsidR="004F6C71" w:rsidRPr="00E32A6A" w14:paraId="61825083" w14:textId="77777777" w:rsidTr="004F6C71">
        <w:trPr>
          <w:trHeight w:val="402"/>
        </w:trPr>
        <w:tc>
          <w:tcPr>
            <w:tcW w:w="624" w:type="pct"/>
            <w:tcBorders>
              <w:top w:val="nil"/>
              <w:left w:val="single" w:sz="4" w:space="0" w:color="auto"/>
              <w:bottom w:val="single" w:sz="4" w:space="0" w:color="auto"/>
              <w:right w:val="single" w:sz="4" w:space="0" w:color="auto"/>
            </w:tcBorders>
            <w:shd w:val="clear" w:color="auto" w:fill="auto"/>
          </w:tcPr>
          <w:p w14:paraId="383ECB76" w14:textId="75465E7A" w:rsidR="004F6C71" w:rsidRPr="004F6C71" w:rsidRDefault="004F6C71" w:rsidP="004F6C71">
            <w:pPr>
              <w:spacing w:after="0" w:line="240" w:lineRule="auto"/>
              <w:jc w:val="center"/>
              <w:rPr>
                <w:rFonts w:eastAsia="Times New Roman" w:cstheme="minorHAnsi"/>
                <w:color w:val="000000"/>
              </w:rPr>
            </w:pPr>
            <w:r w:rsidRPr="004F6C71">
              <w:rPr>
                <w:rFonts w:cstheme="minorHAnsi"/>
              </w:rPr>
              <w:t>Willow Creek, Nebraska</w:t>
            </w:r>
          </w:p>
        </w:tc>
        <w:tc>
          <w:tcPr>
            <w:tcW w:w="556" w:type="pct"/>
            <w:tcBorders>
              <w:top w:val="nil"/>
              <w:left w:val="nil"/>
              <w:bottom w:val="single" w:sz="4" w:space="0" w:color="auto"/>
              <w:right w:val="single" w:sz="4" w:space="0" w:color="auto"/>
            </w:tcBorders>
            <w:shd w:val="clear" w:color="auto" w:fill="auto"/>
          </w:tcPr>
          <w:p w14:paraId="5C1048D4" w14:textId="27A36AA1" w:rsidR="004F6C71" w:rsidRPr="004F6C71" w:rsidRDefault="004F6C71" w:rsidP="004F6C71">
            <w:pPr>
              <w:pStyle w:val="NoSpacing"/>
              <w:rPr>
                <w:rFonts w:asciiTheme="minorHAnsi" w:eastAsia="Times New Roman" w:hAnsiTheme="minorHAnsi" w:cstheme="minorHAnsi"/>
                <w:color w:val="000000"/>
                <w:sz w:val="22"/>
              </w:rPr>
            </w:pPr>
            <w:r w:rsidRPr="004F6C71">
              <w:rPr>
                <w:rFonts w:asciiTheme="minorHAnsi" w:hAnsiTheme="minorHAnsi" w:cstheme="minorHAnsi"/>
                <w:sz w:val="22"/>
              </w:rPr>
              <w:t>Composite Biotic Index (CBI)</w:t>
            </w:r>
          </w:p>
        </w:tc>
        <w:tc>
          <w:tcPr>
            <w:tcW w:w="764" w:type="pct"/>
            <w:tcBorders>
              <w:top w:val="nil"/>
              <w:left w:val="nil"/>
              <w:bottom w:val="single" w:sz="4" w:space="0" w:color="auto"/>
              <w:right w:val="single" w:sz="4" w:space="0" w:color="auto"/>
            </w:tcBorders>
            <w:shd w:val="clear" w:color="auto" w:fill="auto"/>
          </w:tcPr>
          <w:p w14:paraId="433E6327" w14:textId="77777777" w:rsidR="004F6C71" w:rsidRPr="004F6C71" w:rsidRDefault="004F6C71" w:rsidP="004F6C71">
            <w:pPr>
              <w:rPr>
                <w:rFonts w:cstheme="minorHAnsi"/>
              </w:rPr>
            </w:pPr>
            <w:r w:rsidRPr="004F6C71">
              <w:rPr>
                <w:rFonts w:cstheme="minorHAnsi"/>
              </w:rPr>
              <w:t>Percent dominance</w:t>
            </w:r>
          </w:p>
          <w:p w14:paraId="4B6E9FA4" w14:textId="77777777" w:rsidR="004F6C71" w:rsidRPr="004F6C71" w:rsidRDefault="004F6C71" w:rsidP="004F6C71">
            <w:pPr>
              <w:rPr>
                <w:rFonts w:cstheme="minorHAnsi"/>
              </w:rPr>
            </w:pPr>
            <w:r w:rsidRPr="004F6C71">
              <w:rPr>
                <w:rFonts w:cstheme="minorHAnsi"/>
              </w:rPr>
              <w:t>EPT index (i.e. # EPT taxa)</w:t>
            </w:r>
          </w:p>
          <w:p w14:paraId="6DEF3390" w14:textId="77777777" w:rsidR="004F6C71" w:rsidRPr="004F6C71" w:rsidRDefault="004F6C71" w:rsidP="004F6C71">
            <w:pPr>
              <w:rPr>
                <w:rFonts w:cstheme="minorHAnsi"/>
              </w:rPr>
            </w:pPr>
            <w:r w:rsidRPr="004F6C71">
              <w:rPr>
                <w:rFonts w:cstheme="minorHAnsi"/>
              </w:rPr>
              <w:t xml:space="preserve">EPT </w:t>
            </w:r>
            <w:proofErr w:type="spellStart"/>
            <w:r w:rsidRPr="004F6C71">
              <w:rPr>
                <w:rFonts w:cstheme="minorHAnsi"/>
              </w:rPr>
              <w:t>abund</w:t>
            </w:r>
            <w:proofErr w:type="spellEnd"/>
            <w:r w:rsidRPr="004F6C71">
              <w:rPr>
                <w:rFonts w:cstheme="minorHAnsi"/>
              </w:rPr>
              <w:t>/EPT + chironomid abundance</w:t>
            </w:r>
          </w:p>
          <w:p w14:paraId="0C9A051D" w14:textId="77777777" w:rsidR="004F6C71" w:rsidRPr="004F6C71" w:rsidRDefault="004F6C71" w:rsidP="004F6C71">
            <w:pPr>
              <w:rPr>
                <w:rFonts w:cstheme="minorHAnsi"/>
              </w:rPr>
            </w:pPr>
            <w:r w:rsidRPr="004F6C71">
              <w:rPr>
                <w:rFonts w:cstheme="minorHAnsi"/>
              </w:rPr>
              <w:t xml:space="preserve">Scraper </w:t>
            </w:r>
            <w:proofErr w:type="spellStart"/>
            <w:r w:rsidRPr="004F6C71">
              <w:rPr>
                <w:rFonts w:cstheme="minorHAnsi"/>
              </w:rPr>
              <w:t>abund</w:t>
            </w:r>
            <w:proofErr w:type="spellEnd"/>
            <w:r w:rsidRPr="004F6C71">
              <w:rPr>
                <w:rFonts w:cstheme="minorHAnsi"/>
              </w:rPr>
              <w:t xml:space="preserve">/filterer </w:t>
            </w:r>
            <w:proofErr w:type="spellStart"/>
            <w:r w:rsidRPr="004F6C71">
              <w:rPr>
                <w:rFonts w:cstheme="minorHAnsi"/>
              </w:rPr>
              <w:t>abund</w:t>
            </w:r>
            <w:proofErr w:type="spellEnd"/>
          </w:p>
          <w:p w14:paraId="0BC2EF4C" w14:textId="77777777" w:rsidR="004F6C71" w:rsidRPr="004F6C71" w:rsidRDefault="004F6C71" w:rsidP="004F6C71">
            <w:pPr>
              <w:rPr>
                <w:rFonts w:cstheme="minorHAnsi"/>
              </w:rPr>
            </w:pPr>
            <w:r w:rsidRPr="004F6C71">
              <w:rPr>
                <w:rFonts w:cstheme="minorHAnsi"/>
              </w:rPr>
              <w:t>Taxa richness</w:t>
            </w:r>
          </w:p>
          <w:p w14:paraId="77C6E5F2" w14:textId="5062EE35" w:rsidR="004F6C71" w:rsidRPr="004F6C71" w:rsidRDefault="004F6C71" w:rsidP="004F6C71">
            <w:pPr>
              <w:spacing w:after="0" w:line="240" w:lineRule="auto"/>
              <w:rPr>
                <w:rFonts w:eastAsia="Times New Roman" w:cstheme="minorHAnsi"/>
                <w:color w:val="000000"/>
              </w:rPr>
            </w:pPr>
            <w:proofErr w:type="spellStart"/>
            <w:r w:rsidRPr="004F6C71">
              <w:rPr>
                <w:rFonts w:cstheme="minorHAnsi"/>
              </w:rPr>
              <w:t>Hilsenhoff</w:t>
            </w:r>
            <w:proofErr w:type="spellEnd"/>
            <w:r w:rsidRPr="004F6C71">
              <w:rPr>
                <w:rFonts w:cstheme="minorHAnsi"/>
              </w:rPr>
              <w:t xml:space="preserve"> index</w:t>
            </w:r>
          </w:p>
        </w:tc>
        <w:tc>
          <w:tcPr>
            <w:tcW w:w="1008" w:type="pct"/>
            <w:tcBorders>
              <w:top w:val="nil"/>
              <w:left w:val="nil"/>
              <w:bottom w:val="single" w:sz="4" w:space="0" w:color="auto"/>
              <w:right w:val="single" w:sz="4" w:space="0" w:color="auto"/>
            </w:tcBorders>
            <w:shd w:val="clear" w:color="auto" w:fill="auto"/>
          </w:tcPr>
          <w:p w14:paraId="24707B90" w14:textId="7E59388C" w:rsidR="004F6C71" w:rsidRPr="004F6C71" w:rsidRDefault="004F6C71" w:rsidP="004F6C71">
            <w:pPr>
              <w:spacing w:after="0" w:line="240" w:lineRule="auto"/>
              <w:rPr>
                <w:rFonts w:eastAsia="Times New Roman" w:cstheme="minorHAnsi"/>
                <w:color w:val="000000"/>
              </w:rPr>
            </w:pPr>
            <w:r w:rsidRPr="004F6C71">
              <w:rPr>
                <w:rFonts w:cstheme="minorHAnsi"/>
              </w:rPr>
              <w:t>Not specified in paper</w:t>
            </w:r>
          </w:p>
        </w:tc>
        <w:tc>
          <w:tcPr>
            <w:tcW w:w="625" w:type="pct"/>
            <w:tcBorders>
              <w:top w:val="nil"/>
              <w:left w:val="nil"/>
              <w:bottom w:val="single" w:sz="4" w:space="0" w:color="auto"/>
              <w:right w:val="single" w:sz="4" w:space="0" w:color="auto"/>
            </w:tcBorders>
            <w:shd w:val="clear" w:color="auto" w:fill="auto"/>
          </w:tcPr>
          <w:p w14:paraId="0A410687" w14:textId="3FDB5622" w:rsidR="004F6C71" w:rsidRPr="004F6C71" w:rsidRDefault="004F6C71" w:rsidP="004F6C71">
            <w:pPr>
              <w:spacing w:after="0" w:line="240" w:lineRule="auto"/>
              <w:jc w:val="center"/>
              <w:rPr>
                <w:rFonts w:eastAsia="Times New Roman" w:cstheme="minorHAnsi"/>
                <w:color w:val="000000"/>
              </w:rPr>
            </w:pPr>
            <w:r w:rsidRPr="004F6C71">
              <w:rPr>
                <w:rFonts w:cstheme="minorHAnsi"/>
              </w:rPr>
              <w:t>Whiles et al. 2002</w:t>
            </w:r>
          </w:p>
        </w:tc>
        <w:tc>
          <w:tcPr>
            <w:tcW w:w="1423" w:type="pct"/>
            <w:tcBorders>
              <w:top w:val="nil"/>
              <w:left w:val="nil"/>
              <w:bottom w:val="single" w:sz="4" w:space="0" w:color="auto"/>
              <w:right w:val="single" w:sz="4" w:space="0" w:color="auto"/>
            </w:tcBorders>
            <w:shd w:val="clear" w:color="auto" w:fill="auto"/>
          </w:tcPr>
          <w:p w14:paraId="5C84392E" w14:textId="77777777" w:rsidR="004F6C71" w:rsidRPr="004F6C71" w:rsidRDefault="004F6C71" w:rsidP="004F6C71">
            <w:pPr>
              <w:spacing w:after="120"/>
              <w:rPr>
                <w:rFonts w:cstheme="minorHAnsi"/>
              </w:rPr>
            </w:pPr>
            <w:r w:rsidRPr="004F6C71">
              <w:rPr>
                <w:rFonts w:cstheme="minorHAnsi"/>
              </w:rPr>
              <w:t>Developed with metrics used previously by the NDEQ during their statewide stream survey (NDEQ 1991).</w:t>
            </w:r>
          </w:p>
          <w:p w14:paraId="579289F4" w14:textId="77777777" w:rsidR="004F6C71" w:rsidRPr="004F6C71" w:rsidRDefault="004F6C71" w:rsidP="004F6C71">
            <w:pPr>
              <w:spacing w:after="120"/>
              <w:rPr>
                <w:rFonts w:cstheme="minorHAnsi"/>
              </w:rPr>
            </w:pPr>
            <w:r w:rsidRPr="004F6C71">
              <w:rPr>
                <w:rFonts w:cstheme="minorHAnsi"/>
              </w:rPr>
              <w:t xml:space="preserve">CBI scores </w:t>
            </w:r>
            <w:proofErr w:type="gramStart"/>
            <w:r w:rsidRPr="004F6C71">
              <w:rPr>
                <w:rFonts w:cstheme="minorHAnsi"/>
              </w:rPr>
              <w:t>actually are</w:t>
            </w:r>
            <w:proofErr w:type="gramEnd"/>
            <w:r w:rsidRPr="004F6C71">
              <w:rPr>
                <w:rFonts w:cstheme="minorHAnsi"/>
              </w:rPr>
              <w:t xml:space="preserve"> based on a “reference condition” for Nebraska rather than the reference stream (site 4) in our basin</w:t>
            </w:r>
          </w:p>
          <w:p w14:paraId="7BA419E5" w14:textId="2BC3333A" w:rsidR="004F6C71" w:rsidRPr="004F6C71" w:rsidRDefault="004F6C71" w:rsidP="004F6C71">
            <w:pPr>
              <w:spacing w:after="0" w:line="240" w:lineRule="auto"/>
              <w:rPr>
                <w:rFonts w:eastAsia="Times New Roman" w:cstheme="minorHAnsi"/>
                <w:color w:val="000000"/>
              </w:rPr>
            </w:pPr>
            <w:r w:rsidRPr="004F6C71">
              <w:rPr>
                <w:rFonts w:cstheme="minorHAnsi"/>
              </w:rPr>
              <w:t>Corrected metrics for stream size (based on discharge) using relationships generated from a prior investigation; i.e. metrics were scored 1, 3, or 5 based on regression equations generated by the NDEQ (1991) that divided scatter plots of stream size vs metric scores into thirds</w:t>
            </w:r>
          </w:p>
        </w:tc>
      </w:tr>
    </w:tbl>
    <w:p w14:paraId="6D845F6A" w14:textId="77777777" w:rsidR="004F6C71" w:rsidRDefault="004F6C71">
      <w:pPr>
        <w:sectPr w:rsidR="004F6C71" w:rsidSect="002370C2">
          <w:pgSz w:w="15840" w:h="12240" w:orient="landscape"/>
          <w:pgMar w:top="1440" w:right="1440" w:bottom="1440" w:left="1440" w:header="720" w:footer="720" w:gutter="0"/>
          <w:cols w:space="720"/>
          <w:docGrid w:linePitch="360"/>
        </w:sectPr>
      </w:pPr>
    </w:p>
    <w:tbl>
      <w:tblPr>
        <w:tblW w:w="5000" w:type="pct"/>
        <w:tblLook w:val="04A0" w:firstRow="1" w:lastRow="0" w:firstColumn="1" w:lastColumn="0" w:noHBand="0" w:noVBand="1"/>
      </w:tblPr>
      <w:tblGrid>
        <w:gridCol w:w="1651"/>
        <w:gridCol w:w="1363"/>
        <w:gridCol w:w="1448"/>
        <w:gridCol w:w="1743"/>
        <w:gridCol w:w="2779"/>
        <w:gridCol w:w="3966"/>
      </w:tblGrid>
      <w:tr w:rsidR="004F6C71" w:rsidRPr="00E32A6A" w14:paraId="4D5C4A21" w14:textId="77777777" w:rsidTr="004F6C71">
        <w:trPr>
          <w:trHeight w:val="402"/>
        </w:trPr>
        <w:tc>
          <w:tcPr>
            <w:tcW w:w="637"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5E03DE11"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lastRenderedPageBreak/>
              <w:t>Location</w:t>
            </w:r>
          </w:p>
        </w:tc>
        <w:tc>
          <w:tcPr>
            <w:tcW w:w="526" w:type="pct"/>
            <w:tcBorders>
              <w:top w:val="single" w:sz="4" w:space="0" w:color="auto"/>
              <w:left w:val="nil"/>
              <w:bottom w:val="single" w:sz="4" w:space="0" w:color="auto"/>
              <w:right w:val="single" w:sz="4" w:space="0" w:color="auto"/>
            </w:tcBorders>
            <w:shd w:val="clear" w:color="000000" w:fill="F2F2F2"/>
            <w:vAlign w:val="center"/>
            <w:hideMark/>
          </w:tcPr>
          <w:p w14:paraId="556B1395"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Index Identifier</w:t>
            </w:r>
          </w:p>
        </w:tc>
        <w:tc>
          <w:tcPr>
            <w:tcW w:w="559" w:type="pct"/>
            <w:tcBorders>
              <w:top w:val="single" w:sz="4" w:space="0" w:color="auto"/>
              <w:left w:val="nil"/>
              <w:bottom w:val="single" w:sz="4" w:space="0" w:color="auto"/>
              <w:right w:val="single" w:sz="4" w:space="0" w:color="auto"/>
            </w:tcBorders>
            <w:shd w:val="clear" w:color="000000" w:fill="F2F2F2"/>
            <w:vAlign w:val="center"/>
            <w:hideMark/>
          </w:tcPr>
          <w:p w14:paraId="07DB1A11"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Metrics</w:t>
            </w:r>
          </w:p>
        </w:tc>
        <w:tc>
          <w:tcPr>
            <w:tcW w:w="673" w:type="pct"/>
            <w:tcBorders>
              <w:top w:val="single" w:sz="4" w:space="0" w:color="auto"/>
              <w:left w:val="nil"/>
              <w:bottom w:val="single" w:sz="4" w:space="0" w:color="auto"/>
              <w:right w:val="single" w:sz="4" w:space="0" w:color="auto"/>
            </w:tcBorders>
            <w:shd w:val="clear" w:color="000000" w:fill="F2F2F2"/>
            <w:vAlign w:val="center"/>
            <w:hideMark/>
          </w:tcPr>
          <w:p w14:paraId="7B83B6F8"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 response to stress</w:t>
            </w:r>
          </w:p>
        </w:tc>
        <w:tc>
          <w:tcPr>
            <w:tcW w:w="1073" w:type="pct"/>
            <w:tcBorders>
              <w:top w:val="single" w:sz="4" w:space="0" w:color="auto"/>
              <w:left w:val="nil"/>
              <w:bottom w:val="single" w:sz="4" w:space="0" w:color="auto"/>
              <w:right w:val="single" w:sz="4" w:space="0" w:color="auto"/>
            </w:tcBorders>
            <w:shd w:val="clear" w:color="000000" w:fill="F2F2F2"/>
            <w:vAlign w:val="center"/>
            <w:hideMark/>
          </w:tcPr>
          <w:p w14:paraId="070F3C29"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Citation</w:t>
            </w:r>
          </w:p>
        </w:tc>
        <w:tc>
          <w:tcPr>
            <w:tcW w:w="1531" w:type="pct"/>
            <w:tcBorders>
              <w:top w:val="single" w:sz="4" w:space="0" w:color="auto"/>
              <w:left w:val="nil"/>
              <w:bottom w:val="single" w:sz="4" w:space="0" w:color="auto"/>
              <w:right w:val="single" w:sz="4" w:space="0" w:color="auto"/>
            </w:tcBorders>
            <w:shd w:val="clear" w:color="000000" w:fill="F2F2F2"/>
            <w:vAlign w:val="center"/>
            <w:hideMark/>
          </w:tcPr>
          <w:p w14:paraId="6E83B24E"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Remarks</w:t>
            </w:r>
          </w:p>
        </w:tc>
      </w:tr>
      <w:tr w:rsidR="004F6C71" w:rsidRPr="00E32A6A" w14:paraId="5B0B42B7" w14:textId="77777777" w:rsidTr="004F6C71">
        <w:trPr>
          <w:trHeight w:val="402"/>
        </w:trPr>
        <w:tc>
          <w:tcPr>
            <w:tcW w:w="637" w:type="pct"/>
            <w:tcBorders>
              <w:top w:val="nil"/>
              <w:left w:val="single" w:sz="4" w:space="0" w:color="auto"/>
              <w:bottom w:val="single" w:sz="4" w:space="0" w:color="auto"/>
              <w:right w:val="single" w:sz="4" w:space="0" w:color="auto"/>
            </w:tcBorders>
            <w:shd w:val="clear" w:color="auto" w:fill="auto"/>
          </w:tcPr>
          <w:p w14:paraId="6894AE20" w14:textId="2E334AC9" w:rsidR="004F6C71" w:rsidRPr="004F6C71" w:rsidRDefault="004F6C71" w:rsidP="004F6C71">
            <w:pPr>
              <w:spacing w:after="0" w:line="240" w:lineRule="auto"/>
              <w:jc w:val="center"/>
              <w:rPr>
                <w:rFonts w:ascii="Calibri" w:eastAsia="Times New Roman" w:hAnsi="Calibri" w:cs="Calibri"/>
                <w:color w:val="000000"/>
              </w:rPr>
            </w:pPr>
            <w:r w:rsidRPr="004F6C71">
              <w:t>Netherlands</w:t>
            </w:r>
          </w:p>
        </w:tc>
        <w:tc>
          <w:tcPr>
            <w:tcW w:w="526" w:type="pct"/>
            <w:tcBorders>
              <w:top w:val="nil"/>
              <w:left w:val="nil"/>
              <w:bottom w:val="single" w:sz="4" w:space="0" w:color="auto"/>
              <w:right w:val="single" w:sz="4" w:space="0" w:color="auto"/>
            </w:tcBorders>
            <w:shd w:val="clear" w:color="auto" w:fill="auto"/>
          </w:tcPr>
          <w:p w14:paraId="2AE8EF2C" w14:textId="00C8C1FD" w:rsidR="004F6C71" w:rsidRPr="004F6C71" w:rsidRDefault="004F6C71" w:rsidP="004F6C71">
            <w:pPr>
              <w:pStyle w:val="NoSpacing"/>
              <w:rPr>
                <w:rFonts w:asciiTheme="minorHAnsi" w:eastAsia="Times New Roman" w:hAnsiTheme="minorHAnsi" w:cstheme="minorHAnsi"/>
                <w:color w:val="000000"/>
                <w:sz w:val="22"/>
              </w:rPr>
            </w:pPr>
            <w:r w:rsidRPr="004F6C71">
              <w:rPr>
                <w:rFonts w:asciiTheme="minorHAnsi" w:hAnsiTheme="minorHAnsi" w:cstheme="minorHAnsi"/>
                <w:sz w:val="22"/>
              </w:rPr>
              <w:t>Multimetric index (for slow-running streams)</w:t>
            </w:r>
          </w:p>
        </w:tc>
        <w:tc>
          <w:tcPr>
            <w:tcW w:w="559" w:type="pct"/>
            <w:tcBorders>
              <w:top w:val="nil"/>
              <w:left w:val="nil"/>
              <w:bottom w:val="single" w:sz="4" w:space="0" w:color="auto"/>
              <w:right w:val="single" w:sz="4" w:space="0" w:color="auto"/>
            </w:tcBorders>
            <w:shd w:val="clear" w:color="auto" w:fill="auto"/>
          </w:tcPr>
          <w:p w14:paraId="452C33E4" w14:textId="30C6A688" w:rsidR="004F6C71" w:rsidRPr="004F6C71" w:rsidRDefault="004F6C71" w:rsidP="004F6C71">
            <w:pPr>
              <w:spacing w:after="0" w:line="240" w:lineRule="auto"/>
              <w:rPr>
                <w:rFonts w:eastAsia="Times New Roman" w:cstheme="minorHAnsi"/>
                <w:color w:val="000000"/>
              </w:rPr>
            </w:pPr>
            <w:r w:rsidRPr="004F6C71">
              <w:rPr>
                <w:rFonts w:cstheme="minorHAnsi"/>
              </w:rPr>
              <w:t>See metrics listed in Table 2 copied below from paper.</w:t>
            </w:r>
          </w:p>
        </w:tc>
        <w:tc>
          <w:tcPr>
            <w:tcW w:w="673" w:type="pct"/>
            <w:tcBorders>
              <w:top w:val="nil"/>
              <w:left w:val="nil"/>
              <w:bottom w:val="single" w:sz="4" w:space="0" w:color="auto"/>
              <w:right w:val="single" w:sz="4" w:space="0" w:color="auto"/>
            </w:tcBorders>
            <w:shd w:val="clear" w:color="auto" w:fill="auto"/>
          </w:tcPr>
          <w:p w14:paraId="4BCF818D" w14:textId="4FEF7BE9" w:rsidR="004F6C71" w:rsidRPr="004F6C71" w:rsidRDefault="004F6C71" w:rsidP="004F6C71">
            <w:pPr>
              <w:spacing w:after="0" w:line="240" w:lineRule="auto"/>
              <w:rPr>
                <w:rFonts w:eastAsia="Times New Roman" w:cstheme="minorHAnsi"/>
                <w:color w:val="000000"/>
              </w:rPr>
            </w:pPr>
            <w:r w:rsidRPr="004F6C71">
              <w:rPr>
                <w:rFonts w:cstheme="minorHAnsi"/>
              </w:rPr>
              <w:t>complex</w:t>
            </w:r>
          </w:p>
        </w:tc>
        <w:tc>
          <w:tcPr>
            <w:tcW w:w="1073" w:type="pct"/>
            <w:tcBorders>
              <w:top w:val="nil"/>
              <w:left w:val="nil"/>
              <w:bottom w:val="single" w:sz="4" w:space="0" w:color="auto"/>
              <w:right w:val="single" w:sz="4" w:space="0" w:color="auto"/>
            </w:tcBorders>
            <w:shd w:val="clear" w:color="auto" w:fill="auto"/>
          </w:tcPr>
          <w:p w14:paraId="72A9E240" w14:textId="31716A15" w:rsidR="004F6C71" w:rsidRPr="004F6C71" w:rsidRDefault="004F6C71" w:rsidP="004F6C71">
            <w:pPr>
              <w:spacing w:after="0" w:line="240" w:lineRule="auto"/>
              <w:jc w:val="center"/>
              <w:rPr>
                <w:rFonts w:eastAsia="Times New Roman" w:cstheme="minorHAnsi"/>
                <w:color w:val="000000"/>
              </w:rPr>
            </w:pPr>
            <w:proofErr w:type="spellStart"/>
            <w:r w:rsidRPr="004F6C71">
              <w:rPr>
                <w:rFonts w:cstheme="minorHAnsi"/>
              </w:rPr>
              <w:t>Vlek</w:t>
            </w:r>
            <w:proofErr w:type="spellEnd"/>
            <w:r w:rsidRPr="004F6C71">
              <w:rPr>
                <w:rFonts w:cstheme="minorHAnsi"/>
              </w:rPr>
              <w:t xml:space="preserve"> et al. 2004</w:t>
            </w:r>
          </w:p>
        </w:tc>
        <w:tc>
          <w:tcPr>
            <w:tcW w:w="1531" w:type="pct"/>
            <w:tcBorders>
              <w:top w:val="nil"/>
              <w:left w:val="nil"/>
              <w:bottom w:val="single" w:sz="4" w:space="0" w:color="auto"/>
              <w:right w:val="single" w:sz="4" w:space="0" w:color="auto"/>
            </w:tcBorders>
            <w:shd w:val="clear" w:color="auto" w:fill="auto"/>
          </w:tcPr>
          <w:p w14:paraId="66FF6DE9" w14:textId="77777777" w:rsidR="004F6C71" w:rsidRPr="004F6C71" w:rsidRDefault="004F6C71" w:rsidP="004F6C71">
            <w:pPr>
              <w:rPr>
                <w:rFonts w:cstheme="minorHAnsi"/>
              </w:rPr>
            </w:pPr>
            <w:r w:rsidRPr="004F6C71">
              <w:rPr>
                <w:rFonts w:cstheme="minorHAnsi"/>
              </w:rPr>
              <w:t>Included metrics that indicated the different classes (from 5 (high quality) to 1 (low quality); final index equation combined these; for slow running streams:</w:t>
            </w:r>
          </w:p>
          <w:p w14:paraId="70286C04" w14:textId="77777777" w:rsidR="004F6C71" w:rsidRPr="004F6C71" w:rsidRDefault="004F6C71" w:rsidP="004F6C71">
            <w:pPr>
              <w:rPr>
                <w:rFonts w:cstheme="minorHAnsi"/>
              </w:rPr>
            </w:pPr>
          </w:p>
          <w:p w14:paraId="59C4D6A1" w14:textId="77777777" w:rsidR="004F6C71" w:rsidRPr="004F6C71" w:rsidRDefault="004F6C71" w:rsidP="004F6C71">
            <w:pPr>
              <w:rPr>
                <w:rFonts w:cstheme="minorHAnsi"/>
              </w:rPr>
            </w:pPr>
            <w:r w:rsidRPr="004F6C71">
              <w:rPr>
                <w:rFonts w:cstheme="minorHAnsi"/>
                <w:noProof/>
              </w:rPr>
              <w:drawing>
                <wp:inline distT="0" distB="0" distL="0" distR="0" wp14:anchorId="6F6E3AF9" wp14:editId="72D948F5">
                  <wp:extent cx="2381250" cy="46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463550"/>
                          </a:xfrm>
                          <a:prstGeom prst="rect">
                            <a:avLst/>
                          </a:prstGeom>
                          <a:noFill/>
                          <a:ln>
                            <a:noFill/>
                          </a:ln>
                        </pic:spPr>
                      </pic:pic>
                    </a:graphicData>
                  </a:graphic>
                </wp:inline>
              </w:drawing>
            </w:r>
          </w:p>
          <w:p w14:paraId="6F6ABE05" w14:textId="77777777" w:rsidR="004F6C71" w:rsidRPr="004F6C71" w:rsidRDefault="004F6C71" w:rsidP="004F6C71">
            <w:pPr>
              <w:rPr>
                <w:rFonts w:cstheme="minorHAnsi"/>
              </w:rPr>
            </w:pPr>
            <w:r w:rsidRPr="004F6C71">
              <w:rPr>
                <w:rFonts w:cstheme="minorHAnsi"/>
              </w:rPr>
              <w:t>Where:</w:t>
            </w:r>
          </w:p>
          <w:p w14:paraId="6D08B65B" w14:textId="77777777" w:rsidR="004F6C71" w:rsidRPr="004F6C71" w:rsidRDefault="004F6C71" w:rsidP="004F6C71">
            <w:pPr>
              <w:rPr>
                <w:rFonts w:cstheme="minorHAnsi"/>
              </w:rPr>
            </w:pPr>
            <w:r w:rsidRPr="004F6C71">
              <w:rPr>
                <w:rFonts w:cstheme="minorHAnsi"/>
              </w:rPr>
              <w:t xml:space="preserve">S, final </w:t>
            </w:r>
            <w:proofErr w:type="gramStart"/>
            <w:r w:rsidRPr="004F6C71">
              <w:rPr>
                <w:rFonts w:cstheme="minorHAnsi"/>
              </w:rPr>
              <w:t>score;</w:t>
            </w:r>
            <w:proofErr w:type="gramEnd"/>
          </w:p>
          <w:p w14:paraId="0248BAAC" w14:textId="77777777" w:rsidR="004F6C71" w:rsidRPr="004F6C71" w:rsidRDefault="004F6C71" w:rsidP="004F6C71">
            <w:pPr>
              <w:rPr>
                <w:rFonts w:cstheme="minorHAnsi"/>
              </w:rPr>
            </w:pPr>
            <w:r w:rsidRPr="004F6C71">
              <w:rPr>
                <w:rFonts w:cstheme="minorHAnsi"/>
              </w:rPr>
              <w:t>T1, sum of scores for the individual metrics indicating class 1; T2, sum of scores for the individual metrics indicating class 2; etc. And n1, number of indices indicating class 1; etc.</w:t>
            </w:r>
          </w:p>
          <w:p w14:paraId="7A599DE5" w14:textId="3B2E0478" w:rsidR="004F6C71" w:rsidRPr="004F6C71" w:rsidRDefault="004F6C71" w:rsidP="004F6C71">
            <w:pPr>
              <w:spacing w:after="0" w:line="240" w:lineRule="auto"/>
              <w:jc w:val="center"/>
              <w:rPr>
                <w:rFonts w:eastAsia="Times New Roman" w:cstheme="minorHAnsi"/>
                <w:color w:val="000000"/>
              </w:rPr>
            </w:pPr>
            <w:r w:rsidRPr="004F6C71">
              <w:rPr>
                <w:rFonts w:cstheme="minorHAnsi"/>
              </w:rPr>
              <w:t>Validation showed that 54% of the streams were classified correctly</w:t>
            </w:r>
          </w:p>
        </w:tc>
      </w:tr>
    </w:tbl>
    <w:p w14:paraId="280EC4B8" w14:textId="77777777" w:rsidR="002370C2" w:rsidRDefault="002370C2"/>
    <w:p w14:paraId="335C6F80" w14:textId="599D8136" w:rsidR="004F6C71" w:rsidRDefault="004F6C71">
      <w:pPr>
        <w:sectPr w:rsidR="004F6C71" w:rsidSect="002370C2">
          <w:pgSz w:w="15840" w:h="12240" w:orient="landscape"/>
          <w:pgMar w:top="1440" w:right="1440" w:bottom="1440" w:left="1440" w:header="720" w:footer="720" w:gutter="0"/>
          <w:cols w:space="720"/>
          <w:docGrid w:linePitch="360"/>
        </w:sectPr>
      </w:pPr>
    </w:p>
    <w:p w14:paraId="7C2E4049" w14:textId="28CA1BF6" w:rsidR="002370C2" w:rsidRDefault="002370C2" w:rsidP="002370C2">
      <w:pPr>
        <w:rPr>
          <w:sz w:val="28"/>
          <w:szCs w:val="28"/>
        </w:rPr>
      </w:pPr>
      <w:r w:rsidRPr="002370C2">
        <w:rPr>
          <w:sz w:val="28"/>
          <w:szCs w:val="28"/>
        </w:rPr>
        <w:lastRenderedPageBreak/>
        <w:t>References – existing low gradient IBIs</w:t>
      </w:r>
    </w:p>
    <w:p w14:paraId="6C9F7D10" w14:textId="77777777" w:rsidR="002370C2" w:rsidRPr="002370C2" w:rsidRDefault="002370C2" w:rsidP="002370C2">
      <w:pPr>
        <w:pStyle w:val="NoSpacing"/>
      </w:pPr>
    </w:p>
    <w:p w14:paraId="67472CBA" w14:textId="77777777" w:rsidR="002370C2" w:rsidRDefault="002370C2" w:rsidP="002370C2">
      <w:pPr>
        <w:ind w:left="360" w:hanging="360"/>
      </w:pPr>
      <w:r>
        <w:t xml:space="preserve">Barbour, M.T., J. Gerritsen, G.E. Griffith, R. </w:t>
      </w:r>
      <w:proofErr w:type="spellStart"/>
      <w:r>
        <w:t>Frydenborg</w:t>
      </w:r>
      <w:proofErr w:type="spellEnd"/>
      <w:r>
        <w:t xml:space="preserve">, E. McCarron, J.S. White, and M.L. </w:t>
      </w:r>
      <w:proofErr w:type="spellStart"/>
      <w:r>
        <w:t>Bastoam</w:t>
      </w:r>
      <w:proofErr w:type="spellEnd"/>
      <w:r>
        <w:t xml:space="preserve">. 1996. A framework for biological criteria for Florida streams using benthic macroinvertebrates. Journal of the North American </w:t>
      </w:r>
      <w:proofErr w:type="spellStart"/>
      <w:r>
        <w:t>Benthological</w:t>
      </w:r>
      <w:proofErr w:type="spellEnd"/>
      <w:r>
        <w:t xml:space="preserve"> Society 15:185–211.</w:t>
      </w:r>
    </w:p>
    <w:p w14:paraId="308BC2F9" w14:textId="77777777" w:rsidR="002370C2" w:rsidRDefault="002370C2" w:rsidP="002370C2">
      <w:pPr>
        <w:ind w:left="360" w:hanging="360"/>
      </w:pPr>
      <w:r>
        <w:t xml:space="preserve">Bennett, H.H., M.W. Mullen, P.M. Stewart, J.A. Sawyer, and E.C. Webber. 2004. Development of an invertebrate community index for an Alabama coastal plain watershed. </w:t>
      </w:r>
      <w:r w:rsidRPr="00A87C24">
        <w:t>Journal of the American Water Resources Association</w:t>
      </w:r>
      <w:r>
        <w:t xml:space="preserve"> 40(1):</w:t>
      </w:r>
      <w:r w:rsidRPr="00A87C24">
        <w:t xml:space="preserve"> 43-51</w:t>
      </w:r>
      <w:r>
        <w:t xml:space="preserve">. </w:t>
      </w:r>
      <w:r w:rsidRPr="00A87C24">
        <w:t>https://doi.org/10.1111/j.1752-1688.2004.tb01008.x|</w:t>
      </w:r>
      <w:r>
        <w:t>.</w:t>
      </w:r>
    </w:p>
    <w:p w14:paraId="7CC39768" w14:textId="77777777" w:rsidR="002370C2" w:rsidRDefault="002370C2" w:rsidP="002370C2">
      <w:pPr>
        <w:ind w:left="360" w:hanging="360"/>
      </w:pPr>
      <w:r w:rsidRPr="00E10B1B">
        <w:t>Lemley, G.M., B.T. Duffy, Z.M. Smith, A.J. Smith, and R.G. Smith. 2019. Assessing Low Gradient Streams in New York State: Developing a Macroinvertebrate IBI. PowerPoint Presentation, February 28</w:t>
      </w:r>
      <w:r w:rsidRPr="00E10B1B">
        <w:rPr>
          <w:vertAlign w:val="superscript"/>
        </w:rPr>
        <w:t>th</w:t>
      </w:r>
      <w:r w:rsidRPr="00E10B1B">
        <w:t>, 2019. New York Department of Environmental Conservation.</w:t>
      </w:r>
    </w:p>
    <w:p w14:paraId="76945F86" w14:textId="77777777" w:rsidR="002370C2" w:rsidRPr="0095786F" w:rsidRDefault="002370C2" w:rsidP="002370C2">
      <w:pPr>
        <w:ind w:left="360" w:hanging="360"/>
      </w:pPr>
      <w:proofErr w:type="spellStart"/>
      <w:r>
        <w:t>Maxted</w:t>
      </w:r>
      <w:proofErr w:type="spellEnd"/>
      <w:r>
        <w:t xml:space="preserve">, J.R., M.T. Barbour, J. Gerritsen, V. Poretti, N. Primrose, A. Silvia, D. Penrose, and R. Renfrow. 2000. Assessment framework for mid-Atlantic coastal plain streams using benthic </w:t>
      </w:r>
      <w:r w:rsidRPr="0095786F">
        <w:t xml:space="preserve">macroinvertebrates. Journal of the North American </w:t>
      </w:r>
      <w:proofErr w:type="spellStart"/>
      <w:r w:rsidRPr="0095786F">
        <w:t>Benthological</w:t>
      </w:r>
      <w:proofErr w:type="spellEnd"/>
      <w:r w:rsidRPr="0095786F">
        <w:t xml:space="preserve"> Society 19(1):128–144.</w:t>
      </w:r>
    </w:p>
    <w:p w14:paraId="35218381" w14:textId="77777777" w:rsidR="002370C2" w:rsidRDefault="002370C2" w:rsidP="002370C2">
      <w:pPr>
        <w:ind w:left="360" w:hanging="360"/>
      </w:pPr>
      <w:r w:rsidRPr="0095786F">
        <w:t>Mazor, R.D., K.C. Schiff, K.J. Ritter, A. Rehn, and P. Ode. 2009. Bioassessment tools in novel habitats: An evaluation of indices and sampling methods in low-gradient streams in California. Environmental Monitoring and Assessment 167:91–104.</w:t>
      </w:r>
    </w:p>
    <w:p w14:paraId="61BEAE06" w14:textId="77777777" w:rsidR="002370C2" w:rsidRDefault="002370C2" w:rsidP="002370C2">
      <w:pPr>
        <w:ind w:left="360" w:hanging="360"/>
      </w:pPr>
      <w:proofErr w:type="spellStart"/>
      <w:r w:rsidRPr="008A143F">
        <w:t>Ofenböck</w:t>
      </w:r>
      <w:proofErr w:type="spellEnd"/>
      <w:r>
        <w:t xml:space="preserve">. T., </w:t>
      </w:r>
      <w:r w:rsidRPr="008A143F">
        <w:t>O</w:t>
      </w:r>
      <w:r>
        <w:t>.</w:t>
      </w:r>
      <w:r w:rsidRPr="008A143F">
        <w:t xml:space="preserve"> Moog, J</w:t>
      </w:r>
      <w:r>
        <w:t>.</w:t>
      </w:r>
      <w:r w:rsidRPr="008A143F">
        <w:t xml:space="preserve"> Gerritsen</w:t>
      </w:r>
      <w:r>
        <w:t>, and</w:t>
      </w:r>
      <w:r w:rsidRPr="008A143F">
        <w:t xml:space="preserve"> M</w:t>
      </w:r>
      <w:r>
        <w:t>.</w:t>
      </w:r>
      <w:r w:rsidRPr="008A143F">
        <w:t xml:space="preserve"> Barbour</w:t>
      </w:r>
      <w:r>
        <w:t xml:space="preserve">. 2004. A stressor specific multimetric approach for monitoring running waters in Austria using benthic macro-invertebrates. </w:t>
      </w:r>
      <w:proofErr w:type="spellStart"/>
      <w:r w:rsidRPr="008A143F">
        <w:t>Hydrobiologia</w:t>
      </w:r>
      <w:proofErr w:type="spellEnd"/>
      <w:r w:rsidRPr="008A143F">
        <w:t xml:space="preserve"> 516:251–268</w:t>
      </w:r>
      <w:r>
        <w:t>.</w:t>
      </w:r>
    </w:p>
    <w:p w14:paraId="6B2704ED" w14:textId="77777777" w:rsidR="002370C2" w:rsidRDefault="002370C2" w:rsidP="002370C2">
      <w:pPr>
        <w:ind w:left="360" w:hanging="360"/>
      </w:pPr>
      <w:r w:rsidRPr="006E7FFE">
        <w:t>Rehn</w:t>
      </w:r>
      <w:r>
        <w:t>, A.C.</w:t>
      </w:r>
      <w:r w:rsidRPr="006E7FFE">
        <w:t>, J</w:t>
      </w:r>
      <w:r>
        <w:t>.</w:t>
      </w:r>
      <w:r w:rsidRPr="006E7FFE">
        <w:t>T. May</w:t>
      </w:r>
      <w:r>
        <w:t>,</w:t>
      </w:r>
      <w:r w:rsidRPr="006E7FFE">
        <w:t xml:space="preserve"> and P</w:t>
      </w:r>
      <w:r>
        <w:t>.</w:t>
      </w:r>
      <w:r w:rsidRPr="006E7FFE">
        <w:t>R. Ode</w:t>
      </w:r>
      <w:r>
        <w:t xml:space="preserve">. 2008. An Index of Biotic Integrity (IBI) for Perennial Streams in California’s Central Valley. Surface Water Ambient Monitoring Program, California Water Boards, Technical Report, 33 pp. </w:t>
      </w:r>
    </w:p>
    <w:p w14:paraId="52F4F5C0" w14:textId="77777777" w:rsidR="002370C2" w:rsidRDefault="002370C2" w:rsidP="002370C2">
      <w:pPr>
        <w:ind w:left="360" w:hanging="360"/>
      </w:pPr>
      <w:proofErr w:type="spellStart"/>
      <w:r w:rsidRPr="00B05B6F">
        <w:t>Vlek</w:t>
      </w:r>
      <w:proofErr w:type="spellEnd"/>
      <w:r w:rsidRPr="00B05B6F">
        <w:t>,</w:t>
      </w:r>
      <w:r>
        <w:t xml:space="preserve"> H.E.,</w:t>
      </w:r>
      <w:r w:rsidRPr="00B05B6F">
        <w:t xml:space="preserve"> Piet F. M. </w:t>
      </w:r>
      <w:proofErr w:type="spellStart"/>
      <w:r w:rsidRPr="00B05B6F">
        <w:t>Verdonschot</w:t>
      </w:r>
      <w:proofErr w:type="spellEnd"/>
      <w:r w:rsidRPr="00B05B6F">
        <w:t xml:space="preserve"> &amp; </w:t>
      </w:r>
      <w:proofErr w:type="spellStart"/>
      <w:r w:rsidRPr="00B05B6F">
        <w:t>Rebi</w:t>
      </w:r>
      <w:proofErr w:type="spellEnd"/>
      <w:r w:rsidRPr="00B05B6F">
        <w:t xml:space="preserve"> C. </w:t>
      </w:r>
      <w:proofErr w:type="spellStart"/>
      <w:r w:rsidRPr="00B05B6F">
        <w:t>Nijboer</w:t>
      </w:r>
      <w:proofErr w:type="spellEnd"/>
      <w:r>
        <w:t xml:space="preserve">. 2004. Towards a multimetric index for the assessment of Dutch streams using benthic macroinvertebrates. </w:t>
      </w:r>
      <w:proofErr w:type="spellStart"/>
      <w:r w:rsidRPr="00B05B6F">
        <w:t>Hydrobiologia</w:t>
      </w:r>
      <w:proofErr w:type="spellEnd"/>
      <w:r w:rsidRPr="00B05B6F">
        <w:t xml:space="preserve"> 516:173–189</w:t>
      </w:r>
      <w:r>
        <w:t>.</w:t>
      </w:r>
    </w:p>
    <w:p w14:paraId="1A84B81E" w14:textId="77777777" w:rsidR="002370C2" w:rsidRDefault="002370C2" w:rsidP="002370C2">
      <w:pPr>
        <w:ind w:left="360" w:hanging="360"/>
      </w:pPr>
      <w:r>
        <w:t xml:space="preserve">Whiles, M.R., B.L. Brock, A.C. Franzen, and S.C. Dinsmore. 2004. Stream Invertebrate Communities, Water Quality, and Land-Use Patterns in an Agricultural Drainage Basin of Northeastern Nebraska, USA. </w:t>
      </w:r>
      <w:r w:rsidRPr="00D739C9">
        <w:t>Environmental Management 26</w:t>
      </w:r>
      <w:r>
        <w:t>(</w:t>
      </w:r>
      <w:r w:rsidRPr="00D739C9">
        <w:t>5</w:t>
      </w:r>
      <w:r>
        <w:t>):</w:t>
      </w:r>
      <w:r w:rsidRPr="00D739C9">
        <w:t>563–576</w:t>
      </w:r>
      <w:r>
        <w:t xml:space="preserve">. </w:t>
      </w:r>
      <w:r w:rsidRPr="009444A5">
        <w:t>DOI: 10.1007/s002670010113</w:t>
      </w:r>
      <w:r>
        <w:t>.</w:t>
      </w:r>
    </w:p>
    <w:p w14:paraId="00170058" w14:textId="2F9CF47F" w:rsidR="002370C2" w:rsidRDefault="002370C2">
      <w:pPr>
        <w:sectPr w:rsidR="002370C2" w:rsidSect="002370C2">
          <w:pgSz w:w="12240" w:h="15840"/>
          <w:pgMar w:top="1440" w:right="1440" w:bottom="1440" w:left="1440" w:header="720" w:footer="720" w:gutter="0"/>
          <w:cols w:space="720"/>
          <w:docGrid w:linePitch="360"/>
        </w:sectPr>
      </w:pPr>
    </w:p>
    <w:p w14:paraId="0D74F009" w14:textId="5856C88B" w:rsidR="008C61DB" w:rsidRPr="00AC645F" w:rsidRDefault="003B3CCD" w:rsidP="008C61DB">
      <w:pPr>
        <w:rPr>
          <w:rFonts w:ascii="Times New Roman" w:hAnsi="Times New Roman"/>
          <w:sz w:val="28"/>
          <w:szCs w:val="28"/>
        </w:rPr>
      </w:pPr>
      <w:r>
        <w:rPr>
          <w:rFonts w:ascii="Times New Roman" w:hAnsi="Times New Roman"/>
          <w:sz w:val="28"/>
          <w:szCs w:val="28"/>
        </w:rPr>
        <w:lastRenderedPageBreak/>
        <w:t>C</w:t>
      </w:r>
      <w:r w:rsidR="002370C2">
        <w:rPr>
          <w:rFonts w:ascii="Times New Roman" w:hAnsi="Times New Roman"/>
          <w:sz w:val="28"/>
          <w:szCs w:val="28"/>
        </w:rPr>
        <w:t>3</w:t>
      </w:r>
      <w:r w:rsidR="008C61DB" w:rsidRPr="00AC645F">
        <w:rPr>
          <w:rFonts w:ascii="Times New Roman" w:hAnsi="Times New Roman"/>
          <w:sz w:val="28"/>
          <w:szCs w:val="28"/>
        </w:rPr>
        <w:tab/>
        <w:t>Non-target taxa</w:t>
      </w:r>
    </w:p>
    <w:p w14:paraId="4FE6D528" w14:textId="658905B8" w:rsidR="00235E78" w:rsidRDefault="008C61DB">
      <w:r>
        <w:t>The following non-target taxa were excluded from metric calculations:</w:t>
      </w:r>
    </w:p>
    <w:tbl>
      <w:tblPr>
        <w:tblW w:w="4880" w:type="dxa"/>
        <w:tblLook w:val="04A0" w:firstRow="1" w:lastRow="0" w:firstColumn="1" w:lastColumn="0" w:noHBand="0" w:noVBand="1"/>
      </w:tblPr>
      <w:tblGrid>
        <w:gridCol w:w="1660"/>
        <w:gridCol w:w="1900"/>
        <w:gridCol w:w="1354"/>
      </w:tblGrid>
      <w:tr w:rsidR="008C61DB" w:rsidRPr="00AA6F3F" w14:paraId="2F38A593" w14:textId="77777777" w:rsidTr="00E32A6A">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4A3DD050" w14:textId="77777777" w:rsidR="008C61DB" w:rsidRPr="00AA6F3F" w:rsidRDefault="008C61DB" w:rsidP="00E32A6A">
            <w:pPr>
              <w:spacing w:after="0" w:line="240" w:lineRule="auto"/>
              <w:jc w:val="center"/>
              <w:rPr>
                <w:rFonts w:ascii="Calibri" w:eastAsia="Times New Roman" w:hAnsi="Calibri" w:cs="Calibri"/>
                <w:color w:val="000000"/>
              </w:rPr>
            </w:pPr>
            <w:r w:rsidRPr="00AA6F3F">
              <w:rPr>
                <w:rFonts w:ascii="Calibri" w:eastAsia="Times New Roman" w:hAnsi="Calibri" w:cs="Calibri"/>
                <w:color w:val="000000"/>
              </w:rPr>
              <w:t>ORDER</w:t>
            </w:r>
          </w:p>
        </w:tc>
        <w:tc>
          <w:tcPr>
            <w:tcW w:w="1900" w:type="dxa"/>
            <w:tcBorders>
              <w:top w:val="single" w:sz="4" w:space="0" w:color="auto"/>
              <w:left w:val="nil"/>
              <w:bottom w:val="single" w:sz="4" w:space="0" w:color="auto"/>
              <w:right w:val="single" w:sz="4" w:space="0" w:color="auto"/>
            </w:tcBorders>
            <w:shd w:val="clear" w:color="000000" w:fill="C0C0C0"/>
            <w:noWrap/>
            <w:vAlign w:val="bottom"/>
            <w:hideMark/>
          </w:tcPr>
          <w:p w14:paraId="406D66AD" w14:textId="77777777" w:rsidR="008C61DB" w:rsidRPr="00AA6F3F" w:rsidRDefault="008C61DB" w:rsidP="00E32A6A">
            <w:pPr>
              <w:spacing w:after="0" w:line="240" w:lineRule="auto"/>
              <w:jc w:val="center"/>
              <w:rPr>
                <w:rFonts w:ascii="Calibri" w:eastAsia="Times New Roman" w:hAnsi="Calibri" w:cs="Calibri"/>
                <w:color w:val="000000"/>
              </w:rPr>
            </w:pPr>
            <w:r w:rsidRPr="00AA6F3F">
              <w:rPr>
                <w:rFonts w:ascii="Calibri" w:eastAsia="Times New Roman" w:hAnsi="Calibri" w:cs="Calibri"/>
                <w:color w:val="000000"/>
              </w:rPr>
              <w:t>TAXAID</w:t>
            </w:r>
          </w:p>
        </w:tc>
        <w:tc>
          <w:tcPr>
            <w:tcW w:w="1320" w:type="dxa"/>
            <w:tcBorders>
              <w:top w:val="single" w:sz="4" w:space="0" w:color="auto"/>
              <w:left w:val="nil"/>
              <w:bottom w:val="single" w:sz="4" w:space="0" w:color="auto"/>
              <w:right w:val="single" w:sz="4" w:space="0" w:color="auto"/>
            </w:tcBorders>
            <w:shd w:val="clear" w:color="000000" w:fill="C0C0C0"/>
            <w:noWrap/>
            <w:vAlign w:val="bottom"/>
            <w:hideMark/>
          </w:tcPr>
          <w:p w14:paraId="4008DDFA" w14:textId="77777777" w:rsidR="008C61DB" w:rsidRPr="00AA6F3F" w:rsidRDefault="008C61DB" w:rsidP="00E32A6A">
            <w:pPr>
              <w:spacing w:after="0" w:line="240" w:lineRule="auto"/>
              <w:jc w:val="center"/>
              <w:rPr>
                <w:rFonts w:ascii="Calibri" w:eastAsia="Times New Roman" w:hAnsi="Calibri" w:cs="Calibri"/>
                <w:color w:val="000000"/>
              </w:rPr>
            </w:pPr>
            <w:r w:rsidRPr="00AA6F3F">
              <w:rPr>
                <w:rFonts w:ascii="Calibri" w:eastAsia="Times New Roman" w:hAnsi="Calibri" w:cs="Calibri"/>
                <w:color w:val="000000"/>
              </w:rPr>
              <w:t>NONTARGET</w:t>
            </w:r>
          </w:p>
        </w:tc>
      </w:tr>
      <w:tr w:rsidR="008C61DB" w:rsidRPr="00AA6F3F" w14:paraId="72E28457"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2B34C581"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2289BC2F"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Belostoma</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19051425"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55070353"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76FBE095"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37E3B262"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Belostomatidae</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353F35FD"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58087370"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09176DE2"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62DF2BB3"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Corixidae</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269C5F80"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6B51B304"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57416388"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02943C11"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Gerridae</w:t>
            </w:r>
          </w:p>
        </w:tc>
        <w:tc>
          <w:tcPr>
            <w:tcW w:w="1320" w:type="dxa"/>
            <w:tcBorders>
              <w:top w:val="nil"/>
              <w:left w:val="nil"/>
              <w:bottom w:val="single" w:sz="4" w:space="0" w:color="auto"/>
              <w:right w:val="single" w:sz="4" w:space="0" w:color="auto"/>
            </w:tcBorders>
            <w:shd w:val="clear" w:color="auto" w:fill="auto"/>
            <w:vAlign w:val="bottom"/>
            <w:hideMark/>
          </w:tcPr>
          <w:p w14:paraId="0BD0FB9F"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76C584ED"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384D9063"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12A8FEE8"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Gerris</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7847D50E"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08CB1B9B"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12896845"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3C71CF65"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Microvelia</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752E3599"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06231148"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72EEC7DF"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4D76A98D"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Neoplea</w:t>
            </w:r>
            <w:proofErr w:type="spellEnd"/>
            <w:r w:rsidRPr="00AA6F3F">
              <w:rPr>
                <w:rFonts w:ascii="Calibri" w:eastAsia="Times New Roman" w:hAnsi="Calibri" w:cs="Calibri"/>
                <w:color w:val="000000"/>
              </w:rPr>
              <w:t xml:space="preserve"> striola</w:t>
            </w:r>
          </w:p>
        </w:tc>
        <w:tc>
          <w:tcPr>
            <w:tcW w:w="1320" w:type="dxa"/>
            <w:tcBorders>
              <w:top w:val="nil"/>
              <w:left w:val="nil"/>
              <w:bottom w:val="single" w:sz="4" w:space="0" w:color="auto"/>
              <w:right w:val="single" w:sz="4" w:space="0" w:color="auto"/>
            </w:tcBorders>
            <w:shd w:val="clear" w:color="auto" w:fill="auto"/>
            <w:vAlign w:val="bottom"/>
            <w:hideMark/>
          </w:tcPr>
          <w:p w14:paraId="5C5363A8"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7F242F53"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0A5AA431"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5259A5A5"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Notonecta</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54348D79"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280A7D33"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2A387139"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Sarcoptiformes</w:t>
            </w:r>
            <w:proofErr w:type="spellEnd"/>
          </w:p>
        </w:tc>
        <w:tc>
          <w:tcPr>
            <w:tcW w:w="1900" w:type="dxa"/>
            <w:tcBorders>
              <w:top w:val="nil"/>
              <w:left w:val="nil"/>
              <w:bottom w:val="single" w:sz="4" w:space="0" w:color="auto"/>
              <w:right w:val="single" w:sz="4" w:space="0" w:color="auto"/>
            </w:tcBorders>
            <w:shd w:val="clear" w:color="auto" w:fill="auto"/>
            <w:vAlign w:val="bottom"/>
            <w:hideMark/>
          </w:tcPr>
          <w:p w14:paraId="525C6B1A"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Oribatida</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3E85A4A7"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07DF51A3"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3571E1E6"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6CF3FC42"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Pleidae</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672169A8"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3835DABB"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1D4B9A81"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78731ADB"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Ranatra</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72DA3526"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6A213DFA"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05150F61"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13FBAEBE"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Rhagovelia</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396B72D6"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7C311F1B"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18538F8B"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58B6744D"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Veliidae</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6A989FA3"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bl>
    <w:p w14:paraId="595919C0" w14:textId="2FD8BEF8" w:rsidR="008C61DB" w:rsidRDefault="008C61DB"/>
    <w:p w14:paraId="6E2AF1DF" w14:textId="57ADC960" w:rsidR="008C61DB" w:rsidRPr="008C61DB" w:rsidRDefault="008C61DB" w:rsidP="008C61DB">
      <w:r w:rsidRPr="008C61DB">
        <w:t>For the purposes of IBI calculations, “macroinvertebrate” is defined to include:</w:t>
      </w:r>
    </w:p>
    <w:p w14:paraId="008DD84C" w14:textId="77777777" w:rsidR="008C61DB" w:rsidRPr="008C61DB" w:rsidRDefault="008C61DB" w:rsidP="008C61DB">
      <w:pPr>
        <w:ind w:left="360" w:hanging="360"/>
        <w:jc w:val="both"/>
        <w:rPr>
          <w:b/>
          <w:bCs/>
        </w:rPr>
      </w:pPr>
      <w:r w:rsidRPr="008C61DB">
        <w:rPr>
          <w:rFonts w:ascii="Symbol" w:hAnsi="Symbol"/>
        </w:rPr>
        <w:t></w:t>
      </w:r>
      <w:r w:rsidRPr="008C61DB">
        <w:rPr>
          <w:sz w:val="14"/>
          <w:szCs w:val="14"/>
        </w:rPr>
        <w:t xml:space="preserve">         </w:t>
      </w:r>
      <w:r w:rsidRPr="008C61DB">
        <w:t xml:space="preserve">all aquatic </w:t>
      </w:r>
      <w:proofErr w:type="gramStart"/>
      <w:r w:rsidRPr="008C61DB">
        <w:t>Annelida;</w:t>
      </w:r>
      <w:proofErr w:type="gramEnd"/>
    </w:p>
    <w:p w14:paraId="5CAF9ED2" w14:textId="77777777" w:rsidR="008C61DB" w:rsidRPr="008C61DB" w:rsidRDefault="008C61DB" w:rsidP="008C61DB">
      <w:pPr>
        <w:ind w:left="360" w:hanging="360"/>
        <w:jc w:val="both"/>
        <w:rPr>
          <w:b/>
          <w:bCs/>
        </w:rPr>
      </w:pPr>
      <w:r w:rsidRPr="008C61DB">
        <w:rPr>
          <w:rFonts w:ascii="Symbol" w:hAnsi="Symbol"/>
        </w:rPr>
        <w:t></w:t>
      </w:r>
      <w:r w:rsidRPr="008C61DB">
        <w:rPr>
          <w:sz w:val="14"/>
          <w:szCs w:val="14"/>
        </w:rPr>
        <w:t xml:space="preserve">         </w:t>
      </w:r>
      <w:r w:rsidRPr="008C61DB">
        <w:t xml:space="preserve">all aquatic </w:t>
      </w:r>
      <w:proofErr w:type="gramStart"/>
      <w:r w:rsidRPr="008C61DB">
        <w:t>Mollusca;</w:t>
      </w:r>
      <w:proofErr w:type="gramEnd"/>
    </w:p>
    <w:p w14:paraId="586CB581" w14:textId="77777777" w:rsidR="008C61DB" w:rsidRPr="008C61DB" w:rsidRDefault="008C61DB" w:rsidP="008C61DB">
      <w:pPr>
        <w:ind w:left="360" w:hanging="360"/>
        <w:jc w:val="both"/>
        <w:rPr>
          <w:b/>
          <w:bCs/>
        </w:rPr>
      </w:pPr>
      <w:r w:rsidRPr="008C61DB">
        <w:rPr>
          <w:rFonts w:ascii="Symbol" w:hAnsi="Symbol"/>
        </w:rPr>
        <w:t></w:t>
      </w:r>
      <w:r w:rsidRPr="008C61DB">
        <w:rPr>
          <w:sz w:val="14"/>
          <w:szCs w:val="14"/>
        </w:rPr>
        <w:t xml:space="preserve">         </w:t>
      </w:r>
      <w:r w:rsidRPr="008C61DB">
        <w:t>aquatic macro Crustacea (except as noted below</w:t>
      </w:r>
      <w:proofErr w:type="gramStart"/>
      <w:r w:rsidRPr="008C61DB">
        <w:t>);</w:t>
      </w:r>
      <w:proofErr w:type="gramEnd"/>
    </w:p>
    <w:p w14:paraId="5D7C0BA6" w14:textId="652B6398" w:rsidR="008C61DB" w:rsidRPr="008C61DB" w:rsidRDefault="008C61DB" w:rsidP="008C61DB">
      <w:pPr>
        <w:ind w:left="360" w:hanging="360"/>
        <w:jc w:val="both"/>
        <w:rPr>
          <w:b/>
          <w:bCs/>
        </w:rPr>
      </w:pPr>
      <w:r w:rsidRPr="008C61DB">
        <w:rPr>
          <w:rFonts w:ascii="Symbol" w:hAnsi="Symbol"/>
        </w:rPr>
        <w:t></w:t>
      </w:r>
      <w:r w:rsidRPr="008C61DB">
        <w:rPr>
          <w:sz w:val="14"/>
          <w:szCs w:val="14"/>
        </w:rPr>
        <w:t xml:space="preserve">         </w:t>
      </w:r>
      <w:r w:rsidRPr="008C61DB">
        <w:t>all aquatic Arachnida except for Oribatid mites (which are not truly aquatic); and</w:t>
      </w:r>
    </w:p>
    <w:p w14:paraId="7AD7CDD2" w14:textId="77777777" w:rsidR="008C61DB" w:rsidRPr="008C61DB" w:rsidRDefault="008C61DB" w:rsidP="008C61DB">
      <w:pPr>
        <w:ind w:left="360" w:hanging="360"/>
        <w:jc w:val="both"/>
      </w:pPr>
      <w:r w:rsidRPr="008C61DB">
        <w:rPr>
          <w:rFonts w:ascii="Symbol" w:hAnsi="Symbol"/>
        </w:rPr>
        <w:t></w:t>
      </w:r>
      <w:r w:rsidRPr="008C61DB">
        <w:rPr>
          <w:sz w:val="14"/>
          <w:szCs w:val="14"/>
        </w:rPr>
        <w:t xml:space="preserve">         </w:t>
      </w:r>
      <w:r w:rsidRPr="008C61DB">
        <w:t xml:space="preserve">the aquatic life stages of </w:t>
      </w:r>
      <w:proofErr w:type="spellStart"/>
      <w:r w:rsidRPr="008C61DB">
        <w:t>Insecta</w:t>
      </w:r>
      <w:proofErr w:type="spellEnd"/>
      <w:r w:rsidRPr="008C61DB">
        <w:t xml:space="preserve"> except Hemiptera and adult Coleoptera other than </w:t>
      </w:r>
      <w:proofErr w:type="spellStart"/>
      <w:r w:rsidRPr="008C61DB">
        <w:t>Elmidae</w:t>
      </w:r>
      <w:proofErr w:type="spellEnd"/>
      <w:r w:rsidRPr="008C61DB">
        <w:t>.</w:t>
      </w:r>
    </w:p>
    <w:p w14:paraId="43FFEE6B" w14:textId="77777777" w:rsidR="008C61DB" w:rsidRPr="008C61DB" w:rsidRDefault="008C61DB" w:rsidP="008C61DB">
      <w:pPr>
        <w:pStyle w:val="NoSpacing"/>
        <w:rPr>
          <w:rFonts w:asciiTheme="minorHAnsi" w:hAnsiTheme="minorHAnsi" w:cstheme="minorHAnsi"/>
          <w:sz w:val="22"/>
          <w:szCs w:val="20"/>
        </w:rPr>
      </w:pPr>
      <w:r w:rsidRPr="008C61DB">
        <w:rPr>
          <w:rFonts w:asciiTheme="minorHAnsi" w:hAnsiTheme="minorHAnsi" w:cstheme="minorHAnsi"/>
          <w:sz w:val="22"/>
          <w:szCs w:val="20"/>
        </w:rPr>
        <w:t>Those macroinvertebrates excluded from the above list are not used for one of three reasons: either there is insufficient ecological information on them to make them useful for biomonitoring, they are surface film dwellers, or they are capable of escaping the aquatic environment at will to avoid temporarily unfavorable conditions.  One further exception is crayfish (Class Crustacea, Family Cambaridae), which often are seen evacuating the immediate area as kick-sampling begins, and even swimming out of the kick-net.  Crayfish species are noted when present in the sample but are not counted toward total numbers.</w:t>
      </w:r>
    </w:p>
    <w:p w14:paraId="65D4B545" w14:textId="77777777" w:rsidR="008C61DB" w:rsidRPr="008C61DB" w:rsidRDefault="008C61DB">
      <w:pPr>
        <w:rPr>
          <w:rFonts w:cstheme="minorHAnsi"/>
          <w:sz w:val="20"/>
          <w:szCs w:val="20"/>
        </w:rPr>
        <w:sectPr w:rsidR="008C61DB" w:rsidRPr="008C61DB">
          <w:pgSz w:w="12240" w:h="15840"/>
          <w:pgMar w:top="1440" w:right="1440" w:bottom="1440" w:left="1440" w:header="720" w:footer="720" w:gutter="0"/>
          <w:cols w:space="720"/>
          <w:docGrid w:linePitch="360"/>
        </w:sectPr>
      </w:pPr>
    </w:p>
    <w:p w14:paraId="2C3B046A" w14:textId="1B625983" w:rsidR="008C61DB" w:rsidRPr="00AC645F" w:rsidRDefault="003B3CCD" w:rsidP="008C61DB">
      <w:pPr>
        <w:rPr>
          <w:rFonts w:ascii="Times New Roman" w:hAnsi="Times New Roman"/>
          <w:sz w:val="28"/>
          <w:szCs w:val="28"/>
        </w:rPr>
      </w:pPr>
      <w:r>
        <w:rPr>
          <w:rFonts w:ascii="Times New Roman" w:hAnsi="Times New Roman"/>
          <w:sz w:val="28"/>
          <w:szCs w:val="28"/>
        </w:rPr>
        <w:lastRenderedPageBreak/>
        <w:t>C</w:t>
      </w:r>
      <w:r w:rsidR="002370C2">
        <w:rPr>
          <w:rFonts w:ascii="Times New Roman" w:hAnsi="Times New Roman"/>
          <w:sz w:val="28"/>
          <w:szCs w:val="28"/>
        </w:rPr>
        <w:t>4</w:t>
      </w:r>
      <w:r w:rsidR="008C61DB" w:rsidRPr="00AC645F">
        <w:rPr>
          <w:rFonts w:ascii="Times New Roman" w:hAnsi="Times New Roman"/>
          <w:sz w:val="28"/>
          <w:szCs w:val="28"/>
        </w:rPr>
        <w:tab/>
        <w:t>Exclusion criteria for redundant taxa</w:t>
      </w:r>
    </w:p>
    <w:p w14:paraId="3E848649" w14:textId="4E3B9141" w:rsidR="009867F4" w:rsidRPr="009867F4" w:rsidRDefault="009867F4" w:rsidP="009867F4">
      <w:pPr>
        <w:pStyle w:val="NoSpacing"/>
        <w:rPr>
          <w:rFonts w:asciiTheme="minorHAnsi" w:hAnsiTheme="minorHAnsi" w:cstheme="minorHAnsi"/>
          <w:sz w:val="22"/>
          <w:szCs w:val="20"/>
        </w:rPr>
      </w:pPr>
      <w:r w:rsidRPr="009867F4">
        <w:rPr>
          <w:rFonts w:asciiTheme="minorHAnsi" w:hAnsiTheme="minorHAnsi" w:cstheme="minorHAnsi"/>
          <w:sz w:val="22"/>
          <w:szCs w:val="20"/>
        </w:rPr>
        <w:t>When calculating metrics for benthic macroinvertebrates</w:t>
      </w:r>
      <w:r>
        <w:rPr>
          <w:rFonts w:asciiTheme="minorHAnsi" w:hAnsiTheme="minorHAnsi" w:cstheme="minorHAnsi"/>
          <w:sz w:val="22"/>
          <w:szCs w:val="20"/>
        </w:rPr>
        <w:t>,</w:t>
      </w:r>
      <w:r w:rsidRPr="009867F4">
        <w:rPr>
          <w:rFonts w:asciiTheme="minorHAnsi" w:hAnsiTheme="minorHAnsi" w:cstheme="minorHAnsi"/>
          <w:sz w:val="22"/>
          <w:szCs w:val="20"/>
        </w:rPr>
        <w:t xml:space="preserve"> there are occasions when certain taxa are not included in taxa richness metrics but the individuals are included for all other metrics. This is done to avoid double counting taxa that may have been identified to a more coarse level when taxa of a finer level are present in the same sample. </w:t>
      </w:r>
    </w:p>
    <w:p w14:paraId="7D206F70" w14:textId="77777777" w:rsidR="009867F4" w:rsidRPr="009867F4" w:rsidRDefault="009867F4" w:rsidP="009867F4">
      <w:pPr>
        <w:pStyle w:val="NoSpacing"/>
        <w:rPr>
          <w:rFonts w:asciiTheme="minorHAnsi" w:hAnsiTheme="minorHAnsi" w:cstheme="minorHAnsi"/>
          <w:sz w:val="22"/>
          <w:szCs w:val="20"/>
        </w:rPr>
      </w:pPr>
    </w:p>
    <w:p w14:paraId="6060227B" w14:textId="77777777" w:rsidR="009867F4" w:rsidRPr="009867F4" w:rsidRDefault="009867F4" w:rsidP="009867F4">
      <w:pPr>
        <w:pStyle w:val="NoSpacing"/>
        <w:rPr>
          <w:rFonts w:asciiTheme="minorHAnsi" w:hAnsiTheme="minorHAnsi" w:cstheme="minorHAnsi"/>
          <w:sz w:val="22"/>
          <w:szCs w:val="20"/>
        </w:rPr>
      </w:pPr>
      <w:r w:rsidRPr="009867F4">
        <w:rPr>
          <w:rFonts w:asciiTheme="minorHAnsi" w:hAnsiTheme="minorHAnsi" w:cstheme="minorHAnsi"/>
          <w:sz w:val="22"/>
          <w:szCs w:val="20"/>
        </w:rPr>
        <w:t xml:space="preserve">These taxa have been referred to by many names – e.g., Excluded Taxa, NonUnique Taxa, or Ambiguous Taxa.  This document will use the term Excluded. </w:t>
      </w:r>
    </w:p>
    <w:p w14:paraId="6317C031" w14:textId="77777777" w:rsidR="009867F4" w:rsidRPr="009867F4" w:rsidRDefault="009867F4" w:rsidP="009867F4">
      <w:pPr>
        <w:pStyle w:val="NoSpacing"/>
        <w:rPr>
          <w:rFonts w:asciiTheme="minorHAnsi" w:hAnsiTheme="minorHAnsi" w:cstheme="minorHAnsi"/>
          <w:sz w:val="22"/>
          <w:szCs w:val="20"/>
        </w:rPr>
      </w:pPr>
    </w:p>
    <w:p w14:paraId="55031D76" w14:textId="6C8E7B7C" w:rsidR="009867F4" w:rsidRDefault="009867F4" w:rsidP="009867F4">
      <w:pPr>
        <w:pStyle w:val="NoSpacing"/>
        <w:rPr>
          <w:rFonts w:asciiTheme="minorHAnsi" w:hAnsiTheme="minorHAnsi" w:cstheme="minorHAnsi"/>
          <w:sz w:val="22"/>
          <w:szCs w:val="20"/>
        </w:rPr>
      </w:pPr>
      <w:r>
        <w:rPr>
          <w:rFonts w:asciiTheme="minorHAnsi" w:hAnsiTheme="minorHAnsi" w:cstheme="minorHAnsi"/>
          <w:sz w:val="22"/>
          <w:szCs w:val="20"/>
        </w:rPr>
        <w:t>We used the ‘</w:t>
      </w:r>
      <w:r w:rsidRPr="009867F4">
        <w:rPr>
          <w:rFonts w:asciiTheme="minorHAnsi" w:hAnsiTheme="minorHAnsi" w:cstheme="minorHAnsi"/>
          <w:sz w:val="22"/>
          <w:szCs w:val="20"/>
        </w:rPr>
        <w:t>markExcluded</w:t>
      </w:r>
      <w:r>
        <w:rPr>
          <w:rFonts w:asciiTheme="minorHAnsi" w:hAnsiTheme="minorHAnsi" w:cstheme="minorHAnsi"/>
          <w:sz w:val="22"/>
          <w:szCs w:val="20"/>
        </w:rPr>
        <w:t>’</w:t>
      </w:r>
      <w:r w:rsidRPr="009867F4">
        <w:rPr>
          <w:rFonts w:asciiTheme="minorHAnsi" w:hAnsiTheme="minorHAnsi" w:cstheme="minorHAnsi"/>
          <w:sz w:val="22"/>
          <w:szCs w:val="20"/>
        </w:rPr>
        <w:t xml:space="preserve"> function</w:t>
      </w:r>
      <w:r>
        <w:rPr>
          <w:rFonts w:asciiTheme="minorHAnsi" w:hAnsiTheme="minorHAnsi" w:cstheme="minorHAnsi"/>
          <w:sz w:val="22"/>
          <w:szCs w:val="20"/>
        </w:rPr>
        <w:t xml:space="preserve"> in the </w:t>
      </w:r>
      <w:r w:rsidRPr="009867F4">
        <w:rPr>
          <w:rFonts w:asciiTheme="minorHAnsi" w:hAnsiTheme="minorHAnsi" w:cstheme="minorHAnsi"/>
          <w:sz w:val="22"/>
          <w:szCs w:val="20"/>
        </w:rPr>
        <w:t>BioMonTools R package (</w:t>
      </w:r>
      <w:r w:rsidR="00642025">
        <w:fldChar w:fldCharType="begin"/>
      </w:r>
      <w:r w:rsidR="00642025">
        <w:instrText xml:space="preserve"> HYPERLINK "https://github.com/leppott/BioMonTools" </w:instrText>
      </w:r>
      <w:r w:rsidR="00642025">
        <w:fldChar w:fldCharType="separate"/>
      </w:r>
      <w:r w:rsidRPr="009867F4">
        <w:rPr>
          <w:rStyle w:val="Hyperlink"/>
          <w:rFonts w:asciiTheme="minorHAnsi" w:hAnsiTheme="minorHAnsi" w:cstheme="minorHAnsi"/>
          <w:sz w:val="22"/>
          <w:szCs w:val="20"/>
        </w:rPr>
        <w:t>https://github.com/leppott/BioMonTools</w:t>
      </w:r>
      <w:r w:rsidR="00642025">
        <w:rPr>
          <w:rStyle w:val="Hyperlink"/>
          <w:rFonts w:asciiTheme="minorHAnsi" w:hAnsiTheme="minorHAnsi" w:cstheme="minorHAnsi"/>
          <w:sz w:val="22"/>
          <w:szCs w:val="20"/>
        </w:rPr>
        <w:fldChar w:fldCharType="end"/>
      </w:r>
      <w:r w:rsidRPr="009867F4">
        <w:rPr>
          <w:rFonts w:asciiTheme="minorHAnsi" w:hAnsiTheme="minorHAnsi" w:cstheme="minorHAnsi"/>
          <w:sz w:val="22"/>
          <w:szCs w:val="20"/>
        </w:rPr>
        <w:t>)</w:t>
      </w:r>
      <w:r>
        <w:rPr>
          <w:rFonts w:asciiTheme="minorHAnsi" w:hAnsiTheme="minorHAnsi" w:cstheme="minorHAnsi"/>
          <w:sz w:val="22"/>
          <w:szCs w:val="20"/>
        </w:rPr>
        <w:t xml:space="preserve"> to mark</w:t>
      </w:r>
      <w:r w:rsidRPr="009867F4">
        <w:rPr>
          <w:rFonts w:asciiTheme="minorHAnsi" w:hAnsiTheme="minorHAnsi" w:cstheme="minorHAnsi"/>
          <w:sz w:val="22"/>
          <w:szCs w:val="20"/>
        </w:rPr>
        <w:t xml:space="preserve"> redundant taxa </w:t>
      </w:r>
      <w:r>
        <w:rPr>
          <w:rFonts w:asciiTheme="minorHAnsi" w:hAnsiTheme="minorHAnsi" w:cstheme="minorHAnsi"/>
          <w:sz w:val="22"/>
          <w:szCs w:val="20"/>
        </w:rPr>
        <w:t xml:space="preserve">in the low gradient samples prior to metric calculations. Redundant taxa were identified on a sample-by-sample basis and excluded from the richness calculations. </w:t>
      </w:r>
    </w:p>
    <w:p w14:paraId="2AEE4E13" w14:textId="77777777" w:rsidR="009867F4" w:rsidRDefault="009867F4" w:rsidP="009867F4">
      <w:pPr>
        <w:pStyle w:val="NoSpacing"/>
        <w:rPr>
          <w:rFonts w:asciiTheme="minorHAnsi" w:hAnsiTheme="minorHAnsi" w:cstheme="minorHAnsi"/>
          <w:sz w:val="22"/>
          <w:szCs w:val="20"/>
        </w:rPr>
      </w:pPr>
    </w:p>
    <w:p w14:paraId="21350D24" w14:textId="3124405B" w:rsidR="009867F4" w:rsidRPr="009867F4" w:rsidRDefault="009867F4" w:rsidP="009867F4">
      <w:pPr>
        <w:pStyle w:val="NoSpacing"/>
        <w:rPr>
          <w:rFonts w:asciiTheme="minorHAnsi" w:hAnsiTheme="minorHAnsi" w:cstheme="minorHAnsi"/>
          <w:sz w:val="22"/>
          <w:szCs w:val="20"/>
        </w:rPr>
      </w:pPr>
      <w:r>
        <w:rPr>
          <w:rFonts w:asciiTheme="minorHAnsi" w:hAnsiTheme="minorHAnsi" w:cstheme="minorHAnsi"/>
          <w:sz w:val="22"/>
          <w:szCs w:val="20"/>
        </w:rPr>
        <w:t xml:space="preserve">Redundant taxa were identified </w:t>
      </w:r>
      <w:r w:rsidRPr="009867F4">
        <w:rPr>
          <w:rFonts w:asciiTheme="minorHAnsi" w:hAnsiTheme="minorHAnsi" w:cstheme="minorHAnsi"/>
          <w:sz w:val="22"/>
          <w:szCs w:val="20"/>
        </w:rPr>
        <w:t>based on the following steps:</w:t>
      </w:r>
    </w:p>
    <w:p w14:paraId="0B45E2CA" w14:textId="77777777" w:rsidR="009867F4" w:rsidRPr="009867F4" w:rsidRDefault="009867F4" w:rsidP="009867F4">
      <w:pPr>
        <w:pStyle w:val="NoSpacing"/>
        <w:rPr>
          <w:rFonts w:asciiTheme="minorHAnsi" w:hAnsiTheme="minorHAnsi" w:cstheme="minorHAnsi"/>
          <w:sz w:val="22"/>
          <w:szCs w:val="20"/>
        </w:rPr>
      </w:pPr>
    </w:p>
    <w:p w14:paraId="131A2884" w14:textId="77777777" w:rsidR="009867F4" w:rsidRPr="009867F4" w:rsidRDefault="009867F4" w:rsidP="009867F4">
      <w:pPr>
        <w:pStyle w:val="NoSpacing"/>
        <w:ind w:left="708"/>
        <w:rPr>
          <w:rFonts w:asciiTheme="minorHAnsi" w:hAnsiTheme="minorHAnsi" w:cstheme="minorHAnsi"/>
          <w:sz w:val="22"/>
          <w:szCs w:val="20"/>
        </w:rPr>
      </w:pPr>
      <w:r w:rsidRPr="009867F4">
        <w:rPr>
          <w:rFonts w:asciiTheme="minorHAnsi" w:hAnsiTheme="minorHAnsi" w:cstheme="minorHAnsi"/>
          <w:sz w:val="22"/>
          <w:szCs w:val="20"/>
        </w:rPr>
        <w:t>1. Calculate and find all taxa names that appear in a sample at each taxonomic rank more than once (for an example, see Figure 1). These are the potential "parents" to be excluded.</w:t>
      </w:r>
    </w:p>
    <w:p w14:paraId="6D910E37" w14:textId="77777777" w:rsidR="009867F4" w:rsidRPr="009867F4" w:rsidRDefault="009867F4" w:rsidP="009867F4">
      <w:pPr>
        <w:pStyle w:val="NoSpacing"/>
        <w:ind w:left="708"/>
        <w:rPr>
          <w:rFonts w:asciiTheme="minorHAnsi" w:hAnsiTheme="minorHAnsi" w:cstheme="minorHAnsi"/>
          <w:sz w:val="22"/>
          <w:szCs w:val="20"/>
        </w:rPr>
      </w:pPr>
    </w:p>
    <w:p w14:paraId="70DB5202" w14:textId="77777777" w:rsidR="009867F4" w:rsidRPr="009867F4" w:rsidRDefault="009867F4" w:rsidP="009867F4">
      <w:pPr>
        <w:pStyle w:val="NoSpacing"/>
        <w:ind w:left="708"/>
        <w:rPr>
          <w:rFonts w:asciiTheme="minorHAnsi" w:hAnsiTheme="minorHAnsi" w:cstheme="minorHAnsi"/>
          <w:sz w:val="22"/>
          <w:szCs w:val="20"/>
        </w:rPr>
      </w:pPr>
      <w:r w:rsidRPr="009867F4">
        <w:rPr>
          <w:rFonts w:asciiTheme="minorHAnsi" w:hAnsiTheme="minorHAnsi" w:cstheme="minorHAnsi"/>
          <w:sz w:val="22"/>
          <w:szCs w:val="20"/>
        </w:rPr>
        <w:t>2. Check if any of the potential "parents" equal a final ID in their respective samples.</w:t>
      </w:r>
    </w:p>
    <w:p w14:paraId="28E604A6" w14:textId="77777777" w:rsidR="009867F4" w:rsidRPr="009867F4" w:rsidRDefault="009867F4" w:rsidP="009867F4">
      <w:pPr>
        <w:pStyle w:val="NoSpacing"/>
        <w:ind w:left="708"/>
        <w:rPr>
          <w:rFonts w:asciiTheme="minorHAnsi" w:hAnsiTheme="minorHAnsi" w:cstheme="minorHAnsi"/>
          <w:sz w:val="22"/>
          <w:szCs w:val="20"/>
        </w:rPr>
      </w:pPr>
    </w:p>
    <w:p w14:paraId="1B4D19C4" w14:textId="77777777" w:rsidR="009867F4" w:rsidRPr="009867F4" w:rsidRDefault="009867F4" w:rsidP="009867F4">
      <w:pPr>
        <w:pStyle w:val="NoSpacing"/>
        <w:ind w:left="708"/>
        <w:rPr>
          <w:rFonts w:asciiTheme="minorHAnsi" w:hAnsiTheme="minorHAnsi" w:cstheme="minorHAnsi"/>
          <w:sz w:val="22"/>
          <w:szCs w:val="20"/>
        </w:rPr>
      </w:pPr>
      <w:r w:rsidRPr="009867F4">
        <w:rPr>
          <w:rFonts w:asciiTheme="minorHAnsi" w:hAnsiTheme="minorHAnsi" w:cstheme="minorHAnsi"/>
          <w:sz w:val="22"/>
          <w:szCs w:val="20"/>
        </w:rPr>
        <w:t>3. If you get a match these are marked as "Excluded"</w:t>
      </w:r>
    </w:p>
    <w:p w14:paraId="77E23649" w14:textId="77777777" w:rsidR="009867F4" w:rsidRPr="009867F4" w:rsidRDefault="009867F4" w:rsidP="009867F4">
      <w:pPr>
        <w:pStyle w:val="NoSpacing"/>
        <w:rPr>
          <w:rFonts w:asciiTheme="minorHAnsi" w:hAnsiTheme="minorHAnsi" w:cstheme="minorHAnsi"/>
          <w:sz w:val="22"/>
          <w:szCs w:val="20"/>
        </w:rPr>
      </w:pPr>
    </w:p>
    <w:p w14:paraId="3C4996AA" w14:textId="77777777" w:rsidR="009867F4" w:rsidRPr="009867F4" w:rsidRDefault="009867F4" w:rsidP="009867F4">
      <w:pPr>
        <w:pStyle w:val="NoSpacing"/>
        <w:rPr>
          <w:rFonts w:asciiTheme="minorHAnsi" w:hAnsiTheme="minorHAnsi" w:cstheme="minorHAnsi"/>
          <w:sz w:val="22"/>
          <w:szCs w:val="20"/>
        </w:rPr>
      </w:pPr>
      <w:r w:rsidRPr="009867F4">
        <w:rPr>
          <w:rFonts w:asciiTheme="minorHAnsi" w:hAnsiTheme="minorHAnsi" w:cstheme="minorHAnsi"/>
          <w:sz w:val="22"/>
          <w:szCs w:val="20"/>
        </w:rPr>
        <w:t>All Excluded decisions are sample-specific and the rules should be reapplied if sample contents change. Also, if the level of effort or operational taxonomic units change, the Excluded taxa designations should be recalculated.</w:t>
      </w:r>
    </w:p>
    <w:p w14:paraId="6E25D33E" w14:textId="77777777" w:rsidR="009867F4" w:rsidRPr="00676B36" w:rsidRDefault="009867F4" w:rsidP="009867F4">
      <w:pPr>
        <w:pStyle w:val="NoSpacing"/>
      </w:pPr>
    </w:p>
    <w:p w14:paraId="3C25E969" w14:textId="77777777" w:rsidR="009867F4" w:rsidRPr="00676B36" w:rsidRDefault="009867F4" w:rsidP="009867F4">
      <w:pPr>
        <w:pStyle w:val="NoSpacing"/>
      </w:pPr>
      <w:r w:rsidRPr="00676B36">
        <w:rPr>
          <w:noProof/>
          <w:lang w:val="en-US"/>
        </w:rPr>
        <w:drawing>
          <wp:inline distT="0" distB="0" distL="0" distR="0" wp14:anchorId="53115C3D" wp14:editId="5C0C8280">
            <wp:extent cx="5731510" cy="2548890"/>
            <wp:effectExtent l="0" t="0" r="254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0" cstate="email">
                      <a:extLst>
                        <a:ext uri="{28A0092B-C50C-407E-A947-70E740481C1C}">
                          <a14:useLocalDpi xmlns:a14="http://schemas.microsoft.com/office/drawing/2010/main"/>
                        </a:ext>
                      </a:extLst>
                    </a:blip>
                    <a:srcRect l="1792" t="50497" r="42163" b="5191"/>
                    <a:stretch/>
                  </pic:blipFill>
                  <pic:spPr>
                    <a:xfrm>
                      <a:off x="0" y="0"/>
                      <a:ext cx="5731510" cy="2548890"/>
                    </a:xfrm>
                    <a:prstGeom prst="rect">
                      <a:avLst/>
                    </a:prstGeom>
                  </pic:spPr>
                </pic:pic>
              </a:graphicData>
            </a:graphic>
          </wp:inline>
        </w:drawing>
      </w:r>
    </w:p>
    <w:p w14:paraId="15782C9A" w14:textId="77777777" w:rsidR="009867F4" w:rsidRPr="009867F4" w:rsidRDefault="009867F4" w:rsidP="009867F4">
      <w:pPr>
        <w:pStyle w:val="NoSpacing"/>
        <w:rPr>
          <w:rFonts w:asciiTheme="minorHAnsi" w:hAnsiTheme="minorHAnsi" w:cstheme="minorHAnsi"/>
          <w:sz w:val="22"/>
          <w:szCs w:val="20"/>
        </w:rPr>
      </w:pPr>
      <w:r w:rsidRPr="009867F4">
        <w:rPr>
          <w:rFonts w:asciiTheme="minorHAnsi" w:hAnsiTheme="minorHAnsi" w:cstheme="minorHAnsi"/>
          <w:b/>
          <w:sz w:val="22"/>
          <w:szCs w:val="20"/>
        </w:rPr>
        <w:t>Figure 1</w:t>
      </w:r>
      <w:r w:rsidRPr="009867F4">
        <w:rPr>
          <w:rFonts w:asciiTheme="minorHAnsi" w:hAnsiTheme="minorHAnsi" w:cstheme="minorHAnsi"/>
          <w:sz w:val="22"/>
          <w:szCs w:val="20"/>
        </w:rPr>
        <w:t>. Example - Dytiscidae (family-level) is excluded from the richness metrics in this sample because these organisms could be the same taxon as Oreodytes (genus-level). The exclusion rule is applied on a sample by sample basis.</w:t>
      </w:r>
    </w:p>
    <w:p w14:paraId="3E53C00D" w14:textId="77777777" w:rsidR="009867F4" w:rsidRPr="00676B36" w:rsidRDefault="009867F4" w:rsidP="009867F4">
      <w:pPr>
        <w:pStyle w:val="NoSpacing"/>
      </w:pPr>
      <w:r w:rsidRPr="00676B36">
        <w:t xml:space="preserve"> </w:t>
      </w:r>
    </w:p>
    <w:p w14:paraId="2DFB7DBA" w14:textId="77777777" w:rsidR="009867F4" w:rsidRPr="009867F4" w:rsidRDefault="009867F4" w:rsidP="009867F4">
      <w:pPr>
        <w:pStyle w:val="NoSpacing"/>
        <w:rPr>
          <w:rFonts w:asciiTheme="minorHAnsi" w:hAnsiTheme="minorHAnsi" w:cstheme="minorHAnsi"/>
          <w:sz w:val="22"/>
          <w:szCs w:val="20"/>
        </w:rPr>
      </w:pPr>
      <w:r w:rsidRPr="009867F4">
        <w:rPr>
          <w:rFonts w:asciiTheme="minorHAnsi" w:hAnsiTheme="minorHAnsi" w:cstheme="minorHAnsi"/>
          <w:sz w:val="22"/>
          <w:szCs w:val="20"/>
        </w:rPr>
        <w:lastRenderedPageBreak/>
        <w:t>Below is a more detailed description of the process that the markExcluded function follows. Before starting, it is necessary to have a complete and correct master taxa list (all phylogenetic information and ranks).</w:t>
      </w:r>
    </w:p>
    <w:p w14:paraId="0C165397" w14:textId="77777777" w:rsidR="009867F4" w:rsidRPr="00676B36" w:rsidRDefault="009867F4" w:rsidP="009867F4">
      <w:pPr>
        <w:pStyle w:val="Heading2"/>
        <w:rPr>
          <w:rFonts w:asciiTheme="minorHAnsi" w:hAnsiTheme="minorHAnsi"/>
          <w:sz w:val="22"/>
          <w:szCs w:val="22"/>
        </w:rPr>
      </w:pPr>
      <w:r w:rsidRPr="00676B36">
        <w:rPr>
          <w:rFonts w:asciiTheme="minorHAnsi" w:hAnsiTheme="minorHAnsi"/>
          <w:sz w:val="22"/>
          <w:szCs w:val="22"/>
        </w:rPr>
        <w:t>Terminology</w:t>
      </w:r>
    </w:p>
    <w:p w14:paraId="4F917244" w14:textId="77777777" w:rsidR="009867F4" w:rsidRPr="00676B36" w:rsidRDefault="009867F4" w:rsidP="009867F4">
      <w:pPr>
        <w:numPr>
          <w:ilvl w:val="0"/>
          <w:numId w:val="3"/>
        </w:numPr>
        <w:spacing w:after="0" w:line="240" w:lineRule="auto"/>
      </w:pPr>
      <w:r w:rsidRPr="00676B36">
        <w:t>Target Rank = intended level of taxonomy for identification, e.g., genus.  Typically, specified in the project’s SOP but can be adjusted during the OTU process.</w:t>
      </w:r>
    </w:p>
    <w:p w14:paraId="19D96D34" w14:textId="77777777" w:rsidR="009867F4" w:rsidRPr="00676B36" w:rsidRDefault="009867F4" w:rsidP="009867F4">
      <w:pPr>
        <w:numPr>
          <w:ilvl w:val="0"/>
          <w:numId w:val="3"/>
        </w:numPr>
        <w:spacing w:after="0" w:line="240" w:lineRule="auto"/>
      </w:pPr>
      <w:r w:rsidRPr="00676B36">
        <w:t xml:space="preserve">Parent or Parent Taxon = a </w:t>
      </w:r>
      <w:proofErr w:type="spellStart"/>
      <w:r w:rsidRPr="00676B36">
        <w:t>taxon</w:t>
      </w:r>
      <w:proofErr w:type="spellEnd"/>
      <w:r w:rsidRPr="00676B36">
        <w:t xml:space="preserve"> that occurs in the data in addition to other taxa in the same group that are identified to a more specific level.  For example, the family </w:t>
      </w:r>
      <w:proofErr w:type="spellStart"/>
      <w:r w:rsidRPr="00676B36">
        <w:t>Baetidae</w:t>
      </w:r>
      <w:proofErr w:type="spellEnd"/>
      <w:r w:rsidRPr="00676B36">
        <w:t xml:space="preserve"> may occur in the data in addition to genera within the family </w:t>
      </w:r>
      <w:proofErr w:type="spellStart"/>
      <w:r w:rsidRPr="00676B36">
        <w:t>Baetidae</w:t>
      </w:r>
      <w:proofErr w:type="spellEnd"/>
      <w:r w:rsidRPr="00676B36">
        <w:t xml:space="preserve">.  In this case the name </w:t>
      </w:r>
      <w:proofErr w:type="spellStart"/>
      <w:r w:rsidRPr="00676B36">
        <w:t>Baetidae</w:t>
      </w:r>
      <w:proofErr w:type="spellEnd"/>
      <w:r w:rsidRPr="00676B36">
        <w:t xml:space="preserve"> is a parent to the other taxa within the family.  Parents do not have to be only a single rank above the child taxon.  That is, the class and order ranks are parents of any family ranks within them.</w:t>
      </w:r>
    </w:p>
    <w:p w14:paraId="453F16D8" w14:textId="77777777" w:rsidR="009867F4" w:rsidRPr="00676B36" w:rsidRDefault="009867F4" w:rsidP="009867F4">
      <w:pPr>
        <w:numPr>
          <w:ilvl w:val="0"/>
          <w:numId w:val="3"/>
        </w:numPr>
        <w:spacing w:after="0" w:line="240" w:lineRule="auto"/>
      </w:pPr>
      <w:r w:rsidRPr="00676B36">
        <w:t xml:space="preserve">Child or Children Taxa = a taxa or taxon that occurs in the data in addition to individuals identified to a coarser level.  For example, the genera </w:t>
      </w:r>
      <w:proofErr w:type="spellStart"/>
      <w:r w:rsidRPr="00676B36">
        <w:t>Baetis</w:t>
      </w:r>
      <w:proofErr w:type="spellEnd"/>
      <w:r w:rsidRPr="00676B36">
        <w:t xml:space="preserve"> and </w:t>
      </w:r>
      <w:proofErr w:type="spellStart"/>
      <w:r w:rsidRPr="00676B36">
        <w:t>Procloeon</w:t>
      </w:r>
      <w:proofErr w:type="spellEnd"/>
      <w:r w:rsidRPr="00676B36">
        <w:t xml:space="preserve"> may occur in addition to the family </w:t>
      </w:r>
      <w:proofErr w:type="spellStart"/>
      <w:r w:rsidRPr="00676B36">
        <w:t>Baetidae</w:t>
      </w:r>
      <w:proofErr w:type="spellEnd"/>
      <w:r w:rsidRPr="00676B36">
        <w:t xml:space="preserve"> (of which the 2 genera listed are a member).  In this case </w:t>
      </w:r>
      <w:proofErr w:type="spellStart"/>
      <w:r w:rsidRPr="00676B36">
        <w:t>Baetis</w:t>
      </w:r>
      <w:proofErr w:type="spellEnd"/>
      <w:r w:rsidRPr="00676B36">
        <w:t xml:space="preserve"> and </w:t>
      </w:r>
      <w:proofErr w:type="spellStart"/>
      <w:r w:rsidRPr="00676B36">
        <w:t>Procloen</w:t>
      </w:r>
      <w:proofErr w:type="spellEnd"/>
      <w:r w:rsidRPr="00676B36">
        <w:t xml:space="preserve"> are children of </w:t>
      </w:r>
      <w:proofErr w:type="spellStart"/>
      <w:r w:rsidRPr="00676B36">
        <w:t>Baetidae</w:t>
      </w:r>
      <w:proofErr w:type="spellEnd"/>
      <w:r w:rsidRPr="00676B36">
        <w:t>.</w:t>
      </w:r>
    </w:p>
    <w:p w14:paraId="205C23BA" w14:textId="77777777" w:rsidR="009867F4" w:rsidRPr="00676B36" w:rsidRDefault="009867F4" w:rsidP="009867F4">
      <w:pPr>
        <w:pStyle w:val="Heading2"/>
        <w:rPr>
          <w:rFonts w:asciiTheme="minorHAnsi" w:hAnsiTheme="minorHAnsi"/>
          <w:sz w:val="22"/>
          <w:szCs w:val="22"/>
        </w:rPr>
      </w:pPr>
      <w:r w:rsidRPr="00676B36">
        <w:rPr>
          <w:rFonts w:asciiTheme="minorHAnsi" w:hAnsiTheme="minorHAnsi"/>
          <w:sz w:val="22"/>
          <w:szCs w:val="22"/>
        </w:rPr>
        <w:t>Rule Development</w:t>
      </w:r>
    </w:p>
    <w:p w14:paraId="09D36673" w14:textId="77777777" w:rsidR="009867F4" w:rsidRPr="00676B36" w:rsidRDefault="009867F4" w:rsidP="009867F4">
      <w:r w:rsidRPr="00676B36">
        <w:t>For each sample:</w:t>
      </w:r>
    </w:p>
    <w:p w14:paraId="0E0DEF05" w14:textId="77777777" w:rsidR="009867F4" w:rsidRPr="00676B36" w:rsidRDefault="009867F4" w:rsidP="009867F4">
      <w:pPr>
        <w:numPr>
          <w:ilvl w:val="0"/>
          <w:numId w:val="1"/>
        </w:numPr>
        <w:spacing w:after="0" w:line="240" w:lineRule="auto"/>
      </w:pPr>
      <w:r w:rsidRPr="00676B36">
        <w:t>Determine “potential” taxa for exclusion based on rank (or level) names appearing more than once in a sample.</w:t>
      </w:r>
    </w:p>
    <w:p w14:paraId="479750DB" w14:textId="77777777" w:rsidR="009867F4" w:rsidRPr="00676B36" w:rsidRDefault="009867F4" w:rsidP="009867F4">
      <w:pPr>
        <w:numPr>
          <w:ilvl w:val="1"/>
          <w:numId w:val="1"/>
        </w:numPr>
        <w:spacing w:after="0" w:line="240" w:lineRule="auto"/>
      </w:pPr>
      <w:r w:rsidRPr="00676B36">
        <w:t xml:space="preserve">This is done for all ranks </w:t>
      </w:r>
      <w:proofErr w:type="gramStart"/>
      <w:r w:rsidRPr="00676B36">
        <w:t>present;</w:t>
      </w:r>
      <w:proofErr w:type="gramEnd"/>
      <w:r w:rsidRPr="00676B36">
        <w:t xml:space="preserve"> phylum, class, order, family, tribe, genus, species.</w:t>
      </w:r>
    </w:p>
    <w:p w14:paraId="1305CAB0" w14:textId="77777777" w:rsidR="009867F4" w:rsidRPr="00676B36" w:rsidRDefault="009867F4" w:rsidP="009867F4">
      <w:pPr>
        <w:numPr>
          <w:ilvl w:val="0"/>
          <w:numId w:val="1"/>
        </w:numPr>
        <w:spacing w:after="0" w:line="240" w:lineRule="auto"/>
      </w:pPr>
      <w:r w:rsidRPr="00676B36">
        <w:t>Check if any “potential” taxa are equal to a final (unique) ID in the same sample.</w:t>
      </w:r>
    </w:p>
    <w:p w14:paraId="603D6F58" w14:textId="77777777" w:rsidR="009867F4" w:rsidRPr="00676B36" w:rsidRDefault="009867F4" w:rsidP="009867F4">
      <w:pPr>
        <w:numPr>
          <w:ilvl w:val="0"/>
          <w:numId w:val="1"/>
        </w:numPr>
        <w:spacing w:after="0" w:line="240" w:lineRule="auto"/>
      </w:pPr>
      <w:r w:rsidRPr="00676B36">
        <w:t>Stage is combined with taxa names if used in the dataset.</w:t>
      </w:r>
    </w:p>
    <w:p w14:paraId="2FE55FA8" w14:textId="77777777" w:rsidR="009867F4" w:rsidRPr="00676B36" w:rsidRDefault="009867F4" w:rsidP="009867F4">
      <w:pPr>
        <w:pStyle w:val="Heading2"/>
        <w:rPr>
          <w:rFonts w:asciiTheme="minorHAnsi" w:hAnsiTheme="minorHAnsi"/>
          <w:sz w:val="22"/>
          <w:szCs w:val="22"/>
        </w:rPr>
      </w:pPr>
      <w:r w:rsidRPr="00676B36">
        <w:rPr>
          <w:rFonts w:asciiTheme="minorHAnsi" w:hAnsiTheme="minorHAnsi"/>
          <w:sz w:val="22"/>
          <w:szCs w:val="22"/>
        </w:rPr>
        <w:t>Requirements</w:t>
      </w:r>
    </w:p>
    <w:p w14:paraId="0D937DF6" w14:textId="77777777" w:rsidR="009867F4" w:rsidRPr="00676B36" w:rsidRDefault="009867F4" w:rsidP="009867F4">
      <w:pPr>
        <w:numPr>
          <w:ilvl w:val="0"/>
          <w:numId w:val="4"/>
        </w:numPr>
        <w:spacing w:after="0" w:line="240" w:lineRule="auto"/>
      </w:pPr>
      <w:r w:rsidRPr="00676B36">
        <w:t xml:space="preserve">A sample taxa table or data frame.  </w:t>
      </w:r>
    </w:p>
    <w:p w14:paraId="6E53F63E" w14:textId="77777777" w:rsidR="009867F4" w:rsidRPr="00676B36" w:rsidRDefault="009867F4" w:rsidP="009867F4">
      <w:pPr>
        <w:numPr>
          <w:ilvl w:val="1"/>
          <w:numId w:val="4"/>
        </w:numPr>
        <w:spacing w:after="0" w:line="240" w:lineRule="auto"/>
      </w:pPr>
      <w:r w:rsidRPr="00676B36">
        <w:t xml:space="preserve">All non-count and zero individual taxa have been removed.  </w:t>
      </w:r>
    </w:p>
    <w:p w14:paraId="261AAB5A" w14:textId="77777777" w:rsidR="009867F4" w:rsidRPr="00676B36" w:rsidRDefault="009867F4" w:rsidP="009867F4">
      <w:pPr>
        <w:numPr>
          <w:ilvl w:val="1"/>
          <w:numId w:val="4"/>
        </w:numPr>
        <w:spacing w:after="0" w:line="240" w:lineRule="auto"/>
      </w:pPr>
      <w:r w:rsidRPr="00676B36">
        <w:t>Unique sample ID code in a single column.</w:t>
      </w:r>
    </w:p>
    <w:p w14:paraId="682C54DD" w14:textId="77777777" w:rsidR="009867F4" w:rsidRPr="00676B36" w:rsidRDefault="009867F4" w:rsidP="009867F4">
      <w:pPr>
        <w:numPr>
          <w:ilvl w:val="1"/>
          <w:numId w:val="4"/>
        </w:numPr>
        <w:spacing w:after="0" w:line="240" w:lineRule="auto"/>
      </w:pPr>
      <w:r w:rsidRPr="00676B36">
        <w:t xml:space="preserve">A column with a final identification that is narrative not numeric.  That is, </w:t>
      </w:r>
      <w:proofErr w:type="spellStart"/>
      <w:r w:rsidRPr="00676B36">
        <w:t>Baetidae</w:t>
      </w:r>
      <w:proofErr w:type="spellEnd"/>
      <w:r w:rsidRPr="00676B36">
        <w:t xml:space="preserve"> is ok but the ITIS number is not.</w:t>
      </w:r>
    </w:p>
    <w:p w14:paraId="07C092D5" w14:textId="77777777" w:rsidR="009867F4" w:rsidRPr="00676B36" w:rsidRDefault="009867F4" w:rsidP="009867F4">
      <w:pPr>
        <w:numPr>
          <w:ilvl w:val="1"/>
          <w:numId w:val="4"/>
        </w:numPr>
        <w:spacing w:after="0" w:line="240" w:lineRule="auto"/>
      </w:pPr>
      <w:r w:rsidRPr="00676B36">
        <w:t>Phylogenetic rank/level columns.</w:t>
      </w:r>
    </w:p>
    <w:p w14:paraId="01CDA21D" w14:textId="77777777" w:rsidR="009867F4" w:rsidRPr="00676B36" w:rsidRDefault="009867F4" w:rsidP="009867F4">
      <w:pPr>
        <w:numPr>
          <w:ilvl w:val="2"/>
          <w:numId w:val="4"/>
        </w:numPr>
        <w:spacing w:after="0" w:line="240" w:lineRule="auto"/>
      </w:pPr>
      <w:r w:rsidRPr="00676B36">
        <w:t>This can be applied from a master taxa table but needs to be included in this table.  One column per rank.</w:t>
      </w:r>
    </w:p>
    <w:p w14:paraId="48D0F6DF" w14:textId="77777777" w:rsidR="009867F4" w:rsidRPr="00676B36" w:rsidRDefault="009867F4" w:rsidP="009867F4">
      <w:pPr>
        <w:numPr>
          <w:ilvl w:val="2"/>
          <w:numId w:val="4"/>
        </w:numPr>
        <w:spacing w:after="0" w:line="240" w:lineRule="auto"/>
      </w:pPr>
      <w:r w:rsidRPr="00676B36">
        <w:t>Names need to be consistently spelled.</w:t>
      </w:r>
    </w:p>
    <w:p w14:paraId="139B95AB" w14:textId="77777777" w:rsidR="009867F4" w:rsidRPr="00676B36" w:rsidRDefault="009867F4" w:rsidP="009867F4">
      <w:pPr>
        <w:pStyle w:val="Heading2"/>
        <w:rPr>
          <w:rFonts w:asciiTheme="minorHAnsi" w:hAnsiTheme="minorHAnsi"/>
          <w:sz w:val="22"/>
          <w:szCs w:val="22"/>
        </w:rPr>
      </w:pPr>
      <w:r w:rsidRPr="00676B36">
        <w:rPr>
          <w:rFonts w:asciiTheme="minorHAnsi" w:hAnsiTheme="minorHAnsi"/>
          <w:sz w:val="22"/>
          <w:szCs w:val="22"/>
        </w:rPr>
        <w:t>Procedures</w:t>
      </w:r>
    </w:p>
    <w:p w14:paraId="52C984A1" w14:textId="77777777" w:rsidR="009867F4" w:rsidRPr="00676B36" w:rsidRDefault="009867F4" w:rsidP="009867F4">
      <w:pPr>
        <w:numPr>
          <w:ilvl w:val="0"/>
          <w:numId w:val="2"/>
        </w:numPr>
        <w:spacing w:after="0" w:line="240" w:lineRule="auto"/>
      </w:pPr>
      <w:r w:rsidRPr="00676B36">
        <w:t>Find all potential Parents (those with a rank coarser than the target rank).  This is done by creating a list of taxa rank names that appear more than once in a sample.  This is done for each taxonomic rank.</w:t>
      </w:r>
    </w:p>
    <w:p w14:paraId="17F20795" w14:textId="77777777" w:rsidR="009867F4" w:rsidRPr="00676B36" w:rsidRDefault="009867F4" w:rsidP="009867F4">
      <w:pPr>
        <w:numPr>
          <w:ilvl w:val="0"/>
          <w:numId w:val="2"/>
        </w:numPr>
        <w:spacing w:after="0" w:line="240" w:lineRule="auto"/>
      </w:pPr>
      <w:r w:rsidRPr="00676B36">
        <w:t>The above list is compared to the final identifications for each sample.</w:t>
      </w:r>
    </w:p>
    <w:p w14:paraId="3B19929B" w14:textId="77777777" w:rsidR="009867F4" w:rsidRPr="00676B36" w:rsidRDefault="009867F4" w:rsidP="009867F4">
      <w:pPr>
        <w:numPr>
          <w:ilvl w:val="1"/>
          <w:numId w:val="2"/>
        </w:numPr>
        <w:spacing w:after="0" w:line="240" w:lineRule="auto"/>
      </w:pPr>
      <w:r w:rsidRPr="00676B36">
        <w:t>Special consideration is made for ranks of finer detail than genus.  That is, names that are a combination of more than one field.</w:t>
      </w:r>
    </w:p>
    <w:p w14:paraId="5F1A15FB" w14:textId="77777777" w:rsidR="009867F4" w:rsidRPr="00676B36" w:rsidRDefault="009867F4" w:rsidP="009867F4">
      <w:pPr>
        <w:numPr>
          <w:ilvl w:val="0"/>
          <w:numId w:val="2"/>
        </w:numPr>
        <w:spacing w:after="0" w:line="240" w:lineRule="auto"/>
      </w:pPr>
      <w:r w:rsidRPr="00676B36">
        <w:t>Any matches are marked as “Excluded”.</w:t>
      </w:r>
    </w:p>
    <w:p w14:paraId="06CA1794" w14:textId="77777777" w:rsidR="009867F4" w:rsidRPr="00676B36" w:rsidRDefault="009867F4" w:rsidP="009867F4"/>
    <w:p w14:paraId="06866DB2" w14:textId="1A7DB1CD" w:rsidR="008C61DB" w:rsidRDefault="009867F4">
      <w:r w:rsidRPr="00676B36">
        <w:t>There is still a need for manual review / QC check of the final list of Excluded designations.</w:t>
      </w:r>
      <w:r w:rsidRPr="00676B36">
        <w:rPr>
          <w:sz w:val="24"/>
          <w:szCs w:val="24"/>
        </w:rPr>
        <w:t xml:space="preserve">  </w:t>
      </w:r>
    </w:p>
    <w:sectPr w:rsidR="008C6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F303D" w14:textId="77777777" w:rsidR="00642025" w:rsidRDefault="00642025" w:rsidP="007E49CE">
      <w:pPr>
        <w:spacing w:after="0" w:line="240" w:lineRule="auto"/>
      </w:pPr>
      <w:r>
        <w:separator/>
      </w:r>
    </w:p>
  </w:endnote>
  <w:endnote w:type="continuationSeparator" w:id="0">
    <w:p w14:paraId="416920F3" w14:textId="77777777" w:rsidR="00642025" w:rsidRDefault="00642025" w:rsidP="007E4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8145674"/>
      <w:docPartObj>
        <w:docPartGallery w:val="Page Numbers (Bottom of Page)"/>
        <w:docPartUnique/>
      </w:docPartObj>
    </w:sdtPr>
    <w:sdtEndPr>
      <w:rPr>
        <w:noProof/>
      </w:rPr>
    </w:sdtEndPr>
    <w:sdtContent>
      <w:p w14:paraId="158DA058" w14:textId="42071737" w:rsidR="00E32A6A" w:rsidRDefault="003B3CCD">
        <w:pPr>
          <w:pStyle w:val="Footer"/>
          <w:jc w:val="right"/>
        </w:pPr>
        <w:r>
          <w:t>C</w:t>
        </w:r>
        <w:r w:rsidR="00AC665C">
          <w:t>-</w:t>
        </w:r>
        <w:r w:rsidR="00E32A6A">
          <w:fldChar w:fldCharType="begin"/>
        </w:r>
        <w:r w:rsidR="00E32A6A">
          <w:instrText xml:space="preserve"> PAGE   \* MERGEFORMAT </w:instrText>
        </w:r>
        <w:r w:rsidR="00E32A6A">
          <w:fldChar w:fldCharType="separate"/>
        </w:r>
        <w:r w:rsidR="00E32A6A">
          <w:rPr>
            <w:noProof/>
          </w:rPr>
          <w:t>2</w:t>
        </w:r>
        <w:r w:rsidR="00E32A6A">
          <w:rPr>
            <w:noProof/>
          </w:rPr>
          <w:fldChar w:fldCharType="end"/>
        </w:r>
      </w:p>
    </w:sdtContent>
  </w:sdt>
  <w:p w14:paraId="4EA21129" w14:textId="77777777" w:rsidR="00E32A6A" w:rsidRDefault="00E32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61AC5" w14:textId="77777777" w:rsidR="00642025" w:rsidRDefault="00642025" w:rsidP="007E49CE">
      <w:pPr>
        <w:spacing w:after="0" w:line="240" w:lineRule="auto"/>
      </w:pPr>
      <w:r>
        <w:separator/>
      </w:r>
    </w:p>
  </w:footnote>
  <w:footnote w:type="continuationSeparator" w:id="0">
    <w:p w14:paraId="0340BB51" w14:textId="77777777" w:rsidR="00642025" w:rsidRDefault="00642025" w:rsidP="007E4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71D6A"/>
    <w:multiLevelType w:val="hybridMultilevel"/>
    <w:tmpl w:val="24425B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58B77DB"/>
    <w:multiLevelType w:val="hybridMultilevel"/>
    <w:tmpl w:val="99087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B28EF"/>
    <w:multiLevelType w:val="hybridMultilevel"/>
    <w:tmpl w:val="4B0A1D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ABF5D51"/>
    <w:multiLevelType w:val="hybridMultilevel"/>
    <w:tmpl w:val="442A8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8D4BDA"/>
    <w:multiLevelType w:val="hybridMultilevel"/>
    <w:tmpl w:val="6F9894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2F1FBC"/>
    <w:multiLevelType w:val="hybridMultilevel"/>
    <w:tmpl w:val="442A8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F4"/>
    <w:rsid w:val="00043A81"/>
    <w:rsid w:val="00187D12"/>
    <w:rsid w:val="00235E78"/>
    <w:rsid w:val="002370C2"/>
    <w:rsid w:val="0026057C"/>
    <w:rsid w:val="003B3CCD"/>
    <w:rsid w:val="004907F4"/>
    <w:rsid w:val="004F6C71"/>
    <w:rsid w:val="005D4521"/>
    <w:rsid w:val="00632356"/>
    <w:rsid w:val="00636830"/>
    <w:rsid w:val="00642025"/>
    <w:rsid w:val="007E49CE"/>
    <w:rsid w:val="008C61DB"/>
    <w:rsid w:val="009867F4"/>
    <w:rsid w:val="00A34A32"/>
    <w:rsid w:val="00AC645F"/>
    <w:rsid w:val="00AC665C"/>
    <w:rsid w:val="00C52C51"/>
    <w:rsid w:val="00E32A6A"/>
    <w:rsid w:val="00E33589"/>
    <w:rsid w:val="00FA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8616"/>
  <w15:chartTrackingRefBased/>
  <w15:docId w15:val="{E5594AAD-AB07-4393-8846-92E4AA93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C71"/>
  </w:style>
  <w:style w:type="paragraph" w:styleId="Heading2">
    <w:name w:val="heading 2"/>
    <w:basedOn w:val="Normal"/>
    <w:next w:val="Normal"/>
    <w:link w:val="Heading2Char"/>
    <w:qFormat/>
    <w:rsid w:val="009867F4"/>
    <w:pPr>
      <w:keepNext/>
      <w:spacing w:before="240" w:after="60" w:line="240" w:lineRule="auto"/>
      <w:outlineLvl w:val="1"/>
    </w:pPr>
    <w:rPr>
      <w:rFonts w:ascii="Arial" w:eastAsia="Times New Roman" w:hAnsi="Arial"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07F4"/>
    <w:pPr>
      <w:spacing w:after="0" w:line="240" w:lineRule="auto"/>
    </w:pPr>
    <w:rPr>
      <w:rFonts w:ascii="Times New Roman" w:hAnsi="Times New Roman" w:cs="Calibri"/>
      <w:sz w:val="24"/>
      <w:lang w:val="pt-BR"/>
    </w:rPr>
  </w:style>
  <w:style w:type="character" w:customStyle="1" w:styleId="NoSpacingChar">
    <w:name w:val="No Spacing Char"/>
    <w:basedOn w:val="DefaultParagraphFont"/>
    <w:link w:val="NoSpacing"/>
    <w:uiPriority w:val="1"/>
    <w:rsid w:val="004907F4"/>
    <w:rPr>
      <w:rFonts w:ascii="Times New Roman" w:hAnsi="Times New Roman" w:cs="Calibri"/>
      <w:sz w:val="24"/>
      <w:lang w:val="pt-BR"/>
    </w:rPr>
  </w:style>
  <w:style w:type="character" w:styleId="Hyperlink">
    <w:name w:val="Hyperlink"/>
    <w:basedOn w:val="DefaultParagraphFont"/>
    <w:uiPriority w:val="99"/>
    <w:unhideWhenUsed/>
    <w:rsid w:val="008C61DB"/>
    <w:rPr>
      <w:color w:val="0563C1" w:themeColor="hyperlink"/>
      <w:u w:val="single"/>
    </w:rPr>
  </w:style>
  <w:style w:type="character" w:customStyle="1" w:styleId="Heading2Char">
    <w:name w:val="Heading 2 Char"/>
    <w:basedOn w:val="DefaultParagraphFont"/>
    <w:link w:val="Heading2"/>
    <w:rsid w:val="009867F4"/>
    <w:rPr>
      <w:rFonts w:ascii="Arial" w:eastAsia="Times New Roman" w:hAnsi="Arial" w:cs="Times New Roman"/>
      <w:b/>
      <w:bCs/>
      <w:i/>
      <w:iCs/>
      <w:sz w:val="28"/>
      <w:szCs w:val="28"/>
    </w:rPr>
  </w:style>
  <w:style w:type="paragraph" w:styleId="Header">
    <w:name w:val="header"/>
    <w:basedOn w:val="Normal"/>
    <w:link w:val="HeaderChar"/>
    <w:uiPriority w:val="99"/>
    <w:unhideWhenUsed/>
    <w:rsid w:val="007E4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9CE"/>
  </w:style>
  <w:style w:type="paragraph" w:styleId="Footer">
    <w:name w:val="footer"/>
    <w:basedOn w:val="Normal"/>
    <w:link w:val="FooterChar"/>
    <w:uiPriority w:val="99"/>
    <w:unhideWhenUsed/>
    <w:rsid w:val="007E4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9CE"/>
  </w:style>
  <w:style w:type="table" w:styleId="TableGrid">
    <w:name w:val="Table Grid"/>
    <w:basedOn w:val="TableNormal"/>
    <w:uiPriority w:val="39"/>
    <w:rsid w:val="00636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6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17301">
      <w:bodyDiv w:val="1"/>
      <w:marLeft w:val="0"/>
      <w:marRight w:val="0"/>
      <w:marTop w:val="0"/>
      <w:marBottom w:val="0"/>
      <w:divBdr>
        <w:top w:val="none" w:sz="0" w:space="0" w:color="auto"/>
        <w:left w:val="none" w:sz="0" w:space="0" w:color="auto"/>
        <w:bottom w:val="none" w:sz="0" w:space="0" w:color="auto"/>
        <w:right w:val="none" w:sz="0" w:space="0" w:color="auto"/>
      </w:divBdr>
    </w:div>
    <w:div w:id="1464154118">
      <w:bodyDiv w:val="1"/>
      <w:marLeft w:val="0"/>
      <w:marRight w:val="0"/>
      <w:marTop w:val="0"/>
      <w:marBottom w:val="0"/>
      <w:divBdr>
        <w:top w:val="none" w:sz="0" w:space="0" w:color="auto"/>
        <w:left w:val="none" w:sz="0" w:space="0" w:color="auto"/>
        <w:bottom w:val="none" w:sz="0" w:space="0" w:color="auto"/>
        <w:right w:val="none" w:sz="0" w:space="0" w:color="auto"/>
      </w:divBdr>
    </w:div>
    <w:div w:id="211119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F0AE0-DAD1-460D-9DA5-6D960BF4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Jessup, Benjamin</cp:lastModifiedBy>
  <cp:revision>13</cp:revision>
  <dcterms:created xsi:type="dcterms:W3CDTF">2021-02-03T03:36:00Z</dcterms:created>
  <dcterms:modified xsi:type="dcterms:W3CDTF">2021-03-29T14:18:00Z</dcterms:modified>
</cp:coreProperties>
</file>