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B42" w14:textId="70C6524A" w:rsidR="00676884" w:rsidRDefault="00C72D80" w:rsidP="00F44EB6">
      <w:pPr>
        <w:pStyle w:val="Heading1"/>
      </w:pPr>
      <w:r>
        <w:t>Appendix B. Initial Site Classification</w:t>
      </w:r>
    </w:p>
    <w:p w14:paraId="034FD0AE" w14:textId="280556FD" w:rsidR="00C72D80" w:rsidRDefault="00C72D80"/>
    <w:p w14:paraId="6FE6EF17" w14:textId="135D0F76" w:rsidR="00C72D80" w:rsidRDefault="00C72D80" w:rsidP="00F44EB6">
      <w:pPr>
        <w:pStyle w:val="Heading2"/>
      </w:pPr>
      <w:r>
        <w:t>Introduction</w:t>
      </w:r>
    </w:p>
    <w:p w14:paraId="20B52A7E" w14:textId="190B848F" w:rsidR="00C72D80" w:rsidRPr="00C72D80" w:rsidRDefault="00C72D80" w:rsidP="006237D8">
      <w:r>
        <w:t xml:space="preserve">An initial site classification to identify discrete site types that distinguished variability in the reference diatom samples was attempted using taxa ordination, </w:t>
      </w:r>
      <w:r w:rsidR="00F44EB6">
        <w:t>cluster analysis</w:t>
      </w:r>
      <w:r>
        <w:t xml:space="preserve">, and </w:t>
      </w:r>
      <w:r w:rsidR="00F44EB6">
        <w:t>classification and regression tree (CART)</w:t>
      </w:r>
      <w:r w:rsidRPr="00C72D80">
        <w:t xml:space="preserve"> analysis</w:t>
      </w:r>
      <w:r w:rsidR="00F44EB6">
        <w:t xml:space="preserve">. </w:t>
      </w:r>
    </w:p>
    <w:p w14:paraId="790D81E6" w14:textId="1E1386FD" w:rsidR="00C72D80" w:rsidRPr="00C72D80" w:rsidRDefault="00C72D80" w:rsidP="00C72D80">
      <w:pPr>
        <w:tabs>
          <w:tab w:val="num" w:pos="1440"/>
        </w:tabs>
      </w:pPr>
      <w:r w:rsidRPr="00C72D80">
        <w:t>152 reference sites</w:t>
      </w:r>
      <w:r>
        <w:t xml:space="preserve"> were identified and included in the analysis. </w:t>
      </w:r>
      <w:r w:rsidRPr="00C72D80">
        <w:t>One sample per site</w:t>
      </w:r>
      <w:r>
        <w:t xml:space="preserve"> was used in the analyses. N</w:t>
      </w:r>
      <w:r w:rsidRPr="00C72D80">
        <w:t>o dup</w:t>
      </w:r>
      <w:r>
        <w:t>licate or</w:t>
      </w:r>
      <w:r w:rsidRPr="00C72D80">
        <w:t xml:space="preserve"> re-visit</w:t>
      </w:r>
      <w:r>
        <w:t xml:space="preserve"> samples were used. </w:t>
      </w:r>
    </w:p>
    <w:p w14:paraId="0249E018" w14:textId="6E6E7541" w:rsidR="00C72D80" w:rsidRDefault="00C72D80" w:rsidP="006869BD">
      <w:pPr>
        <w:tabs>
          <w:tab w:val="num" w:pos="1440"/>
          <w:tab w:val="num" w:pos="2160"/>
        </w:tabs>
      </w:pPr>
      <w:r>
        <w:t>Operational Taxonomic Units (OTU) were</w:t>
      </w:r>
      <w:r w:rsidRPr="00C72D80">
        <w:t xml:space="preserve"> established to identify common unique taxa</w:t>
      </w:r>
      <w:r>
        <w:t xml:space="preserve"> that would be appropriately compared among samples. </w:t>
      </w:r>
      <w:r w:rsidR="006869BD">
        <w:t xml:space="preserve">Of the </w:t>
      </w:r>
      <w:r w:rsidRPr="00C72D80">
        <w:t xml:space="preserve">637 taxa </w:t>
      </w:r>
      <w:r w:rsidR="006869BD">
        <w:t xml:space="preserve">identified </w:t>
      </w:r>
      <w:r w:rsidRPr="00C72D80">
        <w:t xml:space="preserve">in </w:t>
      </w:r>
      <w:r w:rsidR="006869BD">
        <w:t xml:space="preserve">the </w:t>
      </w:r>
      <w:r w:rsidRPr="00C72D80">
        <w:t xml:space="preserve">reference </w:t>
      </w:r>
      <w:r w:rsidR="006869BD">
        <w:t xml:space="preserve">samples, </w:t>
      </w:r>
      <w:r w:rsidRPr="00C72D80">
        <w:t xml:space="preserve">199 OTUs </w:t>
      </w:r>
      <w:r w:rsidR="006869BD">
        <w:t xml:space="preserve">were established. Taxa were either lumped into </w:t>
      </w:r>
      <w:r w:rsidR="006869BD">
        <w:t xml:space="preserve">these OTUs </w:t>
      </w:r>
      <w:r w:rsidR="006869BD">
        <w:t xml:space="preserve">or eliminated from the </w:t>
      </w:r>
      <w:r w:rsidRPr="00C72D80">
        <w:t>reference site classification</w:t>
      </w:r>
      <w:r w:rsidR="006869BD">
        <w:t xml:space="preserve"> analysis. </w:t>
      </w:r>
      <w:r w:rsidRPr="00C72D80">
        <w:t xml:space="preserve">OTUs are </w:t>
      </w:r>
      <w:r w:rsidR="006869BD">
        <w:t>established to minimize</w:t>
      </w:r>
      <w:r w:rsidRPr="00C72D80">
        <w:t xml:space="preserve"> loss of data</w:t>
      </w:r>
      <w:r w:rsidR="006869BD">
        <w:t xml:space="preserve">. Species-level identifications were maintained as OTUs </w:t>
      </w:r>
      <w:r w:rsidRPr="00C72D80">
        <w:t xml:space="preserve">if most </w:t>
      </w:r>
      <w:r w:rsidR="006869BD">
        <w:t xml:space="preserve">species </w:t>
      </w:r>
      <w:r w:rsidRPr="00C72D80">
        <w:t xml:space="preserve">in the genus </w:t>
      </w:r>
      <w:r w:rsidR="006869BD">
        <w:t>we</w:t>
      </w:r>
      <w:r w:rsidRPr="00C72D80">
        <w:t>re common (≥5 occurrences)</w:t>
      </w:r>
      <w:r w:rsidR="006869BD">
        <w:t>. Species were l</w:t>
      </w:r>
      <w:r w:rsidRPr="00C72D80">
        <w:t>ump</w:t>
      </w:r>
      <w:r w:rsidR="006869BD">
        <w:t>ed</w:t>
      </w:r>
      <w:r w:rsidRPr="00C72D80">
        <w:t xml:space="preserve"> to genus if most species </w:t>
      </w:r>
      <w:r w:rsidR="006869BD">
        <w:t>we</w:t>
      </w:r>
      <w:r w:rsidRPr="00C72D80">
        <w:t>re uncommon (&lt;5 occurrences)</w:t>
      </w:r>
      <w:r w:rsidR="006869BD">
        <w:t xml:space="preserve">. </w:t>
      </w:r>
    </w:p>
    <w:p w14:paraId="7C8E57A8" w14:textId="3EB908C5" w:rsidR="001C79AB" w:rsidRPr="001C79AB" w:rsidRDefault="00ED4E98" w:rsidP="00ED4E98">
      <w:pPr>
        <w:tabs>
          <w:tab w:val="num" w:pos="1440"/>
          <w:tab w:val="num" w:pos="2160"/>
        </w:tabs>
      </w:pPr>
      <w:r>
        <w:t xml:space="preserve">Natural environmental variables that were tested for associations with ordination axes, cluster analysis, and CART included those related to geology, location, climate, hydrology, and sample date. They included the following, among others: </w:t>
      </w:r>
      <w:r w:rsidRPr="001C79AB">
        <w:t>ecoregion / basin</w:t>
      </w:r>
      <w:r>
        <w:t xml:space="preserve">, </w:t>
      </w:r>
      <w:r w:rsidRPr="001C79AB">
        <w:t>latitude / longitude</w:t>
      </w:r>
      <w:r>
        <w:t xml:space="preserve">, </w:t>
      </w:r>
      <w:r w:rsidRPr="001C79AB">
        <w:t>slope</w:t>
      </w:r>
      <w:r>
        <w:t xml:space="preserve">, </w:t>
      </w:r>
      <w:r w:rsidRPr="001C79AB">
        <w:t>stream size</w:t>
      </w:r>
      <w:r>
        <w:t xml:space="preserve">, </w:t>
      </w:r>
      <w:r w:rsidRPr="001C79AB">
        <w:t>temperature / precipitation</w:t>
      </w:r>
      <w:r>
        <w:t xml:space="preserve">, </w:t>
      </w:r>
      <w:r w:rsidRPr="001C79AB">
        <w:t>background lithology</w:t>
      </w:r>
      <w:r>
        <w:t xml:space="preserve">, </w:t>
      </w:r>
      <w:r w:rsidRPr="001C79AB">
        <w:t>lithologic chemistry</w:t>
      </w:r>
      <w:r>
        <w:t xml:space="preserve">, and </w:t>
      </w:r>
      <w:r w:rsidRPr="001C79AB">
        <w:t>sampling month</w:t>
      </w:r>
      <w:r>
        <w:t xml:space="preserve">. </w:t>
      </w:r>
    </w:p>
    <w:p w14:paraId="24488573" w14:textId="77777777" w:rsidR="00C72D80" w:rsidRDefault="00C72D80"/>
    <w:p w14:paraId="245E374F" w14:textId="49C4F71A" w:rsidR="00C72D80" w:rsidRDefault="00C72D80" w:rsidP="00F44EB6">
      <w:pPr>
        <w:pStyle w:val="Heading2"/>
      </w:pPr>
      <w:r>
        <w:t>Results</w:t>
      </w:r>
    </w:p>
    <w:p w14:paraId="65EB01F5" w14:textId="68CFDDDA" w:rsidR="00C72D80" w:rsidRDefault="006237D8">
      <w:r>
        <w:t xml:space="preserve">The NMS ordination diagram was explored to discover patterns in the arrangement of samples, attempting to associate natural environmental variables with the first three axes of the ordination. </w:t>
      </w:r>
      <w:r w:rsidR="00D970CC">
        <w:t xml:space="preserve">The diagram suggested some patterns with ecoregions, but there was considerable overlap in the sample taxa space (Figure B-1). </w:t>
      </w:r>
    </w:p>
    <w:p w14:paraId="14D96B44" w14:textId="77777777" w:rsidR="00D970CC" w:rsidRDefault="00D970CC" w:rsidP="00D970CC">
      <w:pPr>
        <w:keepNext/>
      </w:pPr>
      <w:r w:rsidRPr="00D970CC">
        <w:lastRenderedPageBreak/>
        <w:drawing>
          <wp:inline distT="0" distB="0" distL="0" distR="0" wp14:anchorId="169C03B8" wp14:editId="33D3727C">
            <wp:extent cx="5943600" cy="3709670"/>
            <wp:effectExtent l="0" t="0" r="0" b="5080"/>
            <wp:docPr id="4" name="Content Placeholder 3">
              <a:extLst xmlns:a="http://schemas.openxmlformats.org/drawingml/2006/main">
                <a:ext uri="{FF2B5EF4-FFF2-40B4-BE49-F238E27FC236}">
                  <a16:creationId xmlns:a16="http://schemas.microsoft.com/office/drawing/2014/main" id="{EC3CD747-ECE7-4BC0-9273-BB4C6552388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C3CD747-ECE7-4BC0-9273-BB4C65523887}"/>
                        </a:ext>
                      </a:extLst>
                    </pic:cNvPr>
                    <pic:cNvPicPr>
                      <a:picLocks noGrp="1" noChangeAspect="1"/>
                    </pic:cNvPicPr>
                  </pic:nvPicPr>
                  <pic:blipFill>
                    <a:blip r:embed="rId5"/>
                    <a:stretch>
                      <a:fillRect/>
                    </a:stretch>
                  </pic:blipFill>
                  <pic:spPr>
                    <a:xfrm>
                      <a:off x="0" y="0"/>
                      <a:ext cx="5943600" cy="3709670"/>
                    </a:xfrm>
                    <a:prstGeom prst="rect">
                      <a:avLst/>
                    </a:prstGeom>
                  </pic:spPr>
                </pic:pic>
              </a:graphicData>
            </a:graphic>
          </wp:inline>
        </w:drawing>
      </w:r>
    </w:p>
    <w:p w14:paraId="097EEA36" w14:textId="30433290" w:rsidR="00D970CC" w:rsidRDefault="00D970CC" w:rsidP="00D970CC">
      <w:pPr>
        <w:pStyle w:val="Caption"/>
      </w:pPr>
      <w:r w:rsidRPr="00862A22">
        <w:rPr>
          <w:sz w:val="22"/>
          <w:szCs w:val="22"/>
        </w:rPr>
        <w:t>Figure B-</w:t>
      </w:r>
      <w:r w:rsidRPr="00862A22">
        <w:rPr>
          <w:sz w:val="22"/>
          <w:szCs w:val="22"/>
        </w:rPr>
        <w:fldChar w:fldCharType="begin"/>
      </w:r>
      <w:r w:rsidRPr="00862A22">
        <w:rPr>
          <w:sz w:val="22"/>
          <w:szCs w:val="22"/>
        </w:rPr>
        <w:instrText xml:space="preserve"> SEQ Figure \* ARABIC </w:instrText>
      </w:r>
      <w:r w:rsidRPr="00862A22">
        <w:rPr>
          <w:sz w:val="22"/>
          <w:szCs w:val="22"/>
        </w:rPr>
        <w:fldChar w:fldCharType="separate"/>
      </w:r>
      <w:r w:rsidR="000B0D37">
        <w:rPr>
          <w:noProof/>
          <w:sz w:val="22"/>
          <w:szCs w:val="22"/>
        </w:rPr>
        <w:t>1</w:t>
      </w:r>
      <w:r w:rsidRPr="00862A22">
        <w:rPr>
          <w:sz w:val="22"/>
          <w:szCs w:val="22"/>
        </w:rPr>
        <w:fldChar w:fldCharType="end"/>
      </w:r>
      <w:r w:rsidRPr="00862A22">
        <w:rPr>
          <w:sz w:val="22"/>
          <w:szCs w:val="22"/>
        </w:rPr>
        <w:t>. NMS ordination of taxa presence in 152 reference samples with level 4 ecoregions identified per sample.</w:t>
      </w:r>
      <w:r>
        <w:t xml:space="preserve"> </w:t>
      </w:r>
    </w:p>
    <w:p w14:paraId="6F2C4712" w14:textId="77777777" w:rsidR="00A41CD5" w:rsidRDefault="00A41CD5" w:rsidP="00862A22"/>
    <w:p w14:paraId="00DAF440" w14:textId="37E5EDAD" w:rsidR="00862A22" w:rsidRDefault="00AC3038" w:rsidP="00862A22">
      <w:r>
        <w:t xml:space="preserve">Cluster analysis suggested </w:t>
      </w:r>
      <w:r w:rsidR="00A41CD5">
        <w:t>4</w:t>
      </w:r>
      <w:r>
        <w:t xml:space="preserve"> groups of similar taxonomic composition among samples. </w:t>
      </w:r>
      <w:r w:rsidR="00A41CD5">
        <w:t xml:space="preserve">These were associated with predicted background conductivity, baseflow index (BFI), maximum air temperature, watershed area, and </w:t>
      </w:r>
      <w:r w:rsidR="0075342C">
        <w:t xml:space="preserve">latitude (which was also interpreted as </w:t>
      </w:r>
      <w:r w:rsidR="00A41CD5">
        <w:t>ecoregion</w:t>
      </w:r>
      <w:r w:rsidR="0075342C">
        <w:t>)</w:t>
      </w:r>
      <w:r w:rsidR="003C699F">
        <w:t xml:space="preserve"> (Figure B-2, Table B-1). CART analysis was used to identify thresholds for identifying the groups</w:t>
      </w:r>
      <w:r w:rsidR="0075342C">
        <w:t xml:space="preserve"> (Figure B-3)</w:t>
      </w:r>
      <w:r w:rsidR="003C699F">
        <w:t xml:space="preserve">. </w:t>
      </w:r>
    </w:p>
    <w:p w14:paraId="19DB5BBC" w14:textId="6F26C806" w:rsidR="006237D8" w:rsidRDefault="00C953DE" w:rsidP="00C953DE">
      <w:r>
        <w:t xml:space="preserve">Groups </w:t>
      </w:r>
      <w:r w:rsidR="006237D8" w:rsidRPr="006237D8">
        <w:t>2 and 14</w:t>
      </w:r>
      <w:r>
        <w:t xml:space="preserve"> were found to be </w:t>
      </w:r>
      <w:proofErr w:type="gramStart"/>
      <w:r>
        <w:t>similar to</w:t>
      </w:r>
      <w:proofErr w:type="gramEnd"/>
      <w:r>
        <w:t xml:space="preserve"> each other based on sample o</w:t>
      </w:r>
      <w:r w:rsidR="006237D8" w:rsidRPr="006237D8">
        <w:t xml:space="preserve">verlap in taxa and metric ordinations, similar reference </w:t>
      </w:r>
      <w:r>
        <w:t xml:space="preserve">metric </w:t>
      </w:r>
      <w:r w:rsidR="006237D8" w:rsidRPr="006237D8">
        <w:t xml:space="preserve">box plots, </w:t>
      </w:r>
      <w:r>
        <w:t xml:space="preserve">and </w:t>
      </w:r>
      <w:r w:rsidR="006237D8" w:rsidRPr="006237D8">
        <w:t>sensitive metrics with similar distributions</w:t>
      </w:r>
      <w:r>
        <w:t xml:space="preserve">. In addition, there were </w:t>
      </w:r>
      <w:r w:rsidR="006237D8" w:rsidRPr="006237D8">
        <w:t xml:space="preserve">few (3) stressed sites in </w:t>
      </w:r>
      <w:r>
        <w:t>group</w:t>
      </w:r>
      <w:r w:rsidR="006237D8" w:rsidRPr="006237D8">
        <w:t xml:space="preserve"> 2,</w:t>
      </w:r>
      <w:r>
        <w:t xml:space="preserve"> which would make index development in that group </w:t>
      </w:r>
      <w:r w:rsidR="00F56BE5">
        <w:t xml:space="preserve">uncertain. Therefore, the two groups were tentatively combined. </w:t>
      </w:r>
    </w:p>
    <w:p w14:paraId="3DD482D8" w14:textId="1408C679" w:rsidR="006237D8" w:rsidRDefault="00F56BE5" w:rsidP="00C953DE">
      <w:r>
        <w:t xml:space="preserve">The three resulting groups were considered as </w:t>
      </w:r>
      <w:r w:rsidR="00FE779E">
        <w:t>initial</w:t>
      </w:r>
      <w:r>
        <w:t xml:space="preserve"> classes. </w:t>
      </w:r>
      <w:r w:rsidR="00FE779E">
        <w:t xml:space="preserve">After associating the groups with </w:t>
      </w:r>
      <w:r w:rsidR="00742433">
        <w:t>location and elevation they</w:t>
      </w:r>
      <w:r>
        <w:t xml:space="preserve"> were renamed to simplify communication</w:t>
      </w:r>
      <w:r w:rsidR="008E1BD0">
        <w:t xml:space="preserve"> (Table B-2)</w:t>
      </w:r>
      <w:r>
        <w:t xml:space="preserve">. </w:t>
      </w:r>
      <w:r w:rsidR="00FE779E">
        <w:t xml:space="preserve">The diatom index was </w:t>
      </w:r>
      <w:r w:rsidR="00FE779E">
        <w:t xml:space="preserve">not ultimately </w:t>
      </w:r>
      <w:r w:rsidR="00FE779E">
        <w:t xml:space="preserve">calibrated to these initial classes, but they were used to inform metric selection and for interpretation of the final index. </w:t>
      </w:r>
    </w:p>
    <w:p w14:paraId="0ADBCDEF" w14:textId="77777777" w:rsidR="0075342C" w:rsidRPr="00862A22" w:rsidRDefault="0075342C" w:rsidP="00862A22"/>
    <w:p w14:paraId="7FD20A5E" w14:textId="77777777" w:rsidR="003C699F" w:rsidRDefault="00A41CD5" w:rsidP="003C699F">
      <w:pPr>
        <w:keepNext/>
      </w:pPr>
      <w:r>
        <w:rPr>
          <w:noProof/>
        </w:rPr>
        <w:lastRenderedPageBreak/>
        <w:drawing>
          <wp:inline distT="0" distB="0" distL="0" distR="0" wp14:anchorId="491B63D0" wp14:editId="16D533EF">
            <wp:extent cx="5981065" cy="2600610"/>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1116" cy="2613676"/>
                    </a:xfrm>
                    <a:prstGeom prst="rect">
                      <a:avLst/>
                    </a:prstGeom>
                    <a:noFill/>
                  </pic:spPr>
                </pic:pic>
              </a:graphicData>
            </a:graphic>
          </wp:inline>
        </w:drawing>
      </w:r>
    </w:p>
    <w:p w14:paraId="1E086F89" w14:textId="6018FA13" w:rsidR="00C72D80" w:rsidRPr="003C699F" w:rsidRDefault="003C699F" w:rsidP="003C699F">
      <w:pPr>
        <w:pStyle w:val="Caption"/>
        <w:rPr>
          <w:sz w:val="22"/>
          <w:szCs w:val="22"/>
        </w:rPr>
      </w:pPr>
      <w:r w:rsidRPr="003C699F">
        <w:rPr>
          <w:sz w:val="22"/>
          <w:szCs w:val="22"/>
        </w:rPr>
        <w:t xml:space="preserve">Figure </w:t>
      </w:r>
      <w:r w:rsidRPr="003C699F">
        <w:rPr>
          <w:sz w:val="22"/>
          <w:szCs w:val="22"/>
        </w:rPr>
        <w:fldChar w:fldCharType="begin"/>
      </w:r>
      <w:r w:rsidRPr="003C699F">
        <w:rPr>
          <w:sz w:val="22"/>
          <w:szCs w:val="22"/>
        </w:rPr>
        <w:instrText xml:space="preserve"> SEQ Figure \* ARABIC </w:instrText>
      </w:r>
      <w:r w:rsidRPr="003C699F">
        <w:rPr>
          <w:sz w:val="22"/>
          <w:szCs w:val="22"/>
        </w:rPr>
        <w:fldChar w:fldCharType="separate"/>
      </w:r>
      <w:r w:rsidR="000B0D37">
        <w:rPr>
          <w:noProof/>
          <w:sz w:val="22"/>
          <w:szCs w:val="22"/>
        </w:rPr>
        <w:t>2</w:t>
      </w:r>
      <w:r w:rsidRPr="003C699F">
        <w:rPr>
          <w:sz w:val="22"/>
          <w:szCs w:val="22"/>
        </w:rPr>
        <w:fldChar w:fldCharType="end"/>
      </w:r>
      <w:r w:rsidRPr="003C699F">
        <w:rPr>
          <w:sz w:val="22"/>
          <w:szCs w:val="22"/>
        </w:rPr>
        <w:t>. Cluster diagram of taxa similarity among samples, showing distinction of 4 groups.</w:t>
      </w:r>
    </w:p>
    <w:p w14:paraId="2A68A086" w14:textId="13DC403D" w:rsidR="006237D8" w:rsidRDefault="006237D8"/>
    <w:p w14:paraId="51EEC604" w14:textId="493B93B6" w:rsidR="0075342C" w:rsidRPr="0075342C" w:rsidRDefault="0075342C" w:rsidP="0075342C">
      <w:pPr>
        <w:pStyle w:val="Caption"/>
        <w:keepNext/>
        <w:rPr>
          <w:sz w:val="22"/>
          <w:szCs w:val="22"/>
        </w:rPr>
      </w:pPr>
      <w:r w:rsidRPr="0075342C">
        <w:rPr>
          <w:sz w:val="22"/>
          <w:szCs w:val="22"/>
        </w:rPr>
        <w:t>Table</w:t>
      </w:r>
      <w:r>
        <w:rPr>
          <w:sz w:val="22"/>
          <w:szCs w:val="22"/>
        </w:rPr>
        <w:t xml:space="preserve"> B-</w:t>
      </w:r>
      <w:r w:rsidRPr="0075342C">
        <w:rPr>
          <w:sz w:val="22"/>
          <w:szCs w:val="22"/>
        </w:rPr>
        <w:fldChar w:fldCharType="begin"/>
      </w:r>
      <w:r w:rsidRPr="0075342C">
        <w:rPr>
          <w:sz w:val="22"/>
          <w:szCs w:val="22"/>
        </w:rPr>
        <w:instrText xml:space="preserve"> SEQ Table \* ARABIC </w:instrText>
      </w:r>
      <w:r w:rsidRPr="0075342C">
        <w:rPr>
          <w:sz w:val="22"/>
          <w:szCs w:val="22"/>
        </w:rPr>
        <w:fldChar w:fldCharType="separate"/>
      </w:r>
      <w:r w:rsidR="008E1BD0">
        <w:rPr>
          <w:noProof/>
          <w:sz w:val="22"/>
          <w:szCs w:val="22"/>
        </w:rPr>
        <w:t>2</w:t>
      </w:r>
      <w:r w:rsidRPr="0075342C">
        <w:rPr>
          <w:sz w:val="22"/>
          <w:szCs w:val="22"/>
        </w:rPr>
        <w:fldChar w:fldCharType="end"/>
      </w:r>
      <w:r w:rsidRPr="0075342C">
        <w:rPr>
          <w:sz w:val="22"/>
          <w:szCs w:val="22"/>
        </w:rPr>
        <w:t xml:space="preserve">. Groups of taxonomically similar samples identified through cluster analysis and distinguished using CART analysis. </w:t>
      </w:r>
    </w:p>
    <w:tbl>
      <w:tblPr>
        <w:tblStyle w:val="TableGrid"/>
        <w:tblW w:w="0" w:type="auto"/>
        <w:tblLook w:val="04A0" w:firstRow="1" w:lastRow="0" w:firstColumn="1" w:lastColumn="0" w:noHBand="0" w:noVBand="1"/>
      </w:tblPr>
      <w:tblGrid>
        <w:gridCol w:w="1795"/>
        <w:gridCol w:w="7555"/>
      </w:tblGrid>
      <w:tr w:rsidR="003C699F" w14:paraId="103D74E3" w14:textId="77777777" w:rsidTr="003C699F">
        <w:tc>
          <w:tcPr>
            <w:tcW w:w="1795" w:type="dxa"/>
          </w:tcPr>
          <w:p w14:paraId="359C3286" w14:textId="75C21526" w:rsidR="003C699F" w:rsidRDefault="003C699F">
            <w:r>
              <w:t>Group Identifier</w:t>
            </w:r>
          </w:p>
        </w:tc>
        <w:tc>
          <w:tcPr>
            <w:tcW w:w="7555" w:type="dxa"/>
          </w:tcPr>
          <w:p w14:paraId="444B1A51" w14:textId="20C7DE05" w:rsidR="003C699F" w:rsidRDefault="003C699F">
            <w:r>
              <w:t>Group Description</w:t>
            </w:r>
          </w:p>
        </w:tc>
      </w:tr>
      <w:tr w:rsidR="003C699F" w14:paraId="02B50724" w14:textId="77777777" w:rsidTr="003C699F">
        <w:tc>
          <w:tcPr>
            <w:tcW w:w="1795" w:type="dxa"/>
          </w:tcPr>
          <w:p w14:paraId="20B9EBAE" w14:textId="7DA2D706" w:rsidR="003C699F" w:rsidRDefault="003C699F">
            <w:r>
              <w:t>Group 2</w:t>
            </w:r>
          </w:p>
        </w:tc>
        <w:tc>
          <w:tcPr>
            <w:tcW w:w="7555" w:type="dxa"/>
          </w:tcPr>
          <w:p w14:paraId="17932311" w14:textId="41247F3E" w:rsidR="003C699F" w:rsidRDefault="006237D8">
            <w:r w:rsidRPr="006237D8">
              <w:t>(</w:t>
            </w:r>
            <w:proofErr w:type="spellStart"/>
            <w:r w:rsidRPr="006237D8">
              <w:t>PredCond</w:t>
            </w:r>
            <w:proofErr w:type="spellEnd"/>
            <w:r w:rsidRPr="006237D8">
              <w:t xml:space="preserve"> &lt; 142 and BFIWs &gt; 66) or (</w:t>
            </w:r>
            <w:proofErr w:type="spellStart"/>
            <w:r w:rsidRPr="006237D8">
              <w:t>PredCond</w:t>
            </w:r>
            <w:proofErr w:type="spellEnd"/>
            <w:r w:rsidRPr="006237D8">
              <w:t xml:space="preserve"> &gt; 142, </w:t>
            </w:r>
            <w:proofErr w:type="spellStart"/>
            <w:r w:rsidRPr="006237D8">
              <w:t>TmaxWs</w:t>
            </w:r>
            <w:proofErr w:type="spellEnd"/>
            <w:r w:rsidRPr="006237D8">
              <w:t xml:space="preserve"> &lt; 13, and </w:t>
            </w:r>
            <w:proofErr w:type="spellStart"/>
            <w:proofErr w:type="gramStart"/>
            <w:r w:rsidRPr="006237D8">
              <w:t>Wsarea</w:t>
            </w:r>
            <w:proofErr w:type="spellEnd"/>
            <w:r w:rsidRPr="006237D8">
              <w:t>[</w:t>
            </w:r>
            <w:proofErr w:type="spellStart"/>
            <w:proofErr w:type="gramEnd"/>
            <w:r w:rsidRPr="006237D8">
              <w:t>StreamCat</w:t>
            </w:r>
            <w:proofErr w:type="spellEnd"/>
            <w:r w:rsidRPr="006237D8">
              <w:t>] &lt; 73) or (</w:t>
            </w:r>
            <w:proofErr w:type="spellStart"/>
            <w:r w:rsidRPr="006237D8">
              <w:t>PredCond</w:t>
            </w:r>
            <w:proofErr w:type="spellEnd"/>
            <w:r w:rsidRPr="006237D8">
              <w:t xml:space="preserve"> &gt; 142, </w:t>
            </w:r>
            <w:proofErr w:type="spellStart"/>
            <w:r w:rsidRPr="006237D8">
              <w:t>TmaxWs</w:t>
            </w:r>
            <w:proofErr w:type="spellEnd"/>
            <w:r w:rsidRPr="006237D8">
              <w:t xml:space="preserve"> &lt; 13, </w:t>
            </w:r>
            <w:proofErr w:type="spellStart"/>
            <w:r w:rsidRPr="006237D8">
              <w:t>WSarea</w:t>
            </w:r>
            <w:proofErr w:type="spellEnd"/>
            <w:r w:rsidRPr="006237D8">
              <w:t>(</w:t>
            </w:r>
            <w:proofErr w:type="spellStart"/>
            <w:r w:rsidRPr="006237D8">
              <w:t>StreamCat</w:t>
            </w:r>
            <w:proofErr w:type="spellEnd"/>
            <w:r w:rsidRPr="006237D8">
              <w:t>) &gt; 73, and Ecoregion 17</w:t>
            </w:r>
          </w:p>
        </w:tc>
      </w:tr>
      <w:tr w:rsidR="003C699F" w14:paraId="39A28879" w14:textId="77777777" w:rsidTr="003C699F">
        <w:tc>
          <w:tcPr>
            <w:tcW w:w="1795" w:type="dxa"/>
          </w:tcPr>
          <w:p w14:paraId="75DF99E3" w14:textId="5E9AF695" w:rsidR="003C699F" w:rsidRDefault="0075342C">
            <w:r>
              <w:t>Group 3</w:t>
            </w:r>
          </w:p>
        </w:tc>
        <w:tc>
          <w:tcPr>
            <w:tcW w:w="7555" w:type="dxa"/>
          </w:tcPr>
          <w:p w14:paraId="1E1F80F2" w14:textId="2A8BF012" w:rsidR="003C699F" w:rsidRDefault="006237D8">
            <w:proofErr w:type="spellStart"/>
            <w:r w:rsidRPr="006237D8">
              <w:t>PredCond</w:t>
            </w:r>
            <w:proofErr w:type="spellEnd"/>
            <w:r w:rsidRPr="006237D8">
              <w:t xml:space="preserve"> &lt; 142 and BFIWs &lt; 66</w:t>
            </w:r>
          </w:p>
        </w:tc>
      </w:tr>
      <w:tr w:rsidR="003C699F" w14:paraId="6B031EC8" w14:textId="77777777" w:rsidTr="003C699F">
        <w:tc>
          <w:tcPr>
            <w:tcW w:w="1795" w:type="dxa"/>
          </w:tcPr>
          <w:p w14:paraId="2B5A6B84" w14:textId="035BAB7E" w:rsidR="003C699F" w:rsidRDefault="0075342C">
            <w:r>
              <w:t>Group 14</w:t>
            </w:r>
          </w:p>
        </w:tc>
        <w:tc>
          <w:tcPr>
            <w:tcW w:w="7555" w:type="dxa"/>
          </w:tcPr>
          <w:p w14:paraId="46DB6D76" w14:textId="27BBAA45" w:rsidR="003C699F" w:rsidRDefault="006237D8">
            <w:proofErr w:type="spellStart"/>
            <w:r w:rsidRPr="006237D8">
              <w:t>PredCond</w:t>
            </w:r>
            <w:proofErr w:type="spellEnd"/>
            <w:r w:rsidRPr="006237D8">
              <w:t xml:space="preserve"> &gt; 142, </w:t>
            </w:r>
            <w:proofErr w:type="spellStart"/>
            <w:r w:rsidRPr="006237D8">
              <w:t>TmaxWs</w:t>
            </w:r>
            <w:proofErr w:type="spellEnd"/>
            <w:r w:rsidRPr="006237D8">
              <w:t xml:space="preserve"> &lt; 13, </w:t>
            </w:r>
            <w:proofErr w:type="spellStart"/>
            <w:proofErr w:type="gramStart"/>
            <w:r w:rsidRPr="006237D8">
              <w:t>WSarea</w:t>
            </w:r>
            <w:proofErr w:type="spellEnd"/>
            <w:r w:rsidRPr="006237D8">
              <w:t>(</w:t>
            </w:r>
            <w:proofErr w:type="spellStart"/>
            <w:proofErr w:type="gramEnd"/>
            <w:r w:rsidRPr="006237D8">
              <w:t>StreamCat</w:t>
            </w:r>
            <w:proofErr w:type="spellEnd"/>
            <w:r w:rsidRPr="006237D8">
              <w:t>) &gt; 73, and not Ecoregion 17 (MR)</w:t>
            </w:r>
          </w:p>
        </w:tc>
      </w:tr>
      <w:tr w:rsidR="003C699F" w14:paraId="2323F42D" w14:textId="77777777" w:rsidTr="003C699F">
        <w:tc>
          <w:tcPr>
            <w:tcW w:w="1795" w:type="dxa"/>
          </w:tcPr>
          <w:p w14:paraId="71C0D377" w14:textId="64B93A5A" w:rsidR="003C699F" w:rsidRDefault="0075342C">
            <w:r>
              <w:t>Group 16</w:t>
            </w:r>
          </w:p>
        </w:tc>
        <w:tc>
          <w:tcPr>
            <w:tcW w:w="7555" w:type="dxa"/>
          </w:tcPr>
          <w:p w14:paraId="0D7D8354" w14:textId="4F9DDA7E" w:rsidR="003C699F" w:rsidRDefault="006237D8">
            <w:proofErr w:type="spellStart"/>
            <w:r w:rsidRPr="006237D8">
              <w:t>PredCond</w:t>
            </w:r>
            <w:proofErr w:type="spellEnd"/>
            <w:r w:rsidRPr="006237D8">
              <w:t xml:space="preserve"> &gt; 142 and </w:t>
            </w:r>
            <w:proofErr w:type="spellStart"/>
            <w:r w:rsidRPr="006237D8">
              <w:t>TmaxWs</w:t>
            </w:r>
            <w:proofErr w:type="spellEnd"/>
            <w:r w:rsidRPr="006237D8">
              <w:t xml:space="preserve"> &gt; 13</w:t>
            </w:r>
          </w:p>
        </w:tc>
      </w:tr>
    </w:tbl>
    <w:p w14:paraId="03992A39" w14:textId="77777777" w:rsidR="003C699F" w:rsidRDefault="003C699F"/>
    <w:p w14:paraId="324CE3DF" w14:textId="77777777" w:rsidR="000B0D37" w:rsidRDefault="000B0D37" w:rsidP="000B0D37">
      <w:pPr>
        <w:keepNext/>
      </w:pPr>
      <w:r>
        <w:rPr>
          <w:noProof/>
        </w:rPr>
        <w:lastRenderedPageBreak/>
        <w:drawing>
          <wp:inline distT="0" distB="0" distL="0" distR="0" wp14:anchorId="505E0434" wp14:editId="75A16C9C">
            <wp:extent cx="5916471" cy="466344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091" cy="4674964"/>
                    </a:xfrm>
                    <a:prstGeom prst="rect">
                      <a:avLst/>
                    </a:prstGeom>
                    <a:noFill/>
                  </pic:spPr>
                </pic:pic>
              </a:graphicData>
            </a:graphic>
          </wp:inline>
        </w:drawing>
      </w:r>
    </w:p>
    <w:p w14:paraId="40389DF3" w14:textId="08F0F9E7" w:rsidR="006237D8" w:rsidRPr="000B0D37" w:rsidRDefault="000B0D37" w:rsidP="000B0D37">
      <w:pPr>
        <w:pStyle w:val="Caption"/>
        <w:rPr>
          <w:sz w:val="22"/>
          <w:szCs w:val="22"/>
        </w:rPr>
      </w:pPr>
      <w:r w:rsidRPr="000B0D37">
        <w:rPr>
          <w:sz w:val="22"/>
          <w:szCs w:val="22"/>
        </w:rPr>
        <w:t>Figure</w:t>
      </w:r>
      <w:r w:rsidR="00F44EB6">
        <w:rPr>
          <w:sz w:val="22"/>
          <w:szCs w:val="22"/>
        </w:rPr>
        <w:t xml:space="preserve"> B-</w:t>
      </w:r>
      <w:r w:rsidRPr="000B0D37">
        <w:rPr>
          <w:sz w:val="22"/>
          <w:szCs w:val="22"/>
        </w:rPr>
        <w:fldChar w:fldCharType="begin"/>
      </w:r>
      <w:r w:rsidRPr="000B0D37">
        <w:rPr>
          <w:sz w:val="22"/>
          <w:szCs w:val="22"/>
        </w:rPr>
        <w:instrText xml:space="preserve"> SEQ Figure \* ARABIC </w:instrText>
      </w:r>
      <w:r w:rsidRPr="000B0D37">
        <w:rPr>
          <w:sz w:val="22"/>
          <w:szCs w:val="22"/>
        </w:rPr>
        <w:fldChar w:fldCharType="separate"/>
      </w:r>
      <w:r w:rsidRPr="000B0D37">
        <w:rPr>
          <w:noProof/>
          <w:sz w:val="22"/>
          <w:szCs w:val="22"/>
        </w:rPr>
        <w:t>3</w:t>
      </w:r>
      <w:r w:rsidRPr="000B0D37">
        <w:rPr>
          <w:sz w:val="22"/>
          <w:szCs w:val="22"/>
        </w:rPr>
        <w:fldChar w:fldCharType="end"/>
      </w:r>
      <w:r w:rsidRPr="000B0D37">
        <w:rPr>
          <w:sz w:val="22"/>
          <w:szCs w:val="22"/>
        </w:rPr>
        <w:t xml:space="preserve">. CART dendrogram for distinguishing among groups of the cluster analysis. </w:t>
      </w:r>
    </w:p>
    <w:p w14:paraId="48821280" w14:textId="77777777" w:rsidR="00451356" w:rsidRDefault="00451356" w:rsidP="008E1BD0">
      <w:pPr>
        <w:pStyle w:val="Caption"/>
        <w:keepNext/>
        <w:rPr>
          <w:sz w:val="22"/>
          <w:szCs w:val="22"/>
        </w:rPr>
      </w:pPr>
    </w:p>
    <w:p w14:paraId="5315C89C" w14:textId="76056860" w:rsidR="008E1BD0" w:rsidRPr="00FE779E" w:rsidRDefault="008E1BD0" w:rsidP="008E1BD0">
      <w:pPr>
        <w:pStyle w:val="Caption"/>
        <w:keepNext/>
        <w:rPr>
          <w:sz w:val="22"/>
          <w:szCs w:val="22"/>
        </w:rPr>
      </w:pPr>
      <w:r w:rsidRPr="00FE779E">
        <w:rPr>
          <w:sz w:val="22"/>
          <w:szCs w:val="22"/>
        </w:rPr>
        <w:t>Table</w:t>
      </w:r>
      <w:r w:rsidR="00FE779E" w:rsidRPr="00FE779E">
        <w:rPr>
          <w:sz w:val="22"/>
          <w:szCs w:val="22"/>
        </w:rPr>
        <w:t xml:space="preserve"> B-</w:t>
      </w:r>
      <w:r w:rsidRPr="00FE779E">
        <w:rPr>
          <w:sz w:val="22"/>
          <w:szCs w:val="22"/>
        </w:rPr>
        <w:fldChar w:fldCharType="begin"/>
      </w:r>
      <w:r w:rsidRPr="00FE779E">
        <w:rPr>
          <w:sz w:val="22"/>
          <w:szCs w:val="22"/>
        </w:rPr>
        <w:instrText xml:space="preserve"> SEQ Table \* ARABIC </w:instrText>
      </w:r>
      <w:r w:rsidRPr="00FE779E">
        <w:rPr>
          <w:sz w:val="22"/>
          <w:szCs w:val="22"/>
        </w:rPr>
        <w:fldChar w:fldCharType="separate"/>
      </w:r>
      <w:r w:rsidR="00FE779E" w:rsidRPr="00FE779E">
        <w:rPr>
          <w:noProof/>
          <w:sz w:val="22"/>
          <w:szCs w:val="22"/>
        </w:rPr>
        <w:t>2</w:t>
      </w:r>
      <w:r w:rsidRPr="00FE779E">
        <w:rPr>
          <w:sz w:val="22"/>
          <w:szCs w:val="22"/>
        </w:rPr>
        <w:fldChar w:fldCharType="end"/>
      </w:r>
      <w:r w:rsidR="00FE779E" w:rsidRPr="00FE779E">
        <w:rPr>
          <w:sz w:val="22"/>
          <w:szCs w:val="22"/>
        </w:rPr>
        <w:t xml:space="preserve">. Initial site classes to recognize discrete groups of taxonomically similar reference sites. </w:t>
      </w:r>
    </w:p>
    <w:tbl>
      <w:tblPr>
        <w:tblW w:w="9445" w:type="dxa"/>
        <w:tblLook w:val="04A0" w:firstRow="1" w:lastRow="0" w:firstColumn="1" w:lastColumn="0" w:noHBand="0" w:noVBand="1"/>
      </w:tblPr>
      <w:tblGrid>
        <w:gridCol w:w="3595"/>
        <w:gridCol w:w="5850"/>
      </w:tblGrid>
      <w:tr w:rsidR="008E1BD0" w14:paraId="6913B071" w14:textId="77777777" w:rsidTr="00F44EB6">
        <w:tc>
          <w:tcPr>
            <w:tcW w:w="3595" w:type="dxa"/>
            <w:tcBorders>
              <w:top w:val="single" w:sz="4" w:space="0" w:color="auto"/>
              <w:bottom w:val="single" w:sz="4" w:space="0" w:color="auto"/>
            </w:tcBorders>
          </w:tcPr>
          <w:p w14:paraId="05BDF745" w14:textId="77777777" w:rsidR="008E1BD0" w:rsidRDefault="008E1BD0" w:rsidP="00F44EB6">
            <w:pPr>
              <w:spacing w:after="0"/>
            </w:pPr>
            <w:r>
              <w:t>Site Class</w:t>
            </w:r>
          </w:p>
        </w:tc>
        <w:tc>
          <w:tcPr>
            <w:tcW w:w="5850" w:type="dxa"/>
            <w:tcBorders>
              <w:top w:val="single" w:sz="4" w:space="0" w:color="auto"/>
              <w:bottom w:val="single" w:sz="4" w:space="0" w:color="auto"/>
            </w:tcBorders>
          </w:tcPr>
          <w:p w14:paraId="63C3C970" w14:textId="77777777" w:rsidR="008E1BD0" w:rsidRDefault="008E1BD0" w:rsidP="00F44EB6">
            <w:pPr>
              <w:spacing w:after="0"/>
            </w:pPr>
            <w:r>
              <w:t>Description</w:t>
            </w:r>
          </w:p>
        </w:tc>
      </w:tr>
      <w:tr w:rsidR="008E1BD0" w14:paraId="2F2F415E" w14:textId="77777777" w:rsidTr="00F44EB6">
        <w:tc>
          <w:tcPr>
            <w:tcW w:w="3595" w:type="dxa"/>
            <w:tcBorders>
              <w:top w:val="single" w:sz="4" w:space="0" w:color="auto"/>
              <w:bottom w:val="single" w:sz="4" w:space="0" w:color="auto"/>
            </w:tcBorders>
            <w:vAlign w:val="center"/>
          </w:tcPr>
          <w:p w14:paraId="38AAEC5B" w14:textId="77777777" w:rsidR="00F44EB6" w:rsidRDefault="008E1BD0" w:rsidP="00F44EB6">
            <w:pPr>
              <w:spacing w:after="0"/>
            </w:pPr>
            <w:r>
              <w:t>High-Elevation Mountains</w:t>
            </w:r>
            <w:r w:rsidR="00F44EB6">
              <w:t xml:space="preserve"> </w:t>
            </w:r>
          </w:p>
          <w:p w14:paraId="3364C853" w14:textId="4289B9D5" w:rsidR="008E1BD0" w:rsidRDefault="00F44EB6" w:rsidP="00F44EB6">
            <w:pPr>
              <w:spacing w:after="0"/>
            </w:pPr>
            <w:r>
              <w:t>(Group 3)</w:t>
            </w:r>
          </w:p>
        </w:tc>
        <w:tc>
          <w:tcPr>
            <w:tcW w:w="5850" w:type="dxa"/>
            <w:tcBorders>
              <w:top w:val="single" w:sz="4" w:space="0" w:color="auto"/>
              <w:bottom w:val="single" w:sz="4" w:space="0" w:color="auto"/>
            </w:tcBorders>
          </w:tcPr>
          <w:p w14:paraId="3C65F9DC" w14:textId="77777777" w:rsidR="008E1BD0" w:rsidRDefault="008E1BD0" w:rsidP="00F44EB6">
            <w:pPr>
              <w:spacing w:after="0"/>
            </w:pPr>
            <w:r>
              <w:t>Sites in the Middle Rockies or Southern Rockies ecoregions that are generally above an elevation of 7,500’. Sites generally have smaller drainage basins (&lt;50km</w:t>
            </w:r>
            <w:r w:rsidRPr="001B09C9">
              <w:rPr>
                <w:vertAlign w:val="superscript"/>
              </w:rPr>
              <w:t>2</w:t>
            </w:r>
            <w:r>
              <w:t>) and less contribution of groundwater (BFI &lt;66).</w:t>
            </w:r>
          </w:p>
        </w:tc>
      </w:tr>
      <w:tr w:rsidR="008E1BD0" w14:paraId="3AA466CF" w14:textId="77777777" w:rsidTr="00F44EB6">
        <w:tc>
          <w:tcPr>
            <w:tcW w:w="3595" w:type="dxa"/>
            <w:tcBorders>
              <w:top w:val="single" w:sz="4" w:space="0" w:color="auto"/>
              <w:bottom w:val="single" w:sz="4" w:space="0" w:color="auto"/>
            </w:tcBorders>
            <w:vAlign w:val="center"/>
          </w:tcPr>
          <w:p w14:paraId="69F67443" w14:textId="77777777" w:rsidR="008E1BD0" w:rsidRDefault="008E1BD0" w:rsidP="00F44EB6">
            <w:pPr>
              <w:spacing w:after="0"/>
            </w:pPr>
            <w:r>
              <w:t>Mid-Elevation Mountains and Basins</w:t>
            </w:r>
            <w:r w:rsidR="00F44EB6">
              <w:t xml:space="preserve"> </w:t>
            </w:r>
          </w:p>
          <w:p w14:paraId="42EB81D3" w14:textId="777FE4C5" w:rsidR="00F44EB6" w:rsidRDefault="00F44EB6" w:rsidP="00F44EB6">
            <w:pPr>
              <w:spacing w:after="0"/>
            </w:pPr>
            <w:r>
              <w:t>(Group</w:t>
            </w:r>
            <w:r>
              <w:t>s 14 and 2</w:t>
            </w:r>
            <w:r>
              <w:t>)</w:t>
            </w:r>
          </w:p>
        </w:tc>
        <w:tc>
          <w:tcPr>
            <w:tcW w:w="5850" w:type="dxa"/>
            <w:tcBorders>
              <w:top w:val="single" w:sz="4" w:space="0" w:color="auto"/>
              <w:bottom w:val="single" w:sz="4" w:space="0" w:color="auto"/>
            </w:tcBorders>
          </w:tcPr>
          <w:p w14:paraId="5FE04ADA" w14:textId="77777777" w:rsidR="008E1BD0" w:rsidRDefault="008E1BD0" w:rsidP="00F44EB6">
            <w:pPr>
              <w:spacing w:after="0"/>
            </w:pPr>
            <w:r>
              <w:t>Sites in the mountain or basins ecoregions that are generally below 7,500’ elevation. Sites could be in large or small drainage basins and greater contribution of groundwater (BFI &gt;66)</w:t>
            </w:r>
          </w:p>
        </w:tc>
      </w:tr>
      <w:tr w:rsidR="008E1BD0" w14:paraId="3A68562B" w14:textId="77777777" w:rsidTr="00F44EB6">
        <w:tc>
          <w:tcPr>
            <w:tcW w:w="3595" w:type="dxa"/>
            <w:tcBorders>
              <w:top w:val="single" w:sz="4" w:space="0" w:color="auto"/>
              <w:bottom w:val="single" w:sz="4" w:space="0" w:color="auto"/>
            </w:tcBorders>
            <w:vAlign w:val="center"/>
          </w:tcPr>
          <w:p w14:paraId="075B7B28" w14:textId="77777777" w:rsidR="008E1BD0" w:rsidRDefault="008E1BD0" w:rsidP="00F44EB6">
            <w:pPr>
              <w:spacing w:after="0"/>
            </w:pPr>
            <w:r>
              <w:t>Plains</w:t>
            </w:r>
          </w:p>
          <w:p w14:paraId="5008F654" w14:textId="3C38477C" w:rsidR="00F44EB6" w:rsidRDefault="00F44EB6" w:rsidP="00F44EB6">
            <w:pPr>
              <w:spacing w:after="0"/>
            </w:pPr>
            <w:r>
              <w:t>(Group</w:t>
            </w:r>
            <w:r>
              <w:t xml:space="preserve"> 16</w:t>
            </w:r>
            <w:r>
              <w:t>)</w:t>
            </w:r>
          </w:p>
        </w:tc>
        <w:tc>
          <w:tcPr>
            <w:tcW w:w="5850" w:type="dxa"/>
            <w:tcBorders>
              <w:top w:val="single" w:sz="4" w:space="0" w:color="auto"/>
              <w:bottom w:val="single" w:sz="4" w:space="0" w:color="auto"/>
            </w:tcBorders>
          </w:tcPr>
          <w:p w14:paraId="02DEDA46" w14:textId="77777777" w:rsidR="008E1BD0" w:rsidRDefault="008E1BD0" w:rsidP="00F44EB6">
            <w:pPr>
              <w:spacing w:after="0"/>
            </w:pPr>
            <w:r>
              <w:t xml:space="preserve">Sites in the </w:t>
            </w:r>
            <w:proofErr w:type="gramStart"/>
            <w:r>
              <w:t>plains</w:t>
            </w:r>
            <w:proofErr w:type="gramEnd"/>
            <w:r>
              <w:t xml:space="preserve"> ecoregions (High Plains or Northwestern Great Plains) and generally warmer temperature with higher specific conductance. </w:t>
            </w:r>
          </w:p>
        </w:tc>
      </w:tr>
    </w:tbl>
    <w:p w14:paraId="44761936" w14:textId="77777777" w:rsidR="00C72D80" w:rsidRDefault="00C72D80"/>
    <w:sectPr w:rsidR="00C72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509F0"/>
    <w:multiLevelType w:val="hybridMultilevel"/>
    <w:tmpl w:val="F0C8E284"/>
    <w:lvl w:ilvl="0" w:tplc="6E7ADE88">
      <w:start w:val="1"/>
      <w:numFmt w:val="bullet"/>
      <w:lvlText w:val="•"/>
      <w:lvlJc w:val="left"/>
      <w:pPr>
        <w:tabs>
          <w:tab w:val="num" w:pos="720"/>
        </w:tabs>
        <w:ind w:left="720" w:hanging="360"/>
      </w:pPr>
      <w:rPr>
        <w:rFonts w:ascii="Arial" w:hAnsi="Arial" w:hint="default"/>
      </w:rPr>
    </w:lvl>
    <w:lvl w:ilvl="1" w:tplc="C4FA3514">
      <w:numFmt w:val="bullet"/>
      <w:lvlText w:val="•"/>
      <w:lvlJc w:val="left"/>
      <w:pPr>
        <w:tabs>
          <w:tab w:val="num" w:pos="1440"/>
        </w:tabs>
        <w:ind w:left="1440" w:hanging="360"/>
      </w:pPr>
      <w:rPr>
        <w:rFonts w:ascii="Arial" w:hAnsi="Arial" w:hint="default"/>
      </w:rPr>
    </w:lvl>
    <w:lvl w:ilvl="2" w:tplc="A35C6AA0">
      <w:numFmt w:val="bullet"/>
      <w:lvlText w:val="•"/>
      <w:lvlJc w:val="left"/>
      <w:pPr>
        <w:tabs>
          <w:tab w:val="num" w:pos="2160"/>
        </w:tabs>
        <w:ind w:left="2160" w:hanging="360"/>
      </w:pPr>
      <w:rPr>
        <w:rFonts w:ascii="Arial" w:hAnsi="Arial" w:hint="default"/>
      </w:rPr>
    </w:lvl>
    <w:lvl w:ilvl="3" w:tplc="DD1629E8" w:tentative="1">
      <w:start w:val="1"/>
      <w:numFmt w:val="bullet"/>
      <w:lvlText w:val="•"/>
      <w:lvlJc w:val="left"/>
      <w:pPr>
        <w:tabs>
          <w:tab w:val="num" w:pos="2880"/>
        </w:tabs>
        <w:ind w:left="2880" w:hanging="360"/>
      </w:pPr>
      <w:rPr>
        <w:rFonts w:ascii="Arial" w:hAnsi="Arial" w:hint="default"/>
      </w:rPr>
    </w:lvl>
    <w:lvl w:ilvl="4" w:tplc="092A129E" w:tentative="1">
      <w:start w:val="1"/>
      <w:numFmt w:val="bullet"/>
      <w:lvlText w:val="•"/>
      <w:lvlJc w:val="left"/>
      <w:pPr>
        <w:tabs>
          <w:tab w:val="num" w:pos="3600"/>
        </w:tabs>
        <w:ind w:left="3600" w:hanging="360"/>
      </w:pPr>
      <w:rPr>
        <w:rFonts w:ascii="Arial" w:hAnsi="Arial" w:hint="default"/>
      </w:rPr>
    </w:lvl>
    <w:lvl w:ilvl="5" w:tplc="A8E84C1E" w:tentative="1">
      <w:start w:val="1"/>
      <w:numFmt w:val="bullet"/>
      <w:lvlText w:val="•"/>
      <w:lvlJc w:val="left"/>
      <w:pPr>
        <w:tabs>
          <w:tab w:val="num" w:pos="4320"/>
        </w:tabs>
        <w:ind w:left="4320" w:hanging="360"/>
      </w:pPr>
      <w:rPr>
        <w:rFonts w:ascii="Arial" w:hAnsi="Arial" w:hint="default"/>
      </w:rPr>
    </w:lvl>
    <w:lvl w:ilvl="6" w:tplc="8970258E" w:tentative="1">
      <w:start w:val="1"/>
      <w:numFmt w:val="bullet"/>
      <w:lvlText w:val="•"/>
      <w:lvlJc w:val="left"/>
      <w:pPr>
        <w:tabs>
          <w:tab w:val="num" w:pos="5040"/>
        </w:tabs>
        <w:ind w:left="5040" w:hanging="360"/>
      </w:pPr>
      <w:rPr>
        <w:rFonts w:ascii="Arial" w:hAnsi="Arial" w:hint="default"/>
      </w:rPr>
    </w:lvl>
    <w:lvl w:ilvl="7" w:tplc="2DDA70E2" w:tentative="1">
      <w:start w:val="1"/>
      <w:numFmt w:val="bullet"/>
      <w:lvlText w:val="•"/>
      <w:lvlJc w:val="left"/>
      <w:pPr>
        <w:tabs>
          <w:tab w:val="num" w:pos="5760"/>
        </w:tabs>
        <w:ind w:left="5760" w:hanging="360"/>
      </w:pPr>
      <w:rPr>
        <w:rFonts w:ascii="Arial" w:hAnsi="Arial" w:hint="default"/>
      </w:rPr>
    </w:lvl>
    <w:lvl w:ilvl="8" w:tplc="E7B24D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9857030"/>
    <w:multiLevelType w:val="hybridMultilevel"/>
    <w:tmpl w:val="5DB08B3E"/>
    <w:lvl w:ilvl="0" w:tplc="34644F88">
      <w:start w:val="1"/>
      <w:numFmt w:val="bullet"/>
      <w:lvlText w:val="•"/>
      <w:lvlJc w:val="left"/>
      <w:pPr>
        <w:tabs>
          <w:tab w:val="num" w:pos="720"/>
        </w:tabs>
        <w:ind w:left="720" w:hanging="360"/>
      </w:pPr>
      <w:rPr>
        <w:rFonts w:ascii="Arial" w:hAnsi="Arial" w:hint="default"/>
      </w:rPr>
    </w:lvl>
    <w:lvl w:ilvl="1" w:tplc="77127500">
      <w:numFmt w:val="bullet"/>
      <w:lvlText w:val="•"/>
      <w:lvlJc w:val="left"/>
      <w:pPr>
        <w:tabs>
          <w:tab w:val="num" w:pos="1440"/>
        </w:tabs>
        <w:ind w:left="1440" w:hanging="360"/>
      </w:pPr>
      <w:rPr>
        <w:rFonts w:ascii="Arial" w:hAnsi="Arial" w:hint="default"/>
      </w:rPr>
    </w:lvl>
    <w:lvl w:ilvl="2" w:tplc="09FA2A2C">
      <w:start w:val="1"/>
      <w:numFmt w:val="bullet"/>
      <w:lvlText w:val="•"/>
      <w:lvlJc w:val="left"/>
      <w:pPr>
        <w:tabs>
          <w:tab w:val="num" w:pos="2160"/>
        </w:tabs>
        <w:ind w:left="2160" w:hanging="360"/>
      </w:pPr>
      <w:rPr>
        <w:rFonts w:ascii="Arial" w:hAnsi="Arial" w:hint="default"/>
      </w:rPr>
    </w:lvl>
    <w:lvl w:ilvl="3" w:tplc="658E6A0E" w:tentative="1">
      <w:start w:val="1"/>
      <w:numFmt w:val="bullet"/>
      <w:lvlText w:val="•"/>
      <w:lvlJc w:val="left"/>
      <w:pPr>
        <w:tabs>
          <w:tab w:val="num" w:pos="2880"/>
        </w:tabs>
        <w:ind w:left="2880" w:hanging="360"/>
      </w:pPr>
      <w:rPr>
        <w:rFonts w:ascii="Arial" w:hAnsi="Arial" w:hint="default"/>
      </w:rPr>
    </w:lvl>
    <w:lvl w:ilvl="4" w:tplc="0BC4B756" w:tentative="1">
      <w:start w:val="1"/>
      <w:numFmt w:val="bullet"/>
      <w:lvlText w:val="•"/>
      <w:lvlJc w:val="left"/>
      <w:pPr>
        <w:tabs>
          <w:tab w:val="num" w:pos="3600"/>
        </w:tabs>
        <w:ind w:left="3600" w:hanging="360"/>
      </w:pPr>
      <w:rPr>
        <w:rFonts w:ascii="Arial" w:hAnsi="Arial" w:hint="default"/>
      </w:rPr>
    </w:lvl>
    <w:lvl w:ilvl="5" w:tplc="DC36A3D2" w:tentative="1">
      <w:start w:val="1"/>
      <w:numFmt w:val="bullet"/>
      <w:lvlText w:val="•"/>
      <w:lvlJc w:val="left"/>
      <w:pPr>
        <w:tabs>
          <w:tab w:val="num" w:pos="4320"/>
        </w:tabs>
        <w:ind w:left="4320" w:hanging="360"/>
      </w:pPr>
      <w:rPr>
        <w:rFonts w:ascii="Arial" w:hAnsi="Arial" w:hint="default"/>
      </w:rPr>
    </w:lvl>
    <w:lvl w:ilvl="6" w:tplc="3F283298" w:tentative="1">
      <w:start w:val="1"/>
      <w:numFmt w:val="bullet"/>
      <w:lvlText w:val="•"/>
      <w:lvlJc w:val="left"/>
      <w:pPr>
        <w:tabs>
          <w:tab w:val="num" w:pos="5040"/>
        </w:tabs>
        <w:ind w:left="5040" w:hanging="360"/>
      </w:pPr>
      <w:rPr>
        <w:rFonts w:ascii="Arial" w:hAnsi="Arial" w:hint="default"/>
      </w:rPr>
    </w:lvl>
    <w:lvl w:ilvl="7" w:tplc="3FE20C56" w:tentative="1">
      <w:start w:val="1"/>
      <w:numFmt w:val="bullet"/>
      <w:lvlText w:val="•"/>
      <w:lvlJc w:val="left"/>
      <w:pPr>
        <w:tabs>
          <w:tab w:val="num" w:pos="5760"/>
        </w:tabs>
        <w:ind w:left="5760" w:hanging="360"/>
      </w:pPr>
      <w:rPr>
        <w:rFonts w:ascii="Arial" w:hAnsi="Arial" w:hint="default"/>
      </w:rPr>
    </w:lvl>
    <w:lvl w:ilvl="8" w:tplc="90D028C4" w:tentative="1">
      <w:start w:val="1"/>
      <w:numFmt w:val="bullet"/>
      <w:lvlText w:val="•"/>
      <w:lvlJc w:val="left"/>
      <w:pPr>
        <w:tabs>
          <w:tab w:val="num" w:pos="6480"/>
        </w:tabs>
        <w:ind w:left="6480" w:hanging="360"/>
      </w:pPr>
      <w:rPr>
        <w:rFonts w:ascii="Arial" w:hAnsi="Arial" w:hint="default"/>
      </w:rPr>
    </w:lvl>
  </w:abstractNum>
  <w:num w:numId="1" w16cid:durableId="1331180340">
    <w:abstractNumId w:val="0"/>
  </w:num>
  <w:num w:numId="2" w16cid:durableId="745421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0"/>
    <w:rsid w:val="000B0D37"/>
    <w:rsid w:val="001C79AB"/>
    <w:rsid w:val="003C699F"/>
    <w:rsid w:val="00451356"/>
    <w:rsid w:val="006237D8"/>
    <w:rsid w:val="006869BD"/>
    <w:rsid w:val="00742433"/>
    <w:rsid w:val="0075342C"/>
    <w:rsid w:val="008450CA"/>
    <w:rsid w:val="00862A22"/>
    <w:rsid w:val="008E1BD0"/>
    <w:rsid w:val="00A41CD5"/>
    <w:rsid w:val="00AC3038"/>
    <w:rsid w:val="00C462BA"/>
    <w:rsid w:val="00C72D80"/>
    <w:rsid w:val="00C953DE"/>
    <w:rsid w:val="00D970CC"/>
    <w:rsid w:val="00ED4E98"/>
    <w:rsid w:val="00F44EB6"/>
    <w:rsid w:val="00F56BE5"/>
    <w:rsid w:val="00FC58CD"/>
    <w:rsid w:val="00FE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244B46"/>
  <w15:chartTrackingRefBased/>
  <w15:docId w15:val="{97573BF3-E054-4C72-9465-E4DEB29B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CD"/>
    <w:rPr>
      <w:sz w:val="24"/>
    </w:rPr>
  </w:style>
  <w:style w:type="paragraph" w:styleId="Heading1">
    <w:name w:val="heading 1"/>
    <w:basedOn w:val="Normal"/>
    <w:next w:val="Normal"/>
    <w:link w:val="Heading1Char"/>
    <w:uiPriority w:val="9"/>
    <w:qFormat/>
    <w:rsid w:val="00F44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970CC"/>
    <w:pPr>
      <w:spacing w:after="200" w:line="240" w:lineRule="auto"/>
    </w:pPr>
    <w:rPr>
      <w:i/>
      <w:iCs/>
      <w:color w:val="44546A" w:themeColor="text2"/>
      <w:sz w:val="18"/>
      <w:szCs w:val="18"/>
    </w:rPr>
  </w:style>
  <w:style w:type="table" w:styleId="TableGrid">
    <w:name w:val="Table Grid"/>
    <w:basedOn w:val="TableNormal"/>
    <w:uiPriority w:val="39"/>
    <w:rsid w:val="003C6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4E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4E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1184">
      <w:bodyDiv w:val="1"/>
      <w:marLeft w:val="0"/>
      <w:marRight w:val="0"/>
      <w:marTop w:val="0"/>
      <w:marBottom w:val="0"/>
      <w:divBdr>
        <w:top w:val="none" w:sz="0" w:space="0" w:color="auto"/>
        <w:left w:val="none" w:sz="0" w:space="0" w:color="auto"/>
        <w:bottom w:val="none" w:sz="0" w:space="0" w:color="auto"/>
        <w:right w:val="none" w:sz="0" w:space="0" w:color="auto"/>
      </w:divBdr>
    </w:div>
    <w:div w:id="1965380967">
      <w:bodyDiv w:val="1"/>
      <w:marLeft w:val="0"/>
      <w:marRight w:val="0"/>
      <w:marTop w:val="0"/>
      <w:marBottom w:val="0"/>
      <w:divBdr>
        <w:top w:val="none" w:sz="0" w:space="0" w:color="auto"/>
        <w:left w:val="none" w:sz="0" w:space="0" w:color="auto"/>
        <w:bottom w:val="none" w:sz="0" w:space="0" w:color="auto"/>
        <w:right w:val="none" w:sz="0" w:space="0" w:color="auto"/>
      </w:divBdr>
      <w:divsChild>
        <w:div w:id="514079948">
          <w:marLeft w:val="1800"/>
          <w:marRight w:val="0"/>
          <w:marTop w:val="100"/>
          <w:marBottom w:val="0"/>
          <w:divBdr>
            <w:top w:val="none" w:sz="0" w:space="0" w:color="auto"/>
            <w:left w:val="none" w:sz="0" w:space="0" w:color="auto"/>
            <w:bottom w:val="none" w:sz="0" w:space="0" w:color="auto"/>
            <w:right w:val="none" w:sz="0" w:space="0" w:color="auto"/>
          </w:divBdr>
        </w:div>
        <w:div w:id="1927035294">
          <w:marLeft w:val="1800"/>
          <w:marRight w:val="0"/>
          <w:marTop w:val="100"/>
          <w:marBottom w:val="0"/>
          <w:divBdr>
            <w:top w:val="none" w:sz="0" w:space="0" w:color="auto"/>
            <w:left w:val="none" w:sz="0" w:space="0" w:color="auto"/>
            <w:bottom w:val="none" w:sz="0" w:space="0" w:color="auto"/>
            <w:right w:val="none" w:sz="0" w:space="0" w:color="auto"/>
          </w:divBdr>
        </w:div>
        <w:div w:id="138573142">
          <w:marLeft w:val="1800"/>
          <w:marRight w:val="0"/>
          <w:marTop w:val="100"/>
          <w:marBottom w:val="0"/>
          <w:divBdr>
            <w:top w:val="none" w:sz="0" w:space="0" w:color="auto"/>
            <w:left w:val="none" w:sz="0" w:space="0" w:color="auto"/>
            <w:bottom w:val="none" w:sz="0" w:space="0" w:color="auto"/>
            <w:right w:val="none" w:sz="0" w:space="0" w:color="auto"/>
          </w:divBdr>
        </w:div>
        <w:div w:id="1061370539">
          <w:marLeft w:val="1800"/>
          <w:marRight w:val="0"/>
          <w:marTop w:val="100"/>
          <w:marBottom w:val="0"/>
          <w:divBdr>
            <w:top w:val="none" w:sz="0" w:space="0" w:color="auto"/>
            <w:left w:val="none" w:sz="0" w:space="0" w:color="auto"/>
            <w:bottom w:val="none" w:sz="0" w:space="0" w:color="auto"/>
            <w:right w:val="none" w:sz="0" w:space="0" w:color="auto"/>
          </w:divBdr>
        </w:div>
        <w:div w:id="1088773113">
          <w:marLeft w:val="360"/>
          <w:marRight w:val="0"/>
          <w:marTop w:val="200"/>
          <w:marBottom w:val="0"/>
          <w:divBdr>
            <w:top w:val="none" w:sz="0" w:space="0" w:color="auto"/>
            <w:left w:val="none" w:sz="0" w:space="0" w:color="auto"/>
            <w:bottom w:val="none" w:sz="0" w:space="0" w:color="auto"/>
            <w:right w:val="none" w:sz="0" w:space="0" w:color="auto"/>
          </w:divBdr>
        </w:div>
        <w:div w:id="1736736735">
          <w:marLeft w:val="1080"/>
          <w:marRight w:val="0"/>
          <w:marTop w:val="100"/>
          <w:marBottom w:val="0"/>
          <w:divBdr>
            <w:top w:val="none" w:sz="0" w:space="0" w:color="auto"/>
            <w:left w:val="none" w:sz="0" w:space="0" w:color="auto"/>
            <w:bottom w:val="none" w:sz="0" w:space="0" w:color="auto"/>
            <w:right w:val="none" w:sz="0" w:space="0" w:color="auto"/>
          </w:divBdr>
        </w:div>
        <w:div w:id="1328512509">
          <w:marLeft w:val="1080"/>
          <w:marRight w:val="0"/>
          <w:marTop w:val="100"/>
          <w:marBottom w:val="0"/>
          <w:divBdr>
            <w:top w:val="none" w:sz="0" w:space="0" w:color="auto"/>
            <w:left w:val="none" w:sz="0" w:space="0" w:color="auto"/>
            <w:bottom w:val="none" w:sz="0" w:space="0" w:color="auto"/>
            <w:right w:val="none" w:sz="0" w:space="0" w:color="auto"/>
          </w:divBdr>
        </w:div>
      </w:divsChild>
    </w:div>
    <w:div w:id="2147158836">
      <w:bodyDiv w:val="1"/>
      <w:marLeft w:val="0"/>
      <w:marRight w:val="0"/>
      <w:marTop w:val="0"/>
      <w:marBottom w:val="0"/>
      <w:divBdr>
        <w:top w:val="none" w:sz="0" w:space="0" w:color="auto"/>
        <w:left w:val="none" w:sz="0" w:space="0" w:color="auto"/>
        <w:bottom w:val="none" w:sz="0" w:space="0" w:color="auto"/>
        <w:right w:val="none" w:sz="0" w:space="0" w:color="auto"/>
      </w:divBdr>
      <w:divsChild>
        <w:div w:id="1637298621">
          <w:marLeft w:val="360"/>
          <w:marRight w:val="0"/>
          <w:marTop w:val="200"/>
          <w:marBottom w:val="0"/>
          <w:divBdr>
            <w:top w:val="none" w:sz="0" w:space="0" w:color="auto"/>
            <w:left w:val="none" w:sz="0" w:space="0" w:color="auto"/>
            <w:bottom w:val="none" w:sz="0" w:space="0" w:color="auto"/>
            <w:right w:val="none" w:sz="0" w:space="0" w:color="auto"/>
          </w:divBdr>
        </w:div>
        <w:div w:id="314529330">
          <w:marLeft w:val="1080"/>
          <w:marRight w:val="0"/>
          <w:marTop w:val="100"/>
          <w:marBottom w:val="0"/>
          <w:divBdr>
            <w:top w:val="none" w:sz="0" w:space="0" w:color="auto"/>
            <w:left w:val="none" w:sz="0" w:space="0" w:color="auto"/>
            <w:bottom w:val="none" w:sz="0" w:space="0" w:color="auto"/>
            <w:right w:val="none" w:sz="0" w:space="0" w:color="auto"/>
          </w:divBdr>
        </w:div>
        <w:div w:id="1656101322">
          <w:marLeft w:val="360"/>
          <w:marRight w:val="0"/>
          <w:marTop w:val="200"/>
          <w:marBottom w:val="0"/>
          <w:divBdr>
            <w:top w:val="none" w:sz="0" w:space="0" w:color="auto"/>
            <w:left w:val="none" w:sz="0" w:space="0" w:color="auto"/>
            <w:bottom w:val="none" w:sz="0" w:space="0" w:color="auto"/>
            <w:right w:val="none" w:sz="0" w:space="0" w:color="auto"/>
          </w:divBdr>
        </w:div>
        <w:div w:id="2054227427">
          <w:marLeft w:val="1080"/>
          <w:marRight w:val="0"/>
          <w:marTop w:val="100"/>
          <w:marBottom w:val="0"/>
          <w:divBdr>
            <w:top w:val="none" w:sz="0" w:space="0" w:color="auto"/>
            <w:left w:val="none" w:sz="0" w:space="0" w:color="auto"/>
            <w:bottom w:val="none" w:sz="0" w:space="0" w:color="auto"/>
            <w:right w:val="none" w:sz="0" w:space="0" w:color="auto"/>
          </w:divBdr>
        </w:div>
        <w:div w:id="763184895">
          <w:marLeft w:val="1800"/>
          <w:marRight w:val="0"/>
          <w:marTop w:val="100"/>
          <w:marBottom w:val="0"/>
          <w:divBdr>
            <w:top w:val="none" w:sz="0" w:space="0" w:color="auto"/>
            <w:left w:val="none" w:sz="0" w:space="0" w:color="auto"/>
            <w:bottom w:val="none" w:sz="0" w:space="0" w:color="auto"/>
            <w:right w:val="none" w:sz="0" w:space="0" w:color="auto"/>
          </w:divBdr>
        </w:div>
        <w:div w:id="711422884">
          <w:marLeft w:val="1080"/>
          <w:marRight w:val="0"/>
          <w:marTop w:val="100"/>
          <w:marBottom w:val="0"/>
          <w:divBdr>
            <w:top w:val="none" w:sz="0" w:space="0" w:color="auto"/>
            <w:left w:val="none" w:sz="0" w:space="0" w:color="auto"/>
            <w:bottom w:val="none" w:sz="0" w:space="0" w:color="auto"/>
            <w:right w:val="none" w:sz="0" w:space="0" w:color="auto"/>
          </w:divBdr>
        </w:div>
        <w:div w:id="609165580">
          <w:marLeft w:val="1800"/>
          <w:marRight w:val="0"/>
          <w:marTop w:val="100"/>
          <w:marBottom w:val="0"/>
          <w:divBdr>
            <w:top w:val="none" w:sz="0" w:space="0" w:color="auto"/>
            <w:left w:val="none" w:sz="0" w:space="0" w:color="auto"/>
            <w:bottom w:val="none" w:sz="0" w:space="0" w:color="auto"/>
            <w:right w:val="none" w:sz="0" w:space="0" w:color="auto"/>
          </w:divBdr>
        </w:div>
        <w:div w:id="1185828293">
          <w:marLeft w:val="1800"/>
          <w:marRight w:val="0"/>
          <w:marTop w:val="100"/>
          <w:marBottom w:val="0"/>
          <w:divBdr>
            <w:top w:val="none" w:sz="0" w:space="0" w:color="auto"/>
            <w:left w:val="none" w:sz="0" w:space="0" w:color="auto"/>
            <w:bottom w:val="none" w:sz="0" w:space="0" w:color="auto"/>
            <w:right w:val="none" w:sz="0" w:space="0" w:color="auto"/>
          </w:divBdr>
        </w:div>
        <w:div w:id="2048329756">
          <w:marLeft w:val="1800"/>
          <w:marRight w:val="0"/>
          <w:marTop w:val="100"/>
          <w:marBottom w:val="0"/>
          <w:divBdr>
            <w:top w:val="none" w:sz="0" w:space="0" w:color="auto"/>
            <w:left w:val="none" w:sz="0" w:space="0" w:color="auto"/>
            <w:bottom w:val="none" w:sz="0" w:space="0" w:color="auto"/>
            <w:right w:val="none" w:sz="0" w:space="0" w:color="auto"/>
          </w:divBdr>
        </w:div>
        <w:div w:id="456145446">
          <w:marLeft w:val="360"/>
          <w:marRight w:val="0"/>
          <w:marTop w:val="200"/>
          <w:marBottom w:val="0"/>
          <w:divBdr>
            <w:top w:val="none" w:sz="0" w:space="0" w:color="auto"/>
            <w:left w:val="none" w:sz="0" w:space="0" w:color="auto"/>
            <w:bottom w:val="none" w:sz="0" w:space="0" w:color="auto"/>
            <w:right w:val="none" w:sz="0" w:space="0" w:color="auto"/>
          </w:divBdr>
        </w:div>
        <w:div w:id="2073963914">
          <w:marLeft w:val="360"/>
          <w:marRight w:val="0"/>
          <w:marTop w:val="200"/>
          <w:marBottom w:val="0"/>
          <w:divBdr>
            <w:top w:val="none" w:sz="0" w:space="0" w:color="auto"/>
            <w:left w:val="none" w:sz="0" w:space="0" w:color="auto"/>
            <w:bottom w:val="none" w:sz="0" w:space="0" w:color="auto"/>
            <w:right w:val="none" w:sz="0" w:space="0" w:color="auto"/>
          </w:divBdr>
        </w:div>
        <w:div w:id="20981365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Jessup, Benjamin</dc:creator>
  <cp:keywords/>
  <dc:description/>
  <cp:lastModifiedBy>Jessup, Benjamin</cp:lastModifiedBy>
  <cp:revision>1</cp:revision>
  <dcterms:created xsi:type="dcterms:W3CDTF">2022-06-24T12:01:00Z</dcterms:created>
  <dcterms:modified xsi:type="dcterms:W3CDTF">2022-06-24T14:21:00Z</dcterms:modified>
</cp:coreProperties>
</file>