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COMPANY policy template instructions</w:t>
      </w:r>
    </w:p>
    <w:p w:rsidR="00000000" w:rsidDel="00000000" w:rsidP="00000000" w:rsidRDefault="00000000" w:rsidRPr="00000000" w14:paraId="00000002">
      <w:pPr>
        <w:ind w:firstLine="0"/>
        <w:rPr/>
      </w:pPr>
      <w:r>
        <w:t>This COMPANY policy template represents a complete, compliance-ready policy with placeholders for company specific text. Each policy section represents a policy-specific topic that you should consider and/or modify to match your company’s practices.</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For each policy section</w:t>
      </w:r>
    </w:p>
    <w:p w:rsidR="00000000" w:rsidDel="00000000" w:rsidP="00000000" w:rsidRDefault="00000000" w:rsidRPr="00000000" w14:paraId="00000004">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Consider if this section and its corresponding risks applies to you. If it does not, remove it and/or replace it with your organization’s corresponding practices.</w:t>
      </w:r>
    </w:p>
    <w:p w:rsidR="00000000" w:rsidDel="00000000" w:rsidP="00000000" w:rsidRDefault="00000000" w:rsidRPr="00000000" w14:paraId="00000005">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Replace any highlighted text in angled brackets &lt; &gt; with your own language</w:t>
      </w:r>
    </w:p>
    <w:p w:rsidR="00000000" w:rsidDel="00000000" w:rsidP="00000000" w:rsidRDefault="00000000" w:rsidRPr="00000000" w14:paraId="00000006">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Rewrite the policy language such that it reflects the practices of your organization</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Policy completion checklist</w:t>
      </w:r>
    </w:p>
    <w:p w:rsidR="00000000" w:rsidDel="00000000" w:rsidP="00000000" w:rsidRDefault="00000000" w:rsidRPr="00000000" w14:paraId="00000008">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Use Find to make sure that all text in angled brackets is replaced</w:t>
      </w:r>
    </w:p>
    <w:p w:rsidR="00000000" w:rsidDel="00000000" w:rsidP="00000000" w:rsidRDefault="00000000" w:rsidRPr="00000000" w14:paraId="00000009">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Proofread your policy for spelling and grammar mistakes</w:t>
      </w:r>
    </w:p>
    <w:p w:rsidR="00000000" w:rsidDel="00000000" w:rsidP="00000000" w:rsidRDefault="00000000" w:rsidRPr="00000000" w14:paraId="0000000A">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Confirm that the policy’s content reflects your organizations practices</w:t>
      </w:r>
    </w:p>
    <w:p w:rsidR="00000000" w:rsidDel="00000000" w:rsidP="00000000" w:rsidRDefault="00000000" w:rsidRPr="00000000" w14:paraId="0000000B">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Add any company-specific letterhead, branding, and formatting</w:t>
      </w:r>
    </w:p>
    <w:p w:rsidR="00000000" w:rsidDel="00000000" w:rsidP="00000000" w:rsidRDefault="00000000" w:rsidRPr="00000000" w14:paraId="0000000C">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Remove this instructions page</w:t>
      </w:r>
    </w:p>
    <w:p w:rsidR="00000000" w:rsidDel="00000000" w:rsidP="00000000" w:rsidRDefault="00000000" w:rsidRPr="00000000" w14:paraId="0000000D">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Export this document as PDF — File &gt; Save As &gt; Change “File Format” to PDF</w:t>
      </w:r>
    </w:p>
    <w:p w:rsidR="00000000" w:rsidDel="00000000" w:rsidP="00000000" w:rsidRDefault="00000000" w:rsidRPr="00000000" w14:paraId="0000000E">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Upload the PDF to COMPANY at https://app.COMPANY.com/policies</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More questions?</w:t>
      </w:r>
    </w:p>
    <w:p w:rsidR="00000000" w:rsidDel="00000000" w:rsidP="00000000" w:rsidRDefault="00000000" w:rsidRPr="00000000" w14:paraId="00000010">
      <w:pPr>
        <w:ind w:firstLine="0"/>
        <w:rPr/>
      </w:pPr>
      <w:r>
        <w:t>A good rule-of-thumb is to keep your language high enough level such that it stays representative for at least a year. If you have more questions about how to use this template, please reach out to support@COMPANY.com or your auditor for additional guidance.</w:t>
      </w:r>
    </w:p>
    <w:p w:rsidR="00000000" w:rsidDel="00000000" w:rsidP="00000000" w:rsidRDefault="00000000" w:rsidRPr="00000000" w14:paraId="00000011">
      <w:pPr>
        <w:spacing w:after="19" w:line="250" w:lineRule="auto"/>
        <w:ind w:left="10" w:right="1" w:firstLine="0"/>
        <w:jc w:val="both"/>
        <w:rPr>
          <w:b w:val="1"/>
        </w:rPr>
      </w:pPr>
      <w:r/>
    </w:p>
    <w:p w:rsidR="00000000" w:rsidDel="00000000" w:rsidP="00000000" w:rsidRDefault="00000000" w:rsidRPr="00000000" w14:paraId="00000012">
      <w:pPr>
        <w:pStyle w:val="Title"/>
        <w:ind w:firstLine="0"/>
        <w:rPr/>
      </w:pPr>
      <w:r>
        <w:t>Business Continuity and Disaster Recovery (BC/DR)</w:t>
      </w:r>
    </w:p>
    <w:p w:rsidR="00000000" w:rsidDel="00000000" w:rsidP="00000000" w:rsidRDefault="00000000" w:rsidRPr="00000000" w14:paraId="00000013">
      <w:pPr>
        <w:ind w:firstLine="0"/>
        <w:rPr/>
      </w:pPr>
      <w:r>
        <w:t>Policy Owner: &lt;Policy owner&gt;</w:t>
      </w:r>
    </w:p>
    <w:p w:rsidR="00000000" w:rsidDel="00000000" w:rsidP="00000000" w:rsidRDefault="00000000" w:rsidRPr="00000000" w14:paraId="00000014">
      <w:pPr>
        <w:ind w:firstLine="0"/>
        <w:rPr/>
      </w:pPr>
      <w:r>
        <w:t>Effective Date: &lt;Effective date&gt;</w:t>
      </w:r>
    </w:p>
    <w:p w:rsidR="00000000" w:rsidDel="00000000" w:rsidP="00000000" w:rsidRDefault="00000000" w:rsidRPr="00000000" w14:paraId="00000015">
      <w:pPr>
        <w:pStyle w:val="Heading1"/>
        <w:ind w:firstLine="0"/>
        <w:rPr/>
      </w:pPr>
      <w:r>
        <w:t>Purpose</w:t>
      </w:r>
    </w:p>
    <w:p w:rsidR="00000000" w:rsidDel="00000000" w:rsidP="00000000" w:rsidRDefault="00000000" w:rsidRPr="00000000" w14:paraId="00000016">
      <w:pPr>
        <w:ind w:firstLine="0"/>
        <w:rPr/>
      </w:pPr>
      <w:r>
        <w:t xml:space="preserve">The purpose of this business continuity plan is to prepare &lt;Company Name&gt; in the event of service outages caused by factors beyond our control (e.g., natural disasters, man-made events), and to restore services to the widest extent possible in a minimum time frame. </w:t>
      </w:r>
    </w:p>
    <w:p w:rsidR="00000000" w:rsidDel="00000000" w:rsidP="00000000" w:rsidRDefault="00000000" w:rsidRPr="00000000" w14:paraId="00000017">
      <w:pPr>
        <w:pStyle w:val="Heading1"/>
        <w:ind w:firstLine="0"/>
        <w:rPr/>
      </w:pPr>
      <w:r>
        <w:t xml:space="preserve">Scope  </w:t>
      </w:r>
    </w:p>
    <w:p w:rsidR="00000000" w:rsidDel="00000000" w:rsidP="00000000" w:rsidRDefault="00000000" w:rsidRPr="00000000" w14:paraId="00000018">
      <w:pPr>
        <w:ind w:firstLine="0"/>
        <w:rPr/>
      </w:pPr>
      <w:r>
        <w:t>All &lt;Company Name&gt; IT systems that are business critical. This policy applies to all employees of &lt;Company Name&gt; and to all relevant external parties, including but not limited to &lt;Company Name&gt; consultants and contractors.</w:t>
      </w:r>
    </w:p>
    <w:p w:rsidR="00000000" w:rsidDel="00000000" w:rsidP="00000000" w:rsidRDefault="00000000" w:rsidRPr="00000000" w14:paraId="00000019">
      <w:pPr>
        <w:ind w:firstLine="0"/>
        <w:rPr/>
      </w:pPr>
      <w:r>
        <w:t>The following scenarios are excluded from the BC/DR plan scope:</w:t>
      </w:r>
    </w:p>
    <w:p w:rsidR="00000000" w:rsidDel="00000000" w:rsidP="00000000" w:rsidRDefault="00000000" w:rsidRPr="00000000" w14:paraId="0000001A">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Loss of availability for a production hosting service provider (i.e., &lt;production hosting service provider, e.g., AWS&gt;)</w:t>
      </w:r>
    </w:p>
    <w:p w:rsidR="00000000" w:rsidDel="00000000" w:rsidP="00000000" w:rsidRDefault="00000000" w:rsidRPr="00000000" w14:paraId="0000001B">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Loss of availability of &lt;Company Name&gt; satellite offices (these will be considered incidents)</w:t>
      </w:r>
    </w:p>
    <w:p w:rsidR="00000000" w:rsidDel="00000000" w:rsidP="00000000" w:rsidRDefault="00000000" w:rsidRPr="00000000" w14:paraId="0000001C">
      <w:pPr>
        <w:ind w:firstLine="0"/>
        <w:rPr/>
      </w:pPr>
      <w:r>
        <w:t>In the event of a loss of availability of a hosting service provider, the &lt;driver of the response, e.g., VP of Global Support&gt; will confer with the &lt;assistants for the response, e.g., IT Manager and executive staff&gt; to determine an appropriate response strategy.</w:t>
      </w:r>
    </w:p>
    <w:p w:rsidR="00000000" w:rsidDel="00000000" w:rsidP="00000000" w:rsidRDefault="00000000" w:rsidRPr="00000000" w14:paraId="0000001D">
      <w:pPr>
        <w:pStyle w:val="Heading1"/>
        <w:keepNext w:val="1"/>
        <w:spacing w:after="160" w:before="320" w:lineRule="auto"/>
        <w:rPr/>
      </w:pPr>
      <w:r>
        <w:t>Policy</w:t>
      </w:r>
    </w:p>
    <w:p w:rsidR="00000000" w:rsidDel="00000000" w:rsidP="00000000" w:rsidRDefault="00000000" w:rsidRPr="00000000" w14:paraId="0000001E">
      <w:pPr>
        <w:ind w:firstLine="0"/>
        <w:rPr/>
      </w:pPr>
      <w:r>
        <w:t>In the event of a major disruption to production services and a disaster affecting the availability and/or security of the &lt;Company Name&gt; office, senior managers and executive staff shall determine mitigation actions.</w:t>
      </w:r>
    </w:p>
    <w:p w:rsidR="00000000" w:rsidDel="00000000" w:rsidP="00000000" w:rsidRDefault="00000000" w:rsidRPr="00000000" w14:paraId="0000001F">
      <w:pPr>
        <w:ind w:firstLine="0"/>
        <w:rPr>
          <w:color w:val="000000"/>
        </w:rPr>
      </w:pPr>
      <w:r>
        <w:t>A disaster recovery test, including a test of backup restoration processes, shall be performed on an annual basis.</w:t>
      </w:r>
    </w:p>
    <w:p w:rsidR="00000000" w:rsidDel="00000000" w:rsidP="00000000" w:rsidRDefault="00000000" w:rsidRPr="00000000" w14:paraId="00000020">
      <w:pPr>
        <w:ind w:firstLine="0"/>
        <w:rPr>
          <w:color w:val="000000"/>
        </w:rPr>
      </w:pPr>
      <w:r>
        <w:t>Continuity of information security shall be considered along with operational continuity.</w:t>
      </w:r>
    </w:p>
    <w:p w:rsidR="00000000" w:rsidDel="00000000" w:rsidP="00000000" w:rsidRDefault="00000000" w:rsidRPr="00000000" w14:paraId="00000021">
      <w:pPr>
        <w:ind w:firstLine="0"/>
        <w:rPr>
          <w:color w:val="000000"/>
        </w:rPr>
      </w:pPr>
      <w:r>
        <w:t>In the case of an information security event or incident, refer to the Incident Response Plan.</w:t>
      </w:r>
    </w:p>
    <w:p w:rsidR="00000000" w:rsidDel="00000000" w:rsidP="00000000" w:rsidRDefault="00000000" w:rsidRPr="00000000" w14:paraId="00000022">
      <w:pPr>
        <w:pStyle w:val="Heading1"/>
        <w:keepNext w:val="1"/>
        <w:spacing w:after="160" w:before="320" w:lineRule="auto"/>
        <w:rPr/>
      </w:pPr>
      <w:r>
        <w:t>Alternate Work Facilities</w:t>
      </w:r>
    </w:p>
    <w:p w:rsidR="00000000" w:rsidDel="00000000" w:rsidP="00000000" w:rsidRDefault="00000000" w:rsidRPr="00000000" w14:paraId="00000023">
      <w:pPr>
        <w:ind w:firstLine="0"/>
        <w:rPr/>
      </w:pPr>
      <w:r>
        <w:t>If the &lt;Company Name&gt; office becomes unavailable due to a disaster, all staff shall work remotely from their homes or any safe location.</w:t>
      </w:r>
    </w:p>
    <w:p w:rsidR="00000000" w:rsidDel="00000000" w:rsidP="00000000" w:rsidRDefault="00000000" w:rsidRPr="00000000" w14:paraId="00000024">
      <w:pPr>
        <w:pStyle w:val="Heading1"/>
        <w:keepNext w:val="1"/>
        <w:spacing w:after="160" w:before="320" w:lineRule="auto"/>
        <w:rPr/>
      </w:pPr>
      <w:r>
        <w:t>Communications and Escalation</w:t>
      </w:r>
    </w:p>
    <w:p w:rsidR="00000000" w:rsidDel="00000000" w:rsidP="00000000" w:rsidRDefault="00000000" w:rsidRPr="00000000" w14:paraId="00000025">
      <w:pPr>
        <w:ind w:firstLine="0"/>
        <w:rPr/>
      </w:pPr>
      <w:r>
        <w:t>Executive staff and senior managers should be notified of any disaster affecting &lt;Company Name&gt; facilities or operations.</w:t>
      </w:r>
    </w:p>
    <w:p w:rsidR="00000000" w:rsidDel="00000000" w:rsidP="00000000" w:rsidRDefault="00000000" w:rsidRPr="00000000" w14:paraId="00000026">
      <w:pPr>
        <w:ind w:firstLine="0"/>
        <w:rPr/>
      </w:pPr>
      <w:r>
        <w:t>Communications shall take place over any available regular channels including &lt;list your company’s regular communication channels, e.g., Slack, email, phone and online meeting tools&gt;.</w:t>
      </w:r>
    </w:p>
    <w:p w:rsidR="00000000" w:rsidDel="00000000" w:rsidP="00000000" w:rsidRDefault="00000000" w:rsidRPr="00000000" w14:paraId="00000027">
      <w:pPr>
        <w:ind w:firstLine="0"/>
        <w:rPr/>
      </w:pPr>
      <w:r>
        <w:t>Key contacts shall be maintained on the on-call schedule and key contacts: &lt;link to wiki page that lists out key contacts&gt;</w:t>
      </w:r>
    </w:p>
    <w:p w:rsidR="00000000" w:rsidDel="00000000" w:rsidP="00000000" w:rsidRDefault="00000000" w:rsidRPr="00000000" w14:paraId="00000028">
      <w:pPr>
        <w:pStyle w:val="Heading1"/>
        <w:keepNext w:val="1"/>
        <w:spacing w:after="160" w:before="320" w:lineRule="auto"/>
        <w:rPr/>
      </w:pPr>
      <w:r>
        <w:t>Roles and Responsibilities</w:t>
      </w:r>
    </w:p>
    <w:tbl>
      <w:tblPr>
        <w:tblStyle w:val="Table1"/>
        <w:tblW w:w="9360.0" w:type="dxa"/>
        <w:jc w:val="center"/>
        <w:tblLayout w:type="fixed"/>
        <w:tblLook w:val="0000"/>
      </w:tblPr>
      <w:tblGrid>
        <w:gridCol w:w="1800"/>
        <w:gridCol w:w="7560"/>
        <w:tblGridChange w:id="0">
          <w:tblGrid>
            <w:gridCol w:w="1800"/>
            <w:gridCol w:w="7560"/>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94b2d6" w:val="clear"/>
            <w:tcMar>
              <w:top w:w="105.0" w:type="dxa"/>
              <w:left w:w="150.0" w:type="dxa"/>
              <w:bottom w:w="105.0" w:type="dxa"/>
              <w:right w:w="150.0" w:type="dxa"/>
            </w:tcMar>
          </w:tcPr>
          <w:p w:rsidR="00000000" w:rsidDel="00000000" w:rsidP="00000000" w:rsidRDefault="00000000" w:rsidRPr="00000000" w14:paraId="0000002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w:t>
            </w:r>
          </w:p>
        </w:tc>
        <w:tc>
          <w:tcPr>
            <w:tcBorders>
              <w:top w:color="dddddd" w:space="0" w:sz="6" w:val="single"/>
              <w:left w:color="dddddd" w:space="0" w:sz="6" w:val="single"/>
              <w:bottom w:color="dddddd" w:space="0" w:sz="6" w:val="single"/>
              <w:right w:color="dddddd" w:space="0" w:sz="6" w:val="single"/>
            </w:tcBorders>
            <w:shd w:fill="94b2d6" w:val="clear"/>
            <w:tcMar>
              <w:top w:w="105.0" w:type="dxa"/>
              <w:left w:w="150.0" w:type="dxa"/>
              <w:bottom w:w="105.0" w:type="dxa"/>
              <w:right w:w="150.0" w:type="dxa"/>
            </w:tcMar>
          </w:tcPr>
          <w:p w:rsidR="00000000" w:rsidDel="00000000" w:rsidP="00000000" w:rsidRDefault="00000000" w:rsidRPr="00000000" w14:paraId="0000002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Responsibility</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5.0" w:type="dxa"/>
              <w:left w:w="150.0" w:type="dxa"/>
              <w:bottom w:w="105.0" w:type="dxa"/>
              <w:right w:w="150.0" w:type="dxa"/>
            </w:tcMar>
          </w:tcPr>
          <w:p w:rsidR="00000000" w:rsidDel="00000000" w:rsidP="00000000" w:rsidRDefault="00000000" w:rsidRPr="00000000" w14:paraId="0000002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24"/>
                <w:szCs w:val="24"/>
                <w:highlight w:val="yellow"/>
                <w:u w:val="none"/>
                <w:vertAlign w:val="baseline"/>
              </w:rPr>
            </w:pPr>
            <w:r w:rsidDel="00000000" w:rsidR="00000000" w:rsidRPr="00000000">
              <w:rPr>
                <w:highlight w:val="yellow"/>
                <w:rtl w:val="0"/>
              </w:rPr>
              <w:t xml:space="preserve">&lt;</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IT Manager</w:t>
            </w:r>
            <w:r w:rsidDel="00000000" w:rsidR="00000000" w:rsidRPr="00000000">
              <w:rPr>
                <w:highlight w:val="yellow"/>
                <w:rtl w:val="0"/>
              </w:rPr>
              <w:t xml:space="preserve">&gt;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5.0" w:type="dxa"/>
              <w:left w:w="150.0" w:type="dxa"/>
              <w:bottom w:w="105.0" w:type="dxa"/>
              <w:right w:w="150.0" w:type="dxa"/>
            </w:tcMar>
          </w:tcPr>
          <w:p w:rsidR="00000000" w:rsidDel="00000000" w:rsidP="00000000" w:rsidRDefault="00000000" w:rsidRPr="00000000" w14:paraId="0000002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IT Manager shall lead BC/DR efforts to mitigate losses and recover the corporate network and information systems.</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5.0" w:type="dxa"/>
              <w:left w:w="150.0" w:type="dxa"/>
              <w:bottom w:w="105.0" w:type="dxa"/>
              <w:right w:w="150.0" w:type="dxa"/>
            </w:tcMar>
          </w:tcPr>
          <w:p w:rsidR="00000000" w:rsidDel="00000000" w:rsidP="00000000" w:rsidRDefault="00000000" w:rsidRPr="00000000" w14:paraId="0000002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24"/>
                <w:szCs w:val="24"/>
                <w:highlight w:val="yellow"/>
                <w:u w:val="none"/>
                <w:vertAlign w:val="baseline"/>
              </w:rPr>
            </w:pPr>
            <w:r w:rsidDel="00000000" w:rsidR="00000000" w:rsidRPr="00000000">
              <w:rPr>
                <w:highlight w:val="yellow"/>
                <w:rtl w:val="0"/>
              </w:rPr>
              <w:t xml:space="preserve">&lt;</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Departmental Heads&gt;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5.0" w:type="dxa"/>
              <w:left w:w="150.0" w:type="dxa"/>
              <w:bottom w:w="105.0" w:type="dxa"/>
              <w:right w:w="150.0" w:type="dxa"/>
            </w:tcMar>
          </w:tcPr>
          <w:p w:rsidR="00000000" w:rsidDel="00000000" w:rsidP="00000000" w:rsidRDefault="00000000" w:rsidRPr="00000000" w14:paraId="0000002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department head shall be responsible for communications with their departmental staff and any actions needed to maintain continuity of their business functions. Departmental heads shall communicate regularly with executive staff and the IT Manager.</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5.0" w:type="dxa"/>
              <w:left w:w="150.0" w:type="dxa"/>
              <w:bottom w:w="105.0" w:type="dxa"/>
              <w:right w:w="150.0" w:type="dxa"/>
            </w:tcMar>
          </w:tcPr>
          <w:p w:rsidR="00000000" w:rsidDel="00000000" w:rsidP="00000000" w:rsidRDefault="00000000" w:rsidRPr="00000000" w14:paraId="0000002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24"/>
                <w:szCs w:val="24"/>
                <w:highlight w:val="yellow"/>
                <w:u w:val="none"/>
                <w:vertAlign w:val="baseline"/>
              </w:rPr>
            </w:pPr>
            <w:r w:rsidDel="00000000" w:rsidR="00000000" w:rsidRPr="00000000">
              <w:rPr>
                <w:highlight w:val="yellow"/>
                <w:rtl w:val="0"/>
              </w:rPr>
              <w:t xml:space="preserve">&lt;</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Managers&gt; </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5.0" w:type="dxa"/>
              <w:left w:w="150.0" w:type="dxa"/>
              <w:bottom w:w="105.0" w:type="dxa"/>
              <w:right w:w="150.0" w:type="dxa"/>
            </w:tcMar>
          </w:tcPr>
          <w:p w:rsidR="00000000" w:rsidDel="00000000" w:rsidP="00000000" w:rsidRDefault="00000000" w:rsidRPr="00000000" w14:paraId="0000003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Managers shall be responsible for communicating with their direct reports and providing any needed assistance for staff to continue working from alternative locations.</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5.0" w:type="dxa"/>
              <w:left w:w="150.0" w:type="dxa"/>
              <w:bottom w:w="105.0" w:type="dxa"/>
              <w:right w:w="150.0" w:type="dxa"/>
            </w:tcMar>
          </w:tcPr>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24"/>
                <w:szCs w:val="24"/>
                <w:highlight w:val="yellow"/>
                <w:u w:val="none"/>
                <w:vertAlign w:val="baseline"/>
              </w:rPr>
            </w:pPr>
            <w:r w:rsidDel="00000000" w:rsidR="00000000" w:rsidRPr="00000000">
              <w:rPr>
                <w:highlight w:val="yellow"/>
                <w:rtl w:val="0"/>
              </w:rPr>
              <w:t xml:space="preserve">&lt;</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VP of Global Support&gt; </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5.0" w:type="dxa"/>
              <w:left w:w="150.0" w:type="dxa"/>
              <w:bottom w:w="105.0" w:type="dxa"/>
              <w:right w:w="150.0" w:type="dxa"/>
            </w:tcMar>
          </w:tcPr>
          <w:p w:rsidR="00000000" w:rsidDel="00000000" w:rsidP="00000000" w:rsidRDefault="00000000" w:rsidRPr="00000000" w14:paraId="0000003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VP of Global Support, in conjunction with the CEO and CFO shall be responsible for any external and client communications regarding any disaster or business continuity actions that are relevant to customers and third parties.</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5.0" w:type="dxa"/>
              <w:left w:w="150.0" w:type="dxa"/>
              <w:bottom w:w="105.0" w:type="dxa"/>
              <w:right w:w="150.0" w:type="dxa"/>
            </w:tcMar>
          </w:tcPr>
          <w:p w:rsidR="00000000" w:rsidDel="00000000" w:rsidP="00000000" w:rsidRDefault="00000000" w:rsidRPr="00000000" w14:paraId="0000003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24"/>
                <w:szCs w:val="24"/>
                <w:highlight w:val="yellow"/>
                <w:u w:val="none"/>
                <w:vertAlign w:val="baseline"/>
              </w:rPr>
            </w:pPr>
            <w:r w:rsidDel="00000000" w:rsidR="00000000" w:rsidRPr="00000000">
              <w:rPr>
                <w:highlight w:val="yellow"/>
                <w:rtl w:val="0"/>
              </w:rPr>
              <w:t xml:space="preserve">&lt;</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VP of Engineering&gt;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5.0" w:type="dxa"/>
              <w:left w:w="150.0" w:type="dxa"/>
              <w:bottom w:w="105.0" w:type="dxa"/>
              <w:right w:w="150.0" w:type="dxa"/>
            </w:tcMar>
          </w:tcPr>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VP of Engineering, in conjunction with the VP of Global Support, shall be responsible for leading efforts to maintain continuity of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&lt;Company Name&gt;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services to customers during a disaster.</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5.0" w:type="dxa"/>
              <w:left w:w="150.0" w:type="dxa"/>
              <w:bottom w:w="105.0" w:type="dxa"/>
              <w:right w:w="150.0" w:type="dxa"/>
            </w:tcMar>
          </w:tcPr>
          <w:p w:rsidR="00000000" w:rsidDel="00000000" w:rsidP="00000000" w:rsidRDefault="00000000" w:rsidRPr="00000000" w14:paraId="0000003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highlight w:val="yellow"/>
                <w:rtl w:val="0"/>
              </w:rPr>
              <w:t xml:space="preserve">&lt;</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Chief HR Officer&gt;</w:t>
            </w:r>
          </w:p>
        </w:tc>
        <w:tc>
          <w:tcPr>
            <w:tcBorders>
              <w:top w:color="dddddd" w:space="0" w:sz="6" w:val="single"/>
              <w:left w:color="dddddd" w:space="0" w:sz="6" w:val="single"/>
              <w:bottom w:color="dddddd" w:space="0" w:sz="6" w:val="single"/>
              <w:right w:color="dddddd" w:space="0" w:sz="6" w:val="single"/>
            </w:tcBorders>
            <w:tcMar>
              <w:top w:w="105.0" w:type="dxa"/>
              <w:left w:w="150.0" w:type="dxa"/>
              <w:bottom w:w="105.0" w:type="dxa"/>
              <w:right w:w="150.0" w:type="dxa"/>
            </w:tcMar>
          </w:tcPr>
          <w:p w:rsidR="00000000" w:rsidDel="00000000" w:rsidP="00000000" w:rsidRDefault="00000000" w:rsidRPr="00000000" w14:paraId="0000003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CHRO shall be responsible for internal communications to employees as well as any action needed to maintain physical health and safety of the workforce. The CHRO shall work with the IT Manager to ensure continuity of physical security at the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&lt;Company Name&gt;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office.</w:t>
            </w:r>
          </w:p>
        </w:tc>
      </w:tr>
    </w:tbl>
    <w:p w:rsidR="00000000" w:rsidDel="00000000" w:rsidP="00000000" w:rsidRDefault="00000000" w:rsidRPr="00000000" w14:paraId="00000037">
      <w:pPr>
        <w:pStyle w:val="Heading1"/>
        <w:keepNext w:val="1"/>
        <w:spacing w:after="160" w:before="320" w:lineRule="auto"/>
        <w:rPr/>
      </w:pPr>
      <w:r>
        <w:t>Continuity of Critical Services</w:t>
      </w:r>
    </w:p>
    <w:p w:rsidR="00000000" w:rsidDel="00000000" w:rsidP="00000000" w:rsidRDefault="00000000" w:rsidRPr="00000000" w14:paraId="00000038">
      <w:pPr>
        <w:ind w:firstLine="0"/>
        <w:rPr/>
      </w:pPr>
      <w:r>
        <w:t>Procedures for maintaining continuity of critical services in a disaster can be found in Appendix A.</w:t>
      </w:r>
    </w:p>
    <w:p w:rsidR="00000000" w:rsidDel="00000000" w:rsidP="00000000" w:rsidRDefault="00000000" w:rsidRPr="00000000" w14:paraId="00000039">
      <w:pPr>
        <w:ind w:firstLine="0"/>
        <w:rPr/>
      </w:pPr>
      <w:r/>
    </w:p>
    <w:p w:rsidR="00000000" w:rsidDel="00000000" w:rsidP="00000000" w:rsidRDefault="00000000" w:rsidRPr="00000000" w14:paraId="0000003A">
      <w:pPr>
        <w:ind w:firstLine="0"/>
        <w:rPr/>
      </w:pPr>
      <w:r>
        <w:t>Recovery Time Objectives (RTO) and Recovery Point Objects (RPO) can be found in Appendix B.</w:t>
      </w:r>
    </w:p>
    <w:p w:rsidR="00000000" w:rsidDel="00000000" w:rsidP="00000000" w:rsidRDefault="00000000" w:rsidRPr="00000000" w14:paraId="0000003B">
      <w:pPr>
        <w:ind w:firstLine="0"/>
        <w:rPr/>
      </w:pPr>
      <w:r/>
    </w:p>
    <w:p w:rsidR="00000000" w:rsidDel="00000000" w:rsidP="00000000" w:rsidRDefault="00000000" w:rsidRPr="00000000" w14:paraId="0000003C">
      <w:pPr>
        <w:ind w:firstLine="0"/>
        <w:rPr/>
      </w:pPr>
      <w:r>
        <w:t>Strategy for maintaining continuity of services can be seen in the following table:</w:t>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7200"/>
        <w:tblGridChange w:id="0">
          <w:tblGrid>
            <w:gridCol w:w="2160"/>
            <w:gridCol w:w="7200"/>
          </w:tblGrid>
        </w:tblGridChange>
      </w:tblGrid>
      <w:tr>
        <w:trPr>
          <w:cantSplit w:val="0"/>
          <w:tblHeader w:val="0"/>
        </w:trPr>
        <w:tc>
          <w:tcPr>
            <w:shd w:fill="94b2d6" w:val="clear"/>
          </w:tcPr>
          <w:p w:rsidR="00000000" w:rsidDel="00000000" w:rsidP="00000000" w:rsidRDefault="00000000" w:rsidRPr="00000000" w14:paraId="0000003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BUSINESS PROCESS</w:t>
            </w:r>
          </w:p>
        </w:tc>
        <w:tc>
          <w:tcPr>
            <w:shd w:fill="94b2d6" w:val="clear"/>
          </w:tcPr>
          <w:p w:rsidR="00000000" w:rsidDel="00000000" w:rsidP="00000000" w:rsidRDefault="00000000" w:rsidRPr="00000000" w14:paraId="0000003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CONTINUITY STRATEGY</w:t>
            </w:r>
          </w:p>
        </w:tc>
      </w:tr>
      <w:tr>
        <w:trPr>
          <w:cantSplit w:val="0"/>
          <w:tblHeader w:val="0"/>
        </w:trPr>
        <w:tc>
          <w:tcPr/>
          <w:p w:rsidR="00000000" w:rsidDel="00000000" w:rsidP="00000000" w:rsidRDefault="00000000" w:rsidRPr="00000000" w14:paraId="0000003F">
            <w:pPr>
              <w:ind w:firstLine="0"/>
              <w:rPr/>
            </w:pPr>
            <w:r w:rsidDel="00000000" w:rsidR="00000000" w:rsidRPr="00000000">
              <w:rPr>
                <w:rtl w:val="0"/>
              </w:rPr>
              <w:t xml:space="preserve">Customer (Production) Service Delivery</w:t>
            </w:r>
          </w:p>
        </w:tc>
        <w:tc>
          <w:tcPr/>
          <w:p w:rsidR="00000000" w:rsidDel="00000000" w:rsidP="00000000" w:rsidRDefault="00000000" w:rsidRPr="00000000" w14:paraId="00000040">
            <w:pPr>
              <w:ind w:firstLine="0"/>
              <w:rPr/>
            </w:pPr>
            <w:r w:rsidDel="00000000" w:rsidR="00000000" w:rsidRPr="00000000">
              <w:rPr>
                <w:rtl w:val="0"/>
              </w:rPr>
              <w:t xml:space="preserve">Rely on AWS availability commitments and SLAs</w:t>
            </w:r>
          </w:p>
        </w:tc>
      </w:tr>
      <w:tr>
        <w:trPr>
          <w:cantSplit w:val="0"/>
          <w:tblHeader w:val="0"/>
        </w:trPr>
        <w:tc>
          <w:tcPr/>
          <w:p w:rsidR="00000000" w:rsidDel="00000000" w:rsidP="00000000" w:rsidRDefault="00000000" w:rsidRPr="00000000" w14:paraId="00000041">
            <w:pPr>
              <w:ind w:firstLine="0"/>
              <w:rPr/>
            </w:pPr>
            <w:r w:rsidDel="00000000" w:rsidR="00000000" w:rsidRPr="00000000">
              <w:rPr>
                <w:rtl w:val="0"/>
              </w:rPr>
              <w:t xml:space="preserve">IT Operations</w:t>
            </w:r>
          </w:p>
        </w:tc>
        <w:tc>
          <w:tcPr/>
          <w:p w:rsidR="00000000" w:rsidDel="00000000" w:rsidP="00000000" w:rsidRDefault="00000000" w:rsidRPr="00000000" w14:paraId="00000042">
            <w:pPr>
              <w:ind w:firstLine="0"/>
              <w:rPr/>
            </w:pPr>
            <w:r w:rsidDel="00000000" w:rsidR="00000000" w:rsidRPr="00000000">
              <w:rPr>
                <w:rtl w:val="0"/>
              </w:rPr>
              <w:t xml:space="preserve">Not dependent on HQ. VPN is redundant between HQ and Colo. Critical data is backed up to alternate locations.</w:t>
            </w:r>
          </w:p>
        </w:tc>
      </w:tr>
      <w:tr>
        <w:trPr>
          <w:cantSplit w:val="0"/>
          <w:tblHeader w:val="0"/>
        </w:trPr>
        <w:tc>
          <w:tcPr/>
          <w:p w:rsidR="00000000" w:rsidDel="00000000" w:rsidP="00000000" w:rsidRDefault="00000000" w:rsidRPr="00000000" w14:paraId="00000043">
            <w:pPr>
              <w:ind w:firstLine="0"/>
              <w:rPr/>
            </w:pPr>
            <w:r w:rsidDel="00000000" w:rsidR="00000000" w:rsidRPr="00000000">
              <w:rPr>
                <w:rtl w:val="0"/>
              </w:rPr>
              <w:t xml:space="preserve">Email</w:t>
            </w:r>
          </w:p>
        </w:tc>
        <w:tc>
          <w:tcPr/>
          <w:p w:rsidR="00000000" w:rsidDel="00000000" w:rsidP="00000000" w:rsidRDefault="00000000" w:rsidRPr="00000000" w14:paraId="00000044">
            <w:pPr>
              <w:ind w:firstLine="0"/>
              <w:rPr/>
            </w:pPr>
            <w:r w:rsidDel="00000000" w:rsidR="00000000" w:rsidRPr="00000000">
              <w:rPr>
                <w:rtl w:val="0"/>
              </w:rPr>
              <w:t xml:space="preserve">Utilize Gmail and its distributed nature, rely on Google’s standard service level agreements.</w:t>
            </w:r>
          </w:p>
        </w:tc>
      </w:tr>
      <w:tr>
        <w:trPr>
          <w:cantSplit w:val="0"/>
          <w:tblHeader w:val="0"/>
        </w:trPr>
        <w:tc>
          <w:tcPr/>
          <w:p w:rsidR="00000000" w:rsidDel="00000000" w:rsidP="00000000" w:rsidRDefault="00000000" w:rsidRPr="00000000" w14:paraId="00000045">
            <w:pPr>
              <w:ind w:firstLine="0"/>
              <w:rPr/>
            </w:pPr>
            <w:r w:rsidDel="00000000" w:rsidR="00000000" w:rsidRPr="00000000">
              <w:rPr>
                <w:rtl w:val="0"/>
              </w:rPr>
              <w:t xml:space="preserve">Finance, Legal and HR</w:t>
            </w:r>
          </w:p>
        </w:tc>
        <w:tc>
          <w:tcPr/>
          <w:p w:rsidR="00000000" w:rsidDel="00000000" w:rsidP="00000000" w:rsidRDefault="00000000" w:rsidRPr="00000000" w14:paraId="00000046">
            <w:pPr>
              <w:ind w:firstLine="0"/>
              <w:rPr/>
            </w:pPr>
            <w:r w:rsidDel="00000000" w:rsidR="00000000" w:rsidRPr="00000000">
              <w:rPr>
                <w:rtl w:val="0"/>
              </w:rPr>
              <w:t xml:space="preserve">All systems are vendor-hosted SaaS applications.</w:t>
            </w:r>
          </w:p>
        </w:tc>
      </w:tr>
      <w:tr>
        <w:trPr>
          <w:cantSplit w:val="0"/>
          <w:tblHeader w:val="0"/>
        </w:trPr>
        <w:tc>
          <w:tcPr/>
          <w:p w:rsidR="00000000" w:rsidDel="00000000" w:rsidP="00000000" w:rsidRDefault="00000000" w:rsidRPr="00000000" w14:paraId="00000047">
            <w:pPr>
              <w:ind w:firstLine="0"/>
              <w:rPr/>
            </w:pPr>
            <w:r w:rsidDel="00000000" w:rsidR="00000000" w:rsidRPr="00000000">
              <w:rPr>
                <w:rtl w:val="0"/>
              </w:rPr>
              <w:t xml:space="preserve">Sales and Marketing</w:t>
            </w:r>
          </w:p>
        </w:tc>
        <w:tc>
          <w:tcPr/>
          <w:p w:rsidR="00000000" w:rsidDel="00000000" w:rsidP="00000000" w:rsidRDefault="00000000" w:rsidRPr="00000000" w14:paraId="00000048">
            <w:pPr>
              <w:ind w:firstLine="0"/>
              <w:rPr/>
            </w:pPr>
            <w:r w:rsidDel="00000000" w:rsidR="00000000" w:rsidRPr="00000000">
              <w:rPr>
                <w:rtl w:val="0"/>
              </w:rPr>
              <w:t xml:space="preserve">All systems are vendor-hosted SaaS applications.</w:t>
            </w:r>
          </w:p>
        </w:tc>
      </w:tr>
    </w:tbl>
    <w:p w:rsidR="00000000" w:rsidDel="00000000" w:rsidP="00000000" w:rsidRDefault="00000000" w:rsidRPr="00000000" w14:paraId="00000049">
      <w:pPr>
        <w:pStyle w:val="Heading3"/>
        <w:ind w:firstLine="0"/>
        <w:rPr/>
      </w:pPr>
      <w:r>
        <w:t>Plan Activation</w:t>
      </w:r>
    </w:p>
    <w:p w:rsidR="00000000" w:rsidDel="00000000" w:rsidP="00000000" w:rsidRDefault="00000000" w:rsidRPr="00000000" w14:paraId="0000004A">
      <w:pPr>
        <w:pStyle w:val="Heading3"/>
        <w:ind w:firstLine="0"/>
        <w:rPr/>
      </w:pPr>
      <w:r>
        <w:t>This BC/DR shall be automatically activated in the event of the loss or unavailability of the &lt;Company Name&gt; office, or a natural disaster (i.e., severe weather, regional power outage, earthquake) affecting the larger &lt;describe the location of your company’s headquarters, e.g., San Francisco, CA&gt; region.</w:t>
      </w:r>
    </w:p>
    <w:p w:rsidR="00000000" w:rsidDel="00000000" w:rsidP="00000000" w:rsidRDefault="00000000" w:rsidRPr="00000000" w14:paraId="0000004B">
      <w:pPr>
        <w:ind w:firstLine="0"/>
        <w:rPr/>
      </w:pPr>
      <w:r/>
    </w:p>
    <w:tbl>
      <w:tblPr>
        <w:tblStyle w:val="Table3"/>
        <w:tblW w:w="9360.0" w:type="dxa"/>
        <w:jc w:val="center"/>
        <w:tblLayout w:type="fixed"/>
        <w:tblLook w:val="0000"/>
      </w:tblPr>
      <w:tblGrid>
        <w:gridCol w:w="1440"/>
        <w:gridCol w:w="1440"/>
        <w:gridCol w:w="2880"/>
        <w:gridCol w:w="1800"/>
        <w:gridCol w:w="1800"/>
        <w:tblGridChange w:id="0">
          <w:tblGrid>
            <w:gridCol w:w="1440"/>
            <w:gridCol w:w="1440"/>
            <w:gridCol w:w="2880"/>
            <w:gridCol w:w="1800"/>
            <w:gridCol w:w="1800"/>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4C">
            <w:pPr>
              <w:spacing w:after="0" w:lineRule="auto"/>
              <w:ind w:firstLine="0"/>
              <w:jc w:val="center"/>
              <w:rPr/>
            </w:pPr>
            <w:bookmarkStart w:colFirst="0" w:colLast="0" w:name="_gjdgxs" w:id="5"/>
            <w:bookmarkEnd w:id="5"/>
            <w:r w:rsidDel="00000000" w:rsidR="00000000" w:rsidRPr="00000000">
              <w:rPr>
                <w:b w:val="1"/>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4D">
            <w:pPr>
              <w:spacing w:after="0" w:lineRule="auto"/>
              <w:ind w:firstLine="0"/>
              <w:jc w:val="center"/>
              <w:rPr/>
            </w:pPr>
            <w:r w:rsidDel="00000000" w:rsidR="00000000" w:rsidRPr="00000000">
              <w:rPr>
                <w:b w:val="1"/>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4E">
            <w:pPr>
              <w:spacing w:after="0" w:lineRule="auto"/>
              <w:ind w:firstLine="0"/>
              <w:jc w:val="center"/>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4F">
            <w:pPr>
              <w:spacing w:after="0" w:lineRule="auto"/>
              <w:ind w:firstLine="0"/>
              <w:jc w:val="center"/>
              <w:rPr/>
            </w:pPr>
            <w:r w:rsidDel="00000000" w:rsidR="00000000" w:rsidRPr="00000000">
              <w:rPr>
                <w:b w:val="1"/>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50">
            <w:pPr>
              <w:spacing w:after="0" w:lineRule="auto"/>
              <w:ind w:firstLine="0"/>
              <w:jc w:val="center"/>
              <w:rPr/>
            </w:pPr>
            <w:r w:rsidDel="00000000" w:rsidR="00000000" w:rsidRPr="00000000">
              <w:rPr>
                <w:b w:val="1"/>
                <w:rtl w:val="0"/>
              </w:rPr>
              <w:t xml:space="preserve">Approved by</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line="259" w:lineRule="auto"/>
              <w:ind w:right="60" w:firstLine="0"/>
              <w:jc w:val="center"/>
              <w:rPr>
                <w:highlight w:val="yellow"/>
              </w:rPr>
            </w:pPr>
            <w:r w:rsidDel="00000000" w:rsidR="00000000" w:rsidRPr="00000000">
              <w:rPr>
                <w:highlight w:val="yellow"/>
                <w:rtl w:val="0"/>
              </w:rPr>
              <w:t xml:space="preserve">&lt;1.0&gt;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line="259" w:lineRule="auto"/>
              <w:ind w:firstLine="0"/>
              <w:jc w:val="center"/>
              <w:rPr>
                <w:highlight w:val="yellow"/>
              </w:rPr>
            </w:pPr>
            <w:r w:rsidDel="00000000" w:rsidR="00000000" w:rsidRPr="00000000">
              <w:rPr>
                <w:highlight w:val="yellow"/>
                <w:rtl w:val="0"/>
              </w:rPr>
              <w:t xml:space="preserve">&lt;29-Apr-2020&gt;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line="259" w:lineRule="auto"/>
              <w:ind w:right="50" w:firstLine="0"/>
              <w:jc w:val="center"/>
              <w:rPr>
                <w:highlight w:val="yellow"/>
              </w:rPr>
            </w:pPr>
            <w:r w:rsidDel="00000000" w:rsidR="00000000" w:rsidRPr="00000000">
              <w:rPr>
                <w:highlight w:val="yellow"/>
                <w:rtl w:val="0"/>
              </w:rPr>
              <w:t xml:space="preserve">&lt;First Version&gt;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line="259" w:lineRule="auto"/>
              <w:ind w:right="84" w:firstLine="0"/>
              <w:jc w:val="center"/>
              <w:rPr>
                <w:highlight w:val="yellow"/>
              </w:rPr>
            </w:pPr>
            <w:r w:rsidDel="00000000" w:rsidR="00000000" w:rsidRPr="00000000">
              <w:rPr>
                <w:highlight w:val="yellow"/>
                <w:rtl w:val="0"/>
              </w:rPr>
              <w:t xml:space="preserve">&lt;OWNER&gt;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line="259" w:lineRule="auto"/>
              <w:ind w:right="51" w:firstLine="0"/>
              <w:jc w:val="center"/>
              <w:rPr>
                <w:highlight w:val="yellow"/>
              </w:rPr>
            </w:pPr>
            <w:r w:rsidDel="00000000" w:rsidR="00000000" w:rsidRPr="00000000">
              <w:rPr>
                <w:highlight w:val="yellow"/>
                <w:rtl w:val="0"/>
              </w:rPr>
              <w:t xml:space="preserve">&lt;APPROVER&gt;</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160" w:line="259" w:lineRule="auto"/>
              <w:ind w:firstLine="0"/>
              <w:jc w:val="center"/>
              <w:rPr/>
            </w:pPr>
            <w:r w:rsidDel="00000000" w:rsidR="00000000" w:rsidRPr="00000000">
              <w:rPr>
                <w:rtl w:val="0"/>
              </w:rPr>
            </w:r>
          </w:p>
        </w:tc>
      </w:tr>
    </w:tbl>
    <w:p w:rsidR="00000000" w:rsidDel="00000000" w:rsidP="00000000" w:rsidRDefault="00000000" w:rsidRPr="00000000" w14:paraId="0000005B">
      <w:pPr>
        <w:ind w:firstLine="0"/>
        <w:rPr/>
      </w:pPr>
      <w:r/>
    </w:p>
    <w:p w:rsidR="00000000" w:rsidDel="00000000" w:rsidP="00000000" w:rsidRDefault="00000000" w:rsidRPr="00000000" w14:paraId="0000005C">
      <w:pPr>
        <w:ind w:firstLine="0"/>
        <w:rPr/>
      </w:pPr>
      <w:r/>
    </w:p>
    <w:p w:rsidR="00000000" w:rsidDel="00000000" w:rsidP="00000000" w:rsidRDefault="00000000" w:rsidRPr="00000000" w14:paraId="0000005D">
      <w:pPr>
        <w:ind w:firstLine="0"/>
        <w:rPr/>
      </w:pPr>
      <w:r/>
    </w:p>
    <w:p w:rsidR="00000000" w:rsidDel="00000000" w:rsidP="00000000" w:rsidRDefault="00000000" w:rsidRPr="00000000" w14:paraId="0000005E">
      <w:pPr>
        <w:pStyle w:val="Heading1"/>
        <w:ind w:firstLine="0"/>
        <w:rPr/>
      </w:pPr>
      <w:r>
        <w:t>Appendix A – Business Continuity Procedures by Scenario</w:t>
      </w:r>
    </w:p>
    <w:p w:rsidR="00000000" w:rsidDel="00000000" w:rsidP="00000000" w:rsidRDefault="00000000" w:rsidRPr="00000000" w14:paraId="0000005F">
      <w:pPr>
        <w:pStyle w:val="Heading2"/>
        <w:ind w:firstLine="0"/>
        <w:rPr>
          <w:highlight w:val="yellow"/>
        </w:rPr>
      </w:pPr>
      <w:r>
        <w:t>Business Continuity Scenarios</w:t>
      </w:r>
    </w:p>
    <w:p w:rsidR="00000000" w:rsidDel="00000000" w:rsidP="00000000" w:rsidRDefault="00000000" w:rsidRPr="00000000" w14:paraId="00000060">
      <w:pPr>
        <w:pStyle w:val="Heading3"/>
        <w:ind w:firstLine="0"/>
        <w:rPr>
          <w:highlight w:val="yellow"/>
        </w:rPr>
      </w:pPr>
      <w:r>
        <w:t>HQ Offline (power and/or network)</w:t>
      </w:r>
    </w:p>
    <w:p w:rsidR="00000000" w:rsidDel="00000000" w:rsidP="00000000" w:rsidRDefault="00000000" w:rsidRPr="00000000" w14:paraId="00000061">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CRM, Telephony, Video Conferencing/Screen Share &amp; Corp Email unaffected</w:t>
      </w:r>
    </w:p>
    <w:p w:rsidR="00000000" w:rsidDel="00000000" w:rsidP="00000000" w:rsidRDefault="00000000" w:rsidRPr="00000000" w14:paraId="00000062">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SUPPORT unaffected</w:t>
      </w:r>
    </w:p>
    <w:p w:rsidR="00000000" w:rsidDel="00000000" w:rsidP="00000000" w:rsidRDefault="00000000" w:rsidRPr="00000000" w14:paraId="00000063">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HQ Staff offline (30-60 minutes)</w:t>
      </w:r>
    </w:p>
    <w:p w:rsidR="00000000" w:rsidDel="00000000" w:rsidP="00000000" w:rsidRDefault="00000000" w:rsidRPr="00000000" w14:paraId="00000064">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Remote Staff unaffected (US)</w:t>
      </w:r>
    </w:p>
    <w:p w:rsidR="00000000" w:rsidDel="00000000" w:rsidP="00000000" w:rsidRDefault="00000000" w:rsidRPr="00000000" w14:paraId="00000065">
      <w:pPr>
        <w:pStyle w:val="Heading4"/>
        <w:ind w:firstLine="0"/>
        <w:rPr>
          <w:color w:val="000000"/>
          <w:highlight w:val="yellow"/>
        </w:rPr>
      </w:pPr>
      <w:r>
        <w:t>Procedure:</w:t>
      </w:r>
    </w:p>
    <w:p w:rsidR="00000000" w:rsidDel="00000000" w:rsidP="00000000" w:rsidRDefault="00000000" w:rsidRPr="00000000" w14:paraId="00000066">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HQ Staff relocate to home offices (30-60 minutes)</w:t>
      </w:r>
    </w:p>
    <w:p w:rsidR="00000000" w:rsidDel="00000000" w:rsidP="00000000" w:rsidRDefault="00000000" w:rsidRPr="00000000" w14:paraId="00000067">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Verify Telephony, CRM, &amp; Email Connectivity at home offices (10 minutes)</w:t>
      </w:r>
    </w:p>
    <w:p w:rsidR="00000000" w:rsidDel="00000000" w:rsidP="00000000" w:rsidRDefault="00000000" w:rsidRPr="00000000" w14:paraId="00000068">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 xml:space="preserve">Remotely resume normal operations </w:t>
      </w:r>
    </w:p>
    <w:p w:rsidR="00000000" w:rsidDel="00000000" w:rsidP="00000000" w:rsidRDefault="00000000" w:rsidRPr="00000000" w14:paraId="00000069">
      <w:pPr>
        <w:pStyle w:val="Heading3"/>
        <w:ind w:firstLine="0"/>
        <w:rPr>
          <w:highlight w:val="yellow"/>
        </w:rPr>
      </w:pPr>
      <w:r>
        <w:t>Colo Offline (power and/or network)</w:t>
      </w:r>
    </w:p>
    <w:p w:rsidR="00000000" w:rsidDel="00000000" w:rsidP="00000000" w:rsidRDefault="00000000" w:rsidRPr="00000000" w14:paraId="0000006A">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CRM, Telephony, Video Conferencing/Screen Share &amp; Corp Email unaffected</w:t>
      </w:r>
    </w:p>
    <w:p w:rsidR="00000000" w:rsidDel="00000000" w:rsidP="00000000" w:rsidRDefault="00000000" w:rsidRPr="00000000" w14:paraId="0000006B">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SUPPORT Offline</w:t>
      </w:r>
    </w:p>
    <w:p w:rsidR="00000000" w:rsidDel="00000000" w:rsidP="00000000" w:rsidRDefault="00000000" w:rsidRPr="00000000" w14:paraId="0000006C">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Production Database offline (redundant)</w:t>
      </w:r>
    </w:p>
    <w:p w:rsidR="00000000" w:rsidDel="00000000" w:rsidP="00000000" w:rsidRDefault="00000000" w:rsidRPr="00000000" w14:paraId="0000006D">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HQ Staff unaffected</w:t>
      </w:r>
    </w:p>
    <w:p w:rsidR="00000000" w:rsidDel="00000000" w:rsidP="00000000" w:rsidRDefault="00000000" w:rsidRPr="00000000" w14:paraId="0000006E">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Remote Staff unaffected (US)</w:t>
      </w:r>
    </w:p>
    <w:p w:rsidR="00000000" w:rsidDel="00000000" w:rsidP="00000000" w:rsidRDefault="00000000" w:rsidRPr="00000000" w14:paraId="0000006F">
      <w:pPr>
        <w:pStyle w:val="Heading4"/>
        <w:ind w:firstLine="0"/>
        <w:rPr>
          <w:highlight w:val="yellow"/>
        </w:rPr>
      </w:pPr>
      <w:r>
        <w:t>Procedure:</w:t>
      </w:r>
    </w:p>
    <w:p w:rsidR="00000000" w:rsidDel="00000000" w:rsidP="00000000" w:rsidRDefault="00000000" w:rsidRPr="00000000" w14:paraId="00000070">
      <w:pPr>
        <w:keepNext w:val="0"/>
        <w:keepLines w:val="1"/>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Notify Customer Base that proactive monitoring is offline</w:t>
      </w:r>
    </w:p>
    <w:p w:rsidR="00000000" w:rsidDel="00000000" w:rsidP="00000000" w:rsidRDefault="00000000" w:rsidRPr="00000000" w14:paraId="00000071">
      <w:pPr>
        <w:keepNext w:val="0"/>
        <w:keepLines w:val="1"/>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Normal operations continue</w:t>
      </w:r>
    </w:p>
    <w:p w:rsidR="00000000" w:rsidDel="00000000" w:rsidP="00000000" w:rsidRDefault="00000000" w:rsidRPr="00000000" w14:paraId="00000072">
      <w:pPr>
        <w:pStyle w:val="Heading3"/>
        <w:ind w:firstLine="0"/>
        <w:rPr>
          <w:highlight w:val="yellow"/>
        </w:rPr>
      </w:pPr>
      <w:r>
        <w:t>Disaster Event at HQ (&lt;Location 1&gt; &amp; &lt;Location 2&gt;)</w:t>
      </w:r>
    </w:p>
    <w:p w:rsidR="00000000" w:rsidDel="00000000" w:rsidP="00000000" w:rsidRDefault="00000000" w:rsidRPr="00000000" w14:paraId="00000073">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CRM, Telephony, Video Conferencing/Screen Share &amp; Corp Email unaffected</w:t>
      </w:r>
    </w:p>
    <w:p w:rsidR="00000000" w:rsidDel="00000000" w:rsidP="00000000" w:rsidRDefault="00000000" w:rsidRPr="00000000" w14:paraId="00000074">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SUPPORT offline</w:t>
      </w:r>
    </w:p>
    <w:p w:rsidR="00000000" w:rsidDel="00000000" w:rsidP="00000000" w:rsidRDefault="00000000" w:rsidRPr="00000000" w14:paraId="00000075">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HQ Staff offline (variable impact)</w:t>
      </w:r>
    </w:p>
    <w:p w:rsidR="00000000" w:rsidDel="00000000" w:rsidP="00000000" w:rsidRDefault="00000000" w:rsidRPr="00000000" w14:paraId="00000076">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Remote Staff unaffected (US)</w:t>
      </w:r>
    </w:p>
    <w:p w:rsidR="00000000" w:rsidDel="00000000" w:rsidP="00000000" w:rsidRDefault="00000000" w:rsidRPr="00000000" w14:paraId="00000077">
      <w:pPr>
        <w:pStyle w:val="Heading4"/>
        <w:ind w:firstLine="0"/>
        <w:rPr>
          <w:highlight w:val="yellow"/>
        </w:rPr>
      </w:pPr>
      <w:r>
        <w:t>Procedure:</w:t>
      </w:r>
    </w:p>
    <w:p w:rsidR="00000000" w:rsidDel="00000000" w:rsidP="00000000" w:rsidRDefault="00000000" w:rsidRPr="00000000" w14:paraId="00000078">
      <w:pPr>
        <w:keepNext w:val="0"/>
        <w:keepLines w:val="1"/>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Activate Remote Staff (US)</w:t>
      </w:r>
    </w:p>
    <w:p w:rsidR="00000000" w:rsidDel="00000000" w:rsidP="00000000" w:rsidRDefault="00000000" w:rsidRPr="00000000" w14:paraId="00000079">
      <w:pPr>
        <w:keepNext w:val="0"/>
        <w:keepLines w:val="1"/>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Notify Customer Base of impaired functions &amp; potential delays</w:t>
      </w:r>
    </w:p>
    <w:p w:rsidR="00000000" w:rsidDel="00000000" w:rsidP="00000000" w:rsidRDefault="00000000" w:rsidRPr="00000000" w14:paraId="0000007A">
      <w:pPr>
        <w:keepNext w:val="0"/>
        <w:keepLines w:val="1"/>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Commandeer Field Resources for Critical Response (SE Teams)</w:t>
      </w:r>
    </w:p>
    <w:p w:rsidR="00000000" w:rsidDel="00000000" w:rsidP="00000000" w:rsidRDefault="00000000" w:rsidRPr="00000000" w14:paraId="0000007B">
      <w:pPr>
        <w:pStyle w:val="Heading3"/>
        <w:ind w:firstLine="0"/>
        <w:rPr>
          <w:highlight w:val="yellow"/>
        </w:rPr>
      </w:pPr>
      <w:r>
        <w:t>SaaS Tools Down</w:t>
      </w:r>
    </w:p>
    <w:p w:rsidR="00000000" w:rsidDel="00000000" w:rsidP="00000000" w:rsidRDefault="00000000" w:rsidRPr="00000000" w14:paraId="0000007C">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CRM, Telephony, Video Conferencing/Screen Share, or Corp Email Affected</w:t>
      </w:r>
    </w:p>
    <w:p w:rsidR="00000000" w:rsidDel="00000000" w:rsidP="00000000" w:rsidRDefault="00000000" w:rsidRPr="00000000" w14:paraId="0000007D">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SUPPORT partially affected (no new cases, manual triage required)</w:t>
      </w:r>
    </w:p>
    <w:p w:rsidR="00000000" w:rsidDel="00000000" w:rsidP="00000000" w:rsidRDefault="00000000" w:rsidRPr="00000000" w14:paraId="0000007E">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HQ Staff unaffected</w:t>
      </w:r>
    </w:p>
    <w:p w:rsidR="00000000" w:rsidDel="00000000" w:rsidP="00000000" w:rsidRDefault="00000000" w:rsidRPr="00000000" w14:paraId="0000007F">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Remote Staff unaffected (US)</w:t>
      </w:r>
    </w:p>
    <w:p w:rsidR="00000000" w:rsidDel="00000000" w:rsidP="00000000" w:rsidRDefault="00000000" w:rsidRPr="00000000" w14:paraId="00000080">
      <w:pPr>
        <w:pStyle w:val="Heading4"/>
        <w:ind w:firstLine="0"/>
        <w:rPr>
          <w:highlight w:val="yellow"/>
        </w:rPr>
      </w:pPr>
      <w:r>
        <w:t>Procedures:</w:t>
      </w:r>
    </w:p>
    <w:p w:rsidR="00000000" w:rsidDel="00000000" w:rsidP="00000000" w:rsidRDefault="00000000" w:rsidRPr="00000000" w14:paraId="00000081">
      <w:pPr>
        <w:pStyle w:val="Heading5"/>
        <w:ind w:firstLine="0"/>
        <w:rPr>
          <w:highlight w:val="yellow"/>
        </w:rPr>
      </w:pPr>
      <w:r>
        <w:t xml:space="preserve">Telephony Down </w:t>
      </w:r>
    </w:p>
    <w:p w:rsidR="00000000" w:rsidDel="00000000" w:rsidP="00000000" w:rsidRDefault="00000000" w:rsidRPr="00000000" w14:paraId="00000082">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Notify Customer Base to use Support Portal or Email</w:t>
      </w:r>
    </w:p>
    <w:p w:rsidR="00000000" w:rsidDel="00000000" w:rsidP="00000000" w:rsidRDefault="00000000" w:rsidRPr="00000000" w14:paraId="00000083">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Support Staff use Mobile Phones and/or Land Lines as needed</w:t>
      </w:r>
    </w:p>
    <w:p w:rsidR="00000000" w:rsidDel="00000000" w:rsidP="00000000" w:rsidRDefault="00000000" w:rsidRPr="00000000" w14:paraId="00000084">
      <w:pPr>
        <w:pStyle w:val="Heading5"/>
        <w:ind w:firstLine="0"/>
        <w:rPr>
          <w:highlight w:val="yellow"/>
        </w:rPr>
      </w:pPr>
      <w:r>
        <w:t>Email Down (Gmail/Corp Email)</w:t>
      </w:r>
    </w:p>
    <w:p w:rsidR="00000000" w:rsidDel="00000000" w:rsidP="00000000" w:rsidRDefault="00000000" w:rsidRPr="00000000" w14:paraId="00000085">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Support Staff manually manage ‘case’ related communications</w:t>
      </w:r>
    </w:p>
    <w:p w:rsidR="00000000" w:rsidDel="00000000" w:rsidP="00000000" w:rsidRDefault="00000000" w:rsidRPr="00000000" w14:paraId="00000086">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Support Staff use alternate email accounts as needed (Hotmail)</w:t>
      </w:r>
    </w:p>
    <w:p w:rsidR="00000000" w:rsidDel="00000000" w:rsidP="00000000" w:rsidRDefault="00000000" w:rsidRPr="00000000" w14:paraId="00000087">
      <w:pPr>
        <w:pStyle w:val="Heading5"/>
        <w:ind w:firstLine="0"/>
        <w:rPr>
          <w:highlight w:val="yellow"/>
        </w:rPr>
      </w:pPr>
      <w:r>
        <w:t>CRM Down</w:t>
      </w:r>
    </w:p>
    <w:p w:rsidR="00000000" w:rsidDel="00000000" w:rsidP="00000000" w:rsidRDefault="00000000" w:rsidRPr="00000000" w14:paraId="00000088">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Notify Customer Base that CRM is down</w:t>
      </w:r>
    </w:p>
    <w:p w:rsidR="00000000" w:rsidDel="00000000" w:rsidP="00000000" w:rsidRDefault="00000000" w:rsidRPr="00000000" w14:paraId="00000089">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Activate ‘Spreadsheet’ Case Tracking (Google Sheets)</w:t>
      </w:r>
    </w:p>
    <w:p w:rsidR="00000000" w:rsidDel="00000000" w:rsidP="00000000" w:rsidRDefault="00000000" w:rsidRPr="00000000" w14:paraId="0000008A">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Leverage ‘Production’ Database for Entitlements, Case History, Configuration data.</w:t>
      </w:r>
    </w:p>
    <w:p w:rsidR="00000000" w:rsidDel="00000000" w:rsidP="00000000" w:rsidRDefault="00000000" w:rsidRPr="00000000" w14:paraId="0000008B">
      <w:pPr>
        <w:pStyle w:val="Heading5"/>
        <w:ind w:firstLine="0"/>
        <w:rPr>
          <w:highlight w:val="yellow"/>
        </w:rPr>
      </w:pPr>
      <w:r>
        <w:t>Video Conferencing/ScreenShare Down (Zoom)</w:t>
      </w:r>
    </w:p>
    <w:p w:rsidR="00000000" w:rsidDel="00000000" w:rsidP="00000000" w:rsidRDefault="00000000" w:rsidRPr="00000000" w14:paraId="0000008C">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highlight w:val="yellow"/>
          <w:u w:val="none"/>
          <w:vertAlign w:val="baseline"/>
        </w:rPr>
      </w:pPr>
      <w:r>
        <w:t>Support Staff utilize alternate service as needed</w:t>
      </w:r>
    </w:p>
    <w:p w:rsidR="00000000" w:rsidDel="00000000" w:rsidP="00000000" w:rsidRDefault="00000000" w:rsidRPr="00000000" w14:paraId="0000008D">
      <w:pPr>
        <w:ind w:firstLine="0"/>
        <w:rPr/>
      </w:pPr>
      <w:r/>
    </w:p>
    <w:p w:rsidR="00000000" w:rsidDel="00000000" w:rsidP="00000000" w:rsidRDefault="00000000" w:rsidRPr="00000000" w14:paraId="0000008E">
      <w:pPr>
        <w:pStyle w:val="Heading1"/>
        <w:rPr/>
      </w:pPr>
      <w:r>
        <w:t>Appendix B – RTOs/RPOs</w:t>
      </w:r>
    </w:p>
    <w:p w:rsidR="00000000" w:rsidDel="00000000" w:rsidP="00000000" w:rsidRDefault="00000000" w:rsidRPr="00000000" w14:paraId="0000008F">
      <w:pPr>
        <w:rPr/>
      </w:pPr>
      <w:r/>
    </w:p>
    <w:tbl>
      <w:tblPr>
        <w:tblStyle w:val="Table4"/>
        <w:tblW w:w="9356.98492462311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185"/>
        <w:gridCol w:w="1080"/>
        <w:gridCol w:w="1316.9849246231158"/>
        <w:gridCol w:w="840"/>
        <w:gridCol w:w="1065"/>
        <w:gridCol w:w="915"/>
        <w:gridCol w:w="960"/>
        <w:gridCol w:w="1410"/>
        <w:tblGridChange w:id="0">
          <w:tblGrid>
            <w:gridCol w:w="585"/>
            <w:gridCol w:w="1185"/>
            <w:gridCol w:w="1080"/>
            <w:gridCol w:w="1316.9849246231158"/>
            <w:gridCol w:w="840"/>
            <w:gridCol w:w="1065"/>
            <w:gridCol w:w="915"/>
            <w:gridCol w:w="960"/>
            <w:gridCol w:w="1410"/>
          </w:tblGrid>
        </w:tblGridChange>
      </w:tblGrid>
      <w:tr>
        <w:trPr>
          <w:cantSplit w:val="0"/>
          <w:trHeight w:val="675" w:hRule="atLeast"/>
          <w:tblHeader w:val="0"/>
        </w:trPr>
        <w:tc>
          <w:tcPr>
            <w:tcBorders>
              <w:top w:color="7f7f7f" w:space="0" w:sz="12" w:val="single"/>
              <w:left w:color="7f7f7f" w:space="0" w:sz="12" w:val="single"/>
              <w:bottom w:color="7f7f7f" w:space="0" w:sz="12" w:val="single"/>
              <w:right w:color="7f7f7f" w:space="0" w:sz="12" w:val="single"/>
            </w:tcBorders>
            <w:shd w:fill="bde2f4" w:val="clear"/>
            <w:tcMar>
              <w:top w:w="0.0" w:type="dxa"/>
              <w:left w:w="40.0" w:type="dxa"/>
              <w:bottom w:w="0.0" w:type="dxa"/>
              <w:right w:w="40.0" w:type="dxa"/>
            </w:tcMar>
            <w:vAlign w:val="center"/>
          </w:tcPr>
          <w:p w:rsidR="00000000" w:rsidDel="00000000" w:rsidP="00000000" w:rsidRDefault="00000000" w:rsidRPr="00000000" w14:paraId="00000090">
            <w:pPr>
              <w:keepLines w:val="0"/>
              <w:widowControl w:val="0"/>
              <w:spacing w:after="0" w:line="276" w:lineRule="auto"/>
              <w:jc w:val="center"/>
              <w:rPr>
                <w:sz w:val="22"/>
                <w:szCs w:val="22"/>
              </w:rPr>
            </w:pPr>
            <w:r w:rsidDel="00000000" w:rsidR="00000000" w:rsidRPr="00000000">
              <w:rPr>
                <w:b w:val="1"/>
                <w:sz w:val="20"/>
                <w:szCs w:val="20"/>
                <w:rtl w:val="0"/>
              </w:rPr>
              <w:t xml:space="preserve">Rank</w:t>
            </w:r>
            <w:r w:rsidDel="00000000" w:rsidR="00000000" w:rsidRPr="00000000">
              <w:rPr>
                <w:rtl w:val="0"/>
              </w:rPr>
            </w:r>
          </w:p>
        </w:tc>
        <w:tc>
          <w:tcPr>
            <w:tcBorders>
              <w:top w:color="7f7f7f" w:space="0" w:sz="12" w:val="single"/>
              <w:left w:color="cccccc" w:space="0" w:sz="6" w:val="single"/>
              <w:bottom w:color="7f7f7f" w:space="0" w:sz="12" w:val="single"/>
              <w:right w:color="7f7f7f" w:space="0" w:sz="12" w:val="single"/>
            </w:tcBorders>
            <w:shd w:fill="bde2f4" w:val="clear"/>
            <w:tcMar>
              <w:top w:w="0.0" w:type="dxa"/>
              <w:left w:w="40.0" w:type="dxa"/>
              <w:bottom w:w="0.0" w:type="dxa"/>
              <w:right w:w="40.0" w:type="dxa"/>
            </w:tcMar>
            <w:vAlign w:val="center"/>
          </w:tcPr>
          <w:p w:rsidR="00000000" w:rsidDel="00000000" w:rsidP="00000000" w:rsidRDefault="00000000" w:rsidRPr="00000000" w14:paraId="00000091">
            <w:pPr>
              <w:keepLines w:val="0"/>
              <w:widowControl w:val="0"/>
              <w:spacing w:after="0" w:line="276" w:lineRule="auto"/>
              <w:jc w:val="center"/>
              <w:rPr>
                <w:sz w:val="22"/>
                <w:szCs w:val="22"/>
              </w:rPr>
            </w:pPr>
            <w:r w:rsidDel="00000000" w:rsidR="00000000" w:rsidRPr="00000000">
              <w:rPr>
                <w:b w:val="1"/>
                <w:sz w:val="20"/>
                <w:szCs w:val="20"/>
                <w:rtl w:val="0"/>
              </w:rPr>
              <w:t xml:space="preserve">Asset</w:t>
            </w:r>
            <w:r w:rsidDel="00000000" w:rsidR="00000000" w:rsidRPr="00000000">
              <w:rPr>
                <w:rtl w:val="0"/>
              </w:rPr>
            </w:r>
          </w:p>
        </w:tc>
        <w:tc>
          <w:tcPr>
            <w:tcBorders>
              <w:top w:color="7f7f7f" w:space="0" w:sz="12" w:val="single"/>
              <w:left w:color="cccccc" w:space="0" w:sz="6" w:val="single"/>
              <w:bottom w:color="7f7f7f" w:space="0" w:sz="12" w:val="single"/>
              <w:right w:color="7f7f7f" w:space="0" w:sz="12" w:val="single"/>
            </w:tcBorders>
            <w:shd w:fill="bde2f4" w:val="clear"/>
            <w:tcMar>
              <w:top w:w="0.0" w:type="dxa"/>
              <w:left w:w="40.0" w:type="dxa"/>
              <w:bottom w:w="0.0" w:type="dxa"/>
              <w:right w:w="40.0" w:type="dxa"/>
            </w:tcMar>
            <w:vAlign w:val="center"/>
          </w:tcPr>
          <w:p w:rsidR="00000000" w:rsidDel="00000000" w:rsidP="00000000" w:rsidRDefault="00000000" w:rsidRPr="00000000" w14:paraId="00000092">
            <w:pPr>
              <w:keepLines w:val="0"/>
              <w:widowControl w:val="0"/>
              <w:spacing w:after="0" w:line="276" w:lineRule="auto"/>
              <w:jc w:val="center"/>
              <w:rPr>
                <w:sz w:val="22"/>
                <w:szCs w:val="22"/>
              </w:rPr>
            </w:pPr>
            <w:r w:rsidDel="00000000" w:rsidR="00000000" w:rsidRPr="00000000">
              <w:rPr>
                <w:b w:val="1"/>
                <w:sz w:val="20"/>
                <w:szCs w:val="20"/>
                <w:rtl w:val="0"/>
              </w:rPr>
              <w:t xml:space="preserve">Affected Assets</w:t>
            </w:r>
            <w:r w:rsidDel="00000000" w:rsidR="00000000" w:rsidRPr="00000000">
              <w:rPr>
                <w:rtl w:val="0"/>
              </w:rPr>
            </w:r>
          </w:p>
        </w:tc>
        <w:tc>
          <w:tcPr>
            <w:tcBorders>
              <w:top w:color="7f7f7f" w:space="0" w:sz="12" w:val="single"/>
              <w:left w:color="cccccc" w:space="0" w:sz="6" w:val="single"/>
              <w:bottom w:color="7f7f7f" w:space="0" w:sz="12" w:val="single"/>
              <w:right w:color="7f7f7f" w:space="0" w:sz="12" w:val="single"/>
            </w:tcBorders>
            <w:shd w:fill="bde2f4" w:val="clear"/>
            <w:tcMar>
              <w:top w:w="0.0" w:type="dxa"/>
              <w:left w:w="40.0" w:type="dxa"/>
              <w:bottom w:w="0.0" w:type="dxa"/>
              <w:right w:w="40.0" w:type="dxa"/>
            </w:tcMar>
            <w:vAlign w:val="center"/>
          </w:tcPr>
          <w:p w:rsidR="00000000" w:rsidDel="00000000" w:rsidP="00000000" w:rsidRDefault="00000000" w:rsidRPr="00000000" w14:paraId="00000093">
            <w:pPr>
              <w:keepLines w:val="0"/>
              <w:widowControl w:val="0"/>
              <w:spacing w:after="0" w:line="276" w:lineRule="auto"/>
              <w:jc w:val="center"/>
              <w:rPr>
                <w:sz w:val="22"/>
                <w:szCs w:val="22"/>
              </w:rPr>
            </w:pPr>
            <w:r w:rsidDel="00000000" w:rsidR="00000000" w:rsidRPr="00000000">
              <w:rPr>
                <w:b w:val="1"/>
                <w:sz w:val="20"/>
                <w:szCs w:val="20"/>
                <w:rtl w:val="0"/>
              </w:rPr>
              <w:t xml:space="preserve">Business Impact</w:t>
            </w:r>
            <w:r w:rsidDel="00000000" w:rsidR="00000000" w:rsidRPr="00000000">
              <w:rPr>
                <w:rtl w:val="0"/>
              </w:rPr>
            </w:r>
          </w:p>
        </w:tc>
        <w:tc>
          <w:tcPr>
            <w:tcBorders>
              <w:top w:color="7f7f7f" w:space="0" w:sz="12" w:val="single"/>
              <w:left w:color="cccccc" w:space="0" w:sz="6" w:val="single"/>
              <w:bottom w:color="7f7f7f" w:space="0" w:sz="12" w:val="single"/>
              <w:right w:color="7f7f7f" w:space="0" w:sz="12" w:val="single"/>
            </w:tcBorders>
            <w:shd w:fill="bde2f4" w:val="clear"/>
            <w:tcMar>
              <w:top w:w="0.0" w:type="dxa"/>
              <w:left w:w="40.0" w:type="dxa"/>
              <w:bottom w:w="0.0" w:type="dxa"/>
              <w:right w:w="40.0" w:type="dxa"/>
            </w:tcMar>
            <w:vAlign w:val="center"/>
          </w:tcPr>
          <w:p w:rsidR="00000000" w:rsidDel="00000000" w:rsidP="00000000" w:rsidRDefault="00000000" w:rsidRPr="00000000" w14:paraId="00000094">
            <w:pPr>
              <w:keepLines w:val="0"/>
              <w:widowControl w:val="0"/>
              <w:spacing w:after="0" w:line="276" w:lineRule="auto"/>
              <w:jc w:val="center"/>
              <w:rPr>
                <w:sz w:val="22"/>
                <w:szCs w:val="22"/>
              </w:rPr>
            </w:pPr>
            <w:r w:rsidDel="00000000" w:rsidR="00000000" w:rsidRPr="00000000">
              <w:rPr>
                <w:b w:val="1"/>
                <w:sz w:val="20"/>
                <w:szCs w:val="20"/>
                <w:rtl w:val="0"/>
              </w:rPr>
              <w:t xml:space="preserve">Users</w:t>
            </w:r>
            <w:r w:rsidDel="00000000" w:rsidR="00000000" w:rsidRPr="00000000">
              <w:rPr>
                <w:rtl w:val="0"/>
              </w:rPr>
            </w:r>
          </w:p>
        </w:tc>
        <w:tc>
          <w:tcPr>
            <w:tcBorders>
              <w:top w:color="7f7f7f" w:space="0" w:sz="12" w:val="single"/>
              <w:left w:color="cccccc" w:space="0" w:sz="6" w:val="single"/>
              <w:bottom w:color="7f7f7f" w:space="0" w:sz="12" w:val="single"/>
              <w:right w:color="7f7f7f" w:space="0" w:sz="12" w:val="single"/>
            </w:tcBorders>
            <w:shd w:fill="bde2f4" w:val="clear"/>
            <w:tcMar>
              <w:top w:w="0.0" w:type="dxa"/>
              <w:left w:w="40.0" w:type="dxa"/>
              <w:bottom w:w="0.0" w:type="dxa"/>
              <w:right w:w="40.0" w:type="dxa"/>
            </w:tcMar>
            <w:vAlign w:val="center"/>
          </w:tcPr>
          <w:p w:rsidR="00000000" w:rsidDel="00000000" w:rsidP="00000000" w:rsidRDefault="00000000" w:rsidRPr="00000000" w14:paraId="00000095">
            <w:pPr>
              <w:keepLines w:val="0"/>
              <w:widowControl w:val="0"/>
              <w:spacing w:after="0" w:line="276" w:lineRule="auto"/>
              <w:jc w:val="center"/>
              <w:rPr>
                <w:sz w:val="22"/>
                <w:szCs w:val="22"/>
              </w:rPr>
            </w:pPr>
            <w:r w:rsidDel="00000000" w:rsidR="00000000" w:rsidRPr="00000000">
              <w:rPr>
                <w:b w:val="1"/>
                <w:sz w:val="20"/>
                <w:szCs w:val="20"/>
                <w:rtl w:val="0"/>
              </w:rPr>
              <w:t xml:space="preserve">Owners</w:t>
            </w:r>
            <w:r w:rsidDel="00000000" w:rsidR="00000000" w:rsidRPr="00000000">
              <w:rPr>
                <w:rtl w:val="0"/>
              </w:rPr>
            </w:r>
          </w:p>
        </w:tc>
        <w:tc>
          <w:tcPr>
            <w:tcBorders>
              <w:top w:color="7f7f7f" w:space="0" w:sz="12" w:val="single"/>
              <w:left w:color="cccccc" w:space="0" w:sz="6" w:val="single"/>
              <w:bottom w:color="7f7f7f" w:space="0" w:sz="12" w:val="single"/>
              <w:right w:color="7f7f7f" w:space="0" w:sz="12" w:val="single"/>
            </w:tcBorders>
            <w:shd w:fill="bde2f4" w:val="clear"/>
            <w:tcMar>
              <w:top w:w="0.0" w:type="dxa"/>
              <w:left w:w="40.0" w:type="dxa"/>
              <w:bottom w:w="0.0" w:type="dxa"/>
              <w:right w:w="40.0" w:type="dxa"/>
            </w:tcMar>
            <w:vAlign w:val="center"/>
          </w:tcPr>
          <w:p w:rsidR="00000000" w:rsidDel="00000000" w:rsidP="00000000" w:rsidRDefault="00000000" w:rsidRPr="00000000" w14:paraId="00000096">
            <w:pPr>
              <w:keepLines w:val="0"/>
              <w:widowControl w:val="0"/>
              <w:spacing w:after="0" w:line="276" w:lineRule="auto"/>
              <w:jc w:val="center"/>
              <w:rPr>
                <w:sz w:val="22"/>
                <w:szCs w:val="22"/>
              </w:rPr>
            </w:pPr>
            <w:r w:rsidDel="00000000" w:rsidR="00000000" w:rsidRPr="00000000">
              <w:rPr>
                <w:b w:val="1"/>
                <w:sz w:val="20"/>
                <w:szCs w:val="20"/>
                <w:rtl w:val="0"/>
              </w:rPr>
              <w:t xml:space="preserve">Recovery Time Objective (RTO)</w:t>
            </w:r>
            <w:r w:rsidDel="00000000" w:rsidR="00000000" w:rsidRPr="00000000">
              <w:rPr>
                <w:rtl w:val="0"/>
              </w:rPr>
            </w:r>
          </w:p>
        </w:tc>
        <w:tc>
          <w:tcPr>
            <w:tcBorders>
              <w:top w:color="7f7f7f" w:space="0" w:sz="12" w:val="single"/>
              <w:left w:color="cccccc" w:space="0" w:sz="6" w:val="single"/>
              <w:bottom w:color="7f7f7f" w:space="0" w:sz="12" w:val="single"/>
              <w:right w:color="7f7f7f" w:space="0" w:sz="12" w:val="single"/>
            </w:tcBorders>
            <w:shd w:fill="bde2f4" w:val="clear"/>
            <w:tcMar>
              <w:top w:w="0.0" w:type="dxa"/>
              <w:left w:w="40.0" w:type="dxa"/>
              <w:bottom w:w="0.0" w:type="dxa"/>
              <w:right w:w="40.0" w:type="dxa"/>
            </w:tcMar>
            <w:vAlign w:val="center"/>
          </w:tcPr>
          <w:p w:rsidR="00000000" w:rsidDel="00000000" w:rsidP="00000000" w:rsidRDefault="00000000" w:rsidRPr="00000000" w14:paraId="00000097">
            <w:pPr>
              <w:keepLines w:val="0"/>
              <w:widowControl w:val="0"/>
              <w:spacing w:after="0" w:line="276" w:lineRule="auto"/>
              <w:jc w:val="center"/>
              <w:rPr>
                <w:sz w:val="22"/>
                <w:szCs w:val="22"/>
              </w:rPr>
            </w:pPr>
            <w:r w:rsidDel="00000000" w:rsidR="00000000" w:rsidRPr="00000000">
              <w:rPr>
                <w:b w:val="1"/>
                <w:sz w:val="20"/>
                <w:szCs w:val="20"/>
                <w:rtl w:val="0"/>
              </w:rPr>
              <w:t xml:space="preserve">Recovery Point Objective (RPO)</w:t>
            </w:r>
            <w:r w:rsidDel="00000000" w:rsidR="00000000" w:rsidRPr="00000000">
              <w:rPr>
                <w:rtl w:val="0"/>
              </w:rPr>
            </w:r>
          </w:p>
        </w:tc>
        <w:tc>
          <w:tcPr>
            <w:tcBorders>
              <w:top w:color="7f7f7f" w:space="0" w:sz="12" w:val="single"/>
              <w:left w:color="cccccc" w:space="0" w:sz="6" w:val="single"/>
              <w:bottom w:color="7f7f7f" w:space="0" w:sz="12" w:val="single"/>
              <w:right w:color="7f7f7f" w:space="0" w:sz="12" w:val="single"/>
            </w:tcBorders>
            <w:shd w:fill="bde2f4" w:val="clear"/>
            <w:tcMar>
              <w:top w:w="0.0" w:type="dxa"/>
              <w:left w:w="40.0" w:type="dxa"/>
              <w:bottom w:w="0.0" w:type="dxa"/>
              <w:right w:w="40.0" w:type="dxa"/>
            </w:tcMar>
            <w:vAlign w:val="center"/>
          </w:tcPr>
          <w:p w:rsidR="00000000" w:rsidDel="00000000" w:rsidP="00000000" w:rsidRDefault="00000000" w:rsidRPr="00000000" w14:paraId="00000098">
            <w:pPr>
              <w:keepLines w:val="0"/>
              <w:widowControl w:val="0"/>
              <w:spacing w:after="0" w:line="276" w:lineRule="auto"/>
              <w:jc w:val="center"/>
              <w:rPr>
                <w:sz w:val="22"/>
                <w:szCs w:val="22"/>
              </w:rPr>
            </w:pPr>
            <w:r w:rsidDel="00000000" w:rsidR="00000000" w:rsidRPr="00000000">
              <w:rPr>
                <w:b w:val="1"/>
                <w:sz w:val="20"/>
                <w:szCs w:val="20"/>
                <w:rtl w:val="0"/>
              </w:rPr>
              <w:t xml:space="preserve">Comments / Gaps</w:t>
            </w:r>
            <w:r w:rsidDel="00000000" w:rsidR="00000000" w:rsidRPr="00000000">
              <w:rPr>
                <w:rtl w:val="0"/>
              </w:rPr>
            </w:r>
          </w:p>
        </w:tc>
      </w:tr>
      <w:tr>
        <w:trPr>
          <w:cantSplit w:val="0"/>
          <w:trHeight w:val="270" w:hRule="atLeast"/>
          <w:tblHeader w:val="0"/>
        </w:trPr>
        <w:tc>
          <w:tcPr>
            <w:tcBorders>
              <w:top w:color="cccccc" w:space="0" w:sz="6" w:val="single"/>
              <w:left w:color="7f7f7f" w:space="0" w:sz="12"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99">
            <w:pPr>
              <w:keepLines w:val="0"/>
              <w:widowControl w:val="0"/>
              <w:spacing w:after="0" w:line="276" w:lineRule="auto"/>
              <w:jc w:val="center"/>
              <w:rPr>
                <w:sz w:val="22"/>
                <w:szCs w:val="22"/>
              </w:rPr>
            </w:pPr>
            <w:r w:rsidDel="00000000" w:rsidR="00000000" w:rsidRPr="00000000">
              <w:rPr>
                <w:color w:val="0070c0"/>
                <w:sz w:val="20"/>
                <w:szCs w:val="20"/>
                <w:rtl w:val="0"/>
              </w:rPr>
              <w:t xml:space="preserve">1</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9A">
            <w:pPr>
              <w:keepLines w:val="0"/>
              <w:widowControl w:val="0"/>
              <w:spacing w:after="0" w:line="276" w:lineRule="auto"/>
              <w:rPr>
                <w:sz w:val="22"/>
                <w:szCs w:val="22"/>
              </w:rPr>
            </w:pPr>
            <w:r w:rsidDel="00000000" w:rsidR="00000000" w:rsidRPr="00000000">
              <w:rPr>
                <w:color w:val="0070c0"/>
                <w:sz w:val="20"/>
                <w:szCs w:val="20"/>
                <w:rtl w:val="0"/>
              </w:rPr>
              <w:t xml:space="preserve">Google Datacenters</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9B">
            <w:pPr>
              <w:keepLines w:val="0"/>
              <w:widowControl w:val="0"/>
              <w:spacing w:after="0" w:line="276" w:lineRule="auto"/>
              <w:rPr>
                <w:sz w:val="22"/>
                <w:szCs w:val="22"/>
              </w:rPr>
            </w:pPr>
            <w:r w:rsidDel="00000000" w:rsidR="00000000" w:rsidRPr="00000000">
              <w:rPr>
                <w:color w:val="0070c0"/>
                <w:sz w:val="20"/>
                <w:szCs w:val="20"/>
                <w:rtl w:val="0"/>
              </w:rPr>
              <w:t xml:space="preserve">Site</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9C">
            <w:pPr>
              <w:keepLines w:val="0"/>
              <w:widowControl w:val="0"/>
              <w:spacing w:after="0" w:line="276" w:lineRule="auto"/>
              <w:rPr>
                <w:sz w:val="22"/>
                <w:szCs w:val="22"/>
              </w:rPr>
            </w:pPr>
            <w:r w:rsidDel="00000000" w:rsidR="00000000" w:rsidRPr="00000000">
              <w:rPr>
                <w:color w:val="0070c0"/>
                <w:sz w:val="20"/>
                <w:szCs w:val="20"/>
                <w:rtl w:val="0"/>
              </w:rPr>
              <w:t xml:space="preserve">Core services</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9D">
            <w:pPr>
              <w:keepLines w:val="0"/>
              <w:widowControl w:val="0"/>
              <w:spacing w:after="0" w:line="276" w:lineRule="auto"/>
              <w:rPr>
                <w:sz w:val="22"/>
                <w:szCs w:val="22"/>
              </w:rPr>
            </w:pPr>
            <w:r w:rsidDel="00000000" w:rsidR="00000000" w:rsidRPr="00000000">
              <w:rPr>
                <w:color w:val="0070c0"/>
                <w:sz w:val="20"/>
                <w:szCs w:val="20"/>
                <w:rtl w:val="0"/>
              </w:rPr>
              <w:t xml:space="preserve">All</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9E">
            <w:pPr>
              <w:keepLines w:val="0"/>
              <w:widowControl w:val="0"/>
              <w:spacing w:after="0" w:line="276" w:lineRule="auto"/>
              <w:rPr>
                <w:sz w:val="22"/>
                <w:szCs w:val="22"/>
              </w:rPr>
            </w:pPr>
            <w:r w:rsidDel="00000000" w:rsidR="00000000" w:rsidRPr="00000000">
              <w:rPr>
                <w:color w:val="0070c0"/>
                <w:sz w:val="20"/>
                <w:szCs w:val="20"/>
                <w:rtl w:val="0"/>
              </w:rPr>
              <w:t xml:space="preserve">Engineering</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9F">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A0">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A1">
            <w:pPr>
              <w:keepLines w:val="0"/>
              <w:widowControl w:val="0"/>
              <w:spacing w:after="0" w:line="276" w:lineRule="auto"/>
              <w:rPr>
                <w:sz w:val="22"/>
                <w:szCs w:val="22"/>
              </w:rPr>
            </w:pPr>
            <w:r w:rsidDel="00000000" w:rsidR="00000000" w:rsidRPr="00000000">
              <w:rPr>
                <w:rtl w:val="0"/>
              </w:rPr>
            </w:r>
          </w:p>
        </w:tc>
      </w:tr>
      <w:tr>
        <w:trPr>
          <w:cantSplit w:val="0"/>
          <w:trHeight w:val="495" w:hRule="atLeast"/>
          <w:tblHeader w:val="0"/>
        </w:trPr>
        <w:tc>
          <w:tcPr>
            <w:tcBorders>
              <w:top w:color="cccccc" w:space="0" w:sz="6" w:val="single"/>
              <w:left w:color="7f7f7f" w:space="0" w:sz="12"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A2">
            <w:pPr>
              <w:keepLines w:val="0"/>
              <w:widowControl w:val="0"/>
              <w:spacing w:after="0" w:line="276" w:lineRule="auto"/>
              <w:jc w:val="center"/>
              <w:rPr>
                <w:sz w:val="22"/>
                <w:szCs w:val="22"/>
              </w:rPr>
            </w:pPr>
            <w:r w:rsidDel="00000000" w:rsidR="00000000" w:rsidRPr="00000000">
              <w:rPr>
                <w:color w:val="0070c0"/>
                <w:sz w:val="20"/>
                <w:szCs w:val="20"/>
                <w:rtl w:val="0"/>
              </w:rPr>
              <w:t xml:space="preserve">2</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A3">
            <w:pPr>
              <w:keepLines w:val="0"/>
              <w:widowControl w:val="0"/>
              <w:spacing w:after="0" w:line="276" w:lineRule="auto"/>
              <w:rPr>
                <w:sz w:val="22"/>
                <w:szCs w:val="22"/>
              </w:rPr>
            </w:pPr>
            <w:r w:rsidDel="00000000" w:rsidR="00000000" w:rsidRPr="00000000">
              <w:rPr>
                <w:color w:val="0070c0"/>
                <w:sz w:val="20"/>
                <w:szCs w:val="20"/>
                <w:rtl w:val="0"/>
              </w:rPr>
              <w:t xml:space="preserve">Corporate Office</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A4">
            <w:pPr>
              <w:keepLines w:val="0"/>
              <w:widowControl w:val="0"/>
              <w:spacing w:after="0" w:line="276" w:lineRule="auto"/>
              <w:rPr>
                <w:sz w:val="22"/>
                <w:szCs w:val="22"/>
              </w:rPr>
            </w:pPr>
            <w:r w:rsidDel="00000000" w:rsidR="00000000" w:rsidRPr="00000000">
              <w:rPr>
                <w:color w:val="0070c0"/>
                <w:sz w:val="20"/>
                <w:szCs w:val="20"/>
                <w:rtl w:val="0"/>
              </w:rPr>
              <w:t xml:space="preserve">Site</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A5">
            <w:pPr>
              <w:keepLines w:val="0"/>
              <w:widowControl w:val="0"/>
              <w:spacing w:after="0" w:line="276" w:lineRule="auto"/>
              <w:rPr>
                <w:sz w:val="22"/>
                <w:szCs w:val="22"/>
              </w:rPr>
            </w:pPr>
            <w:r w:rsidDel="00000000" w:rsidR="00000000" w:rsidRPr="00000000">
              <w:rPr>
                <w:color w:val="0070c0"/>
                <w:sz w:val="20"/>
                <w:szCs w:val="20"/>
                <w:rtl w:val="0"/>
              </w:rPr>
              <w:t xml:space="preserve">Inability to access data? Any other impacts?</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A6">
            <w:pPr>
              <w:keepLines w:val="0"/>
              <w:widowControl w:val="0"/>
              <w:spacing w:after="0" w:line="276" w:lineRule="auto"/>
              <w:rPr>
                <w:sz w:val="22"/>
                <w:szCs w:val="22"/>
              </w:rPr>
            </w:pPr>
            <w:r w:rsidDel="00000000" w:rsidR="00000000" w:rsidRPr="00000000">
              <w:rPr>
                <w:color w:val="0070c0"/>
                <w:sz w:val="20"/>
                <w:szCs w:val="20"/>
                <w:rtl w:val="0"/>
              </w:rPr>
              <w:t xml:space="preserve">All</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A7">
            <w:pPr>
              <w:keepLines w:val="0"/>
              <w:widowControl w:val="0"/>
              <w:spacing w:after="0" w:line="276" w:lineRule="auto"/>
              <w:rPr>
                <w:sz w:val="22"/>
                <w:szCs w:val="22"/>
              </w:rPr>
            </w:pPr>
            <w:r w:rsidDel="00000000" w:rsidR="00000000" w:rsidRPr="00000000">
              <w:rPr>
                <w:color w:val="0070c0"/>
                <w:sz w:val="20"/>
                <w:szCs w:val="20"/>
                <w:rtl w:val="0"/>
              </w:rPr>
              <w:t xml:space="preserve">IT Ops</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A8">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A9">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AA">
            <w:pPr>
              <w:keepLines w:val="0"/>
              <w:widowControl w:val="0"/>
              <w:spacing w:after="0" w:line="276" w:lineRule="auto"/>
              <w:rPr>
                <w:sz w:val="22"/>
                <w:szCs w:val="22"/>
              </w:rPr>
            </w:pPr>
            <w:r w:rsidDel="00000000" w:rsidR="00000000" w:rsidRPr="00000000">
              <w:rPr>
                <w:rtl w:val="0"/>
              </w:rPr>
            </w:r>
          </w:p>
        </w:tc>
      </w:tr>
      <w:tr>
        <w:trPr>
          <w:cantSplit w:val="0"/>
          <w:trHeight w:val="735" w:hRule="atLeast"/>
          <w:tblHeader w:val="0"/>
        </w:trPr>
        <w:tc>
          <w:tcPr>
            <w:tcBorders>
              <w:top w:color="cccccc" w:space="0" w:sz="6" w:val="single"/>
              <w:left w:color="7f7f7f" w:space="0" w:sz="12"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AB">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AC">
            <w:pPr>
              <w:keepLines w:val="0"/>
              <w:widowControl w:val="0"/>
              <w:spacing w:after="0" w:line="276" w:lineRule="auto"/>
              <w:rPr>
                <w:sz w:val="22"/>
                <w:szCs w:val="22"/>
              </w:rPr>
            </w:pPr>
            <w:r w:rsidDel="00000000" w:rsidR="00000000" w:rsidRPr="00000000">
              <w:rPr>
                <w:color w:val="0070c0"/>
                <w:sz w:val="20"/>
                <w:szCs w:val="20"/>
                <w:rtl w:val="0"/>
              </w:rPr>
              <w:t xml:space="preserve">Corporate Network</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AD">
            <w:pPr>
              <w:keepLines w:val="0"/>
              <w:widowControl w:val="0"/>
              <w:spacing w:after="0" w:line="276" w:lineRule="auto"/>
              <w:rPr>
                <w:sz w:val="22"/>
                <w:szCs w:val="22"/>
              </w:rPr>
            </w:pPr>
            <w:r w:rsidDel="00000000" w:rsidR="00000000" w:rsidRPr="00000000">
              <w:rPr>
                <w:color w:val="0070c0"/>
                <w:sz w:val="20"/>
                <w:szCs w:val="20"/>
                <w:rtl w:val="0"/>
              </w:rPr>
              <w:t xml:space="preserve">Network</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AE">
            <w:pPr>
              <w:keepLines w:val="0"/>
              <w:widowControl w:val="0"/>
              <w:spacing w:after="0" w:line="276" w:lineRule="auto"/>
              <w:rPr>
                <w:sz w:val="22"/>
                <w:szCs w:val="22"/>
              </w:rPr>
            </w:pPr>
            <w:r w:rsidDel="00000000" w:rsidR="00000000" w:rsidRPr="00000000">
              <w:rPr>
                <w:color w:val="0070c0"/>
                <w:sz w:val="20"/>
                <w:szCs w:val="20"/>
                <w:rtl w:val="0"/>
              </w:rPr>
              <w:t xml:space="preserve">Inability to use network resources from corporate office</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AF">
            <w:pPr>
              <w:keepLines w:val="0"/>
              <w:widowControl w:val="0"/>
              <w:spacing w:after="0" w:line="276" w:lineRule="auto"/>
              <w:rPr>
                <w:sz w:val="22"/>
                <w:szCs w:val="22"/>
              </w:rPr>
            </w:pPr>
            <w:r w:rsidDel="00000000" w:rsidR="00000000" w:rsidRPr="00000000">
              <w:rPr>
                <w:color w:val="0070c0"/>
                <w:sz w:val="20"/>
                <w:szCs w:val="20"/>
                <w:rtl w:val="0"/>
              </w:rPr>
              <w:t xml:space="preserve">All</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B0">
            <w:pPr>
              <w:keepLines w:val="0"/>
              <w:widowControl w:val="0"/>
              <w:spacing w:after="0" w:line="276" w:lineRule="auto"/>
              <w:rPr>
                <w:sz w:val="22"/>
                <w:szCs w:val="22"/>
              </w:rPr>
            </w:pPr>
            <w:r w:rsidDel="00000000" w:rsidR="00000000" w:rsidRPr="00000000">
              <w:rPr>
                <w:color w:val="0070c0"/>
                <w:sz w:val="20"/>
                <w:szCs w:val="20"/>
                <w:rtl w:val="0"/>
              </w:rPr>
              <w:t xml:space="preserve">IT Ops</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B1">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B2">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B3">
            <w:pPr>
              <w:keepLines w:val="0"/>
              <w:widowControl w:val="0"/>
              <w:spacing w:after="0" w:line="276" w:lineRule="auto"/>
              <w:rPr>
                <w:sz w:val="22"/>
                <w:szCs w:val="22"/>
              </w:rPr>
            </w:pPr>
            <w:r w:rsidDel="00000000" w:rsidR="00000000" w:rsidRPr="00000000">
              <w:rPr>
                <w:rtl w:val="0"/>
              </w:rPr>
            </w:r>
          </w:p>
        </w:tc>
      </w:tr>
      <w:tr>
        <w:trPr>
          <w:cantSplit w:val="0"/>
          <w:trHeight w:val="270" w:hRule="atLeast"/>
          <w:tblHeader w:val="0"/>
        </w:trPr>
        <w:tc>
          <w:tcPr>
            <w:tcBorders>
              <w:top w:color="cccccc" w:space="0" w:sz="6" w:val="single"/>
              <w:left w:color="7f7f7f" w:space="0" w:sz="12"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B4">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B5">
            <w:pPr>
              <w:keepLines w:val="0"/>
              <w:widowControl w:val="0"/>
              <w:spacing w:after="0" w:line="276" w:lineRule="auto"/>
              <w:rPr>
                <w:sz w:val="22"/>
                <w:szCs w:val="22"/>
              </w:rPr>
            </w:pPr>
            <w:r w:rsidDel="00000000" w:rsidR="00000000" w:rsidRPr="00000000">
              <w:rPr>
                <w:color w:val="0070c0"/>
                <w:sz w:val="20"/>
                <w:szCs w:val="20"/>
                <w:rtl w:val="0"/>
              </w:rPr>
              <w:t xml:space="preserve">Google Cloud</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B6">
            <w:pPr>
              <w:keepLines w:val="0"/>
              <w:widowControl w:val="0"/>
              <w:spacing w:after="0" w:line="276" w:lineRule="auto"/>
              <w:rPr>
                <w:sz w:val="22"/>
                <w:szCs w:val="22"/>
              </w:rPr>
            </w:pPr>
            <w:r w:rsidDel="00000000" w:rsidR="00000000" w:rsidRPr="00000000">
              <w:rPr>
                <w:color w:val="0070c0"/>
                <w:sz w:val="20"/>
                <w:szCs w:val="20"/>
                <w:rtl w:val="0"/>
              </w:rPr>
              <w:t xml:space="preserve">Network</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B7">
            <w:pPr>
              <w:keepLines w:val="0"/>
              <w:widowControl w:val="0"/>
              <w:spacing w:after="0" w:line="276" w:lineRule="auto"/>
              <w:rPr>
                <w:sz w:val="22"/>
                <w:szCs w:val="22"/>
              </w:rPr>
            </w:pPr>
            <w:r w:rsidDel="00000000" w:rsidR="00000000" w:rsidRPr="00000000">
              <w:rPr>
                <w:color w:val="0070c0"/>
                <w:sz w:val="20"/>
                <w:szCs w:val="20"/>
                <w:rtl w:val="0"/>
              </w:rPr>
              <w:t xml:space="preserve">Core services</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B8">
            <w:pPr>
              <w:keepLines w:val="0"/>
              <w:widowControl w:val="0"/>
              <w:spacing w:after="0" w:line="276" w:lineRule="auto"/>
              <w:rPr>
                <w:sz w:val="22"/>
                <w:szCs w:val="22"/>
              </w:rPr>
            </w:pPr>
            <w:r w:rsidDel="00000000" w:rsidR="00000000" w:rsidRPr="00000000">
              <w:rPr>
                <w:color w:val="0070c0"/>
                <w:sz w:val="20"/>
                <w:szCs w:val="20"/>
                <w:rtl w:val="0"/>
              </w:rPr>
              <w:t xml:space="preserve">All</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B9">
            <w:pPr>
              <w:keepLines w:val="0"/>
              <w:widowControl w:val="0"/>
              <w:spacing w:after="0" w:line="276" w:lineRule="auto"/>
              <w:rPr>
                <w:sz w:val="22"/>
                <w:szCs w:val="22"/>
              </w:rPr>
            </w:pPr>
            <w:r w:rsidDel="00000000" w:rsidR="00000000" w:rsidRPr="00000000">
              <w:rPr>
                <w:color w:val="0070c0"/>
                <w:sz w:val="20"/>
                <w:szCs w:val="20"/>
                <w:rtl w:val="0"/>
              </w:rPr>
              <w:t xml:space="preserve">Engineering</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BA">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BB">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BC">
            <w:pPr>
              <w:keepLines w:val="0"/>
              <w:widowControl w:val="0"/>
              <w:spacing w:after="0" w:line="276" w:lineRule="auto"/>
              <w:rPr>
                <w:sz w:val="22"/>
                <w:szCs w:val="22"/>
              </w:rPr>
            </w:pPr>
            <w:r w:rsidDel="00000000" w:rsidR="00000000" w:rsidRPr="00000000">
              <w:rPr>
                <w:rtl w:val="0"/>
              </w:rPr>
            </w:r>
          </w:p>
        </w:tc>
      </w:tr>
      <w:tr>
        <w:trPr>
          <w:cantSplit w:val="0"/>
          <w:trHeight w:val="735" w:hRule="atLeast"/>
          <w:tblHeader w:val="0"/>
        </w:trPr>
        <w:tc>
          <w:tcPr>
            <w:tcBorders>
              <w:top w:color="cccccc" w:space="0" w:sz="6" w:val="single"/>
              <w:left w:color="7f7f7f" w:space="0" w:sz="12"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BD">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BE">
            <w:pPr>
              <w:keepLines w:val="0"/>
              <w:widowControl w:val="0"/>
              <w:spacing w:after="0" w:line="276" w:lineRule="auto"/>
              <w:rPr>
                <w:sz w:val="22"/>
                <w:szCs w:val="22"/>
              </w:rPr>
            </w:pPr>
            <w:r w:rsidDel="00000000" w:rsidR="00000000" w:rsidRPr="00000000">
              <w:rPr>
                <w:color w:val="0070c0"/>
                <w:sz w:val="20"/>
                <w:szCs w:val="20"/>
                <w:rtl w:val="0"/>
              </w:rPr>
              <w:t xml:space="preserve">Home Office ISP Networks</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BF">
            <w:pPr>
              <w:keepLines w:val="0"/>
              <w:widowControl w:val="0"/>
              <w:spacing w:after="0" w:line="276" w:lineRule="auto"/>
              <w:rPr>
                <w:sz w:val="22"/>
                <w:szCs w:val="22"/>
              </w:rPr>
            </w:pPr>
            <w:r w:rsidDel="00000000" w:rsidR="00000000" w:rsidRPr="00000000">
              <w:rPr>
                <w:color w:val="0070c0"/>
                <w:sz w:val="20"/>
                <w:szCs w:val="20"/>
                <w:rtl w:val="0"/>
              </w:rPr>
              <w:t xml:space="preserve">Network</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C0">
            <w:pPr>
              <w:keepLines w:val="0"/>
              <w:widowControl w:val="0"/>
              <w:spacing w:after="0" w:line="276" w:lineRule="auto"/>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C1">
            <w:pPr>
              <w:keepLines w:val="0"/>
              <w:widowControl w:val="0"/>
              <w:spacing w:after="0" w:line="276" w:lineRule="auto"/>
              <w:rPr>
                <w:sz w:val="22"/>
                <w:szCs w:val="22"/>
              </w:rPr>
            </w:pPr>
            <w:r w:rsidDel="00000000" w:rsidR="00000000" w:rsidRPr="00000000">
              <w:rPr>
                <w:color w:val="0070c0"/>
                <w:sz w:val="20"/>
                <w:szCs w:val="20"/>
                <w:rtl w:val="0"/>
              </w:rPr>
              <w:t xml:space="preserve">IT Ops, Development</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C2">
            <w:pPr>
              <w:keepLines w:val="0"/>
              <w:widowControl w:val="0"/>
              <w:spacing w:after="0" w:line="276" w:lineRule="auto"/>
              <w:rPr>
                <w:sz w:val="22"/>
                <w:szCs w:val="22"/>
              </w:rPr>
            </w:pPr>
            <w:r w:rsidDel="00000000" w:rsidR="00000000" w:rsidRPr="00000000">
              <w:rPr>
                <w:color w:val="0070c0"/>
                <w:sz w:val="20"/>
                <w:szCs w:val="20"/>
                <w:rtl w:val="0"/>
              </w:rPr>
              <w:t xml:space="preserve">N/A</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C3">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C4">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C5">
            <w:pPr>
              <w:keepLines w:val="0"/>
              <w:widowControl w:val="0"/>
              <w:spacing w:after="0" w:line="276" w:lineRule="auto"/>
              <w:rPr>
                <w:sz w:val="22"/>
                <w:szCs w:val="22"/>
              </w:rPr>
            </w:pPr>
            <w:r w:rsidDel="00000000" w:rsidR="00000000" w:rsidRPr="00000000">
              <w:rPr>
                <w:rtl w:val="0"/>
              </w:rPr>
            </w:r>
          </w:p>
        </w:tc>
      </w:tr>
      <w:tr>
        <w:trPr>
          <w:cantSplit w:val="0"/>
          <w:trHeight w:val="495" w:hRule="atLeast"/>
          <w:tblHeader w:val="0"/>
        </w:trPr>
        <w:tc>
          <w:tcPr>
            <w:tcBorders>
              <w:top w:color="cccccc" w:space="0" w:sz="6" w:val="single"/>
              <w:left w:color="7f7f7f" w:space="0" w:sz="12"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C6">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C7">
            <w:pPr>
              <w:keepLines w:val="0"/>
              <w:widowControl w:val="0"/>
              <w:spacing w:after="0" w:line="276" w:lineRule="auto"/>
              <w:rPr>
                <w:sz w:val="22"/>
                <w:szCs w:val="22"/>
              </w:rPr>
            </w:pPr>
            <w:r w:rsidDel="00000000" w:rsidR="00000000" w:rsidRPr="00000000">
              <w:rPr>
                <w:color w:val="0070c0"/>
                <w:sz w:val="20"/>
                <w:szCs w:val="20"/>
                <w:rtl w:val="0"/>
              </w:rPr>
              <w:t xml:space="preserve">Subcontractor Networks</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C8">
            <w:pPr>
              <w:keepLines w:val="0"/>
              <w:widowControl w:val="0"/>
              <w:spacing w:after="0" w:line="276" w:lineRule="auto"/>
              <w:rPr>
                <w:sz w:val="22"/>
                <w:szCs w:val="22"/>
              </w:rPr>
            </w:pPr>
            <w:r w:rsidDel="00000000" w:rsidR="00000000" w:rsidRPr="00000000">
              <w:rPr>
                <w:color w:val="0070c0"/>
                <w:sz w:val="20"/>
                <w:szCs w:val="20"/>
                <w:rtl w:val="0"/>
              </w:rPr>
              <w:t xml:space="preserve">Network</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C9">
            <w:pPr>
              <w:keepLines w:val="0"/>
              <w:widowControl w:val="0"/>
              <w:spacing w:after="0" w:line="276" w:lineRule="auto"/>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CA">
            <w:pPr>
              <w:keepLines w:val="0"/>
              <w:widowControl w:val="0"/>
              <w:spacing w:after="0" w:line="276" w:lineRule="auto"/>
              <w:rPr>
                <w:sz w:val="22"/>
                <w:szCs w:val="22"/>
              </w:rPr>
            </w:pPr>
            <w:r w:rsidDel="00000000" w:rsidR="00000000" w:rsidRPr="00000000">
              <w:rPr>
                <w:color w:val="0070c0"/>
                <w:sz w:val="20"/>
                <w:szCs w:val="20"/>
                <w:rtl w:val="0"/>
              </w:rPr>
              <w:t xml:space="preserve">Development</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CB">
            <w:pPr>
              <w:keepLines w:val="0"/>
              <w:widowControl w:val="0"/>
              <w:spacing w:after="0" w:line="276" w:lineRule="auto"/>
              <w:rPr>
                <w:sz w:val="22"/>
                <w:szCs w:val="22"/>
              </w:rPr>
            </w:pPr>
            <w:r w:rsidDel="00000000" w:rsidR="00000000" w:rsidRPr="00000000">
              <w:rPr>
                <w:color w:val="0070c0"/>
                <w:sz w:val="20"/>
                <w:szCs w:val="20"/>
                <w:rtl w:val="0"/>
              </w:rPr>
              <w:t xml:space="preserve">N/A</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CC">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CD">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CE">
            <w:pPr>
              <w:keepLines w:val="0"/>
              <w:widowControl w:val="0"/>
              <w:spacing w:after="0" w:line="276" w:lineRule="auto"/>
              <w:rPr>
                <w:sz w:val="22"/>
                <w:szCs w:val="22"/>
              </w:rPr>
            </w:pPr>
            <w:r w:rsidDel="00000000" w:rsidR="00000000" w:rsidRPr="00000000">
              <w:rPr>
                <w:rtl w:val="0"/>
              </w:rPr>
            </w:r>
          </w:p>
        </w:tc>
      </w:tr>
      <w:tr>
        <w:trPr>
          <w:cantSplit w:val="0"/>
          <w:trHeight w:val="495" w:hRule="atLeast"/>
          <w:tblHeader w:val="0"/>
        </w:trPr>
        <w:tc>
          <w:tcPr>
            <w:tcBorders>
              <w:top w:color="cccccc" w:space="0" w:sz="6" w:val="single"/>
              <w:left w:color="7f7f7f" w:space="0" w:sz="12"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CF">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D0">
            <w:pPr>
              <w:keepLines w:val="0"/>
              <w:widowControl w:val="0"/>
              <w:spacing w:after="0" w:line="276" w:lineRule="auto"/>
              <w:rPr>
                <w:sz w:val="22"/>
                <w:szCs w:val="22"/>
              </w:rPr>
            </w:pPr>
            <w:r w:rsidDel="00000000" w:rsidR="00000000" w:rsidRPr="00000000">
              <w:rPr>
                <w:color w:val="0070c0"/>
                <w:sz w:val="20"/>
                <w:szCs w:val="20"/>
                <w:rtl w:val="0"/>
              </w:rPr>
              <w:t xml:space="preserve">Third Party Networks</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D1">
            <w:pPr>
              <w:keepLines w:val="0"/>
              <w:widowControl w:val="0"/>
              <w:spacing w:after="0" w:line="276" w:lineRule="auto"/>
              <w:rPr>
                <w:sz w:val="22"/>
                <w:szCs w:val="22"/>
              </w:rPr>
            </w:pPr>
            <w:r w:rsidDel="00000000" w:rsidR="00000000" w:rsidRPr="00000000">
              <w:rPr>
                <w:color w:val="0070c0"/>
                <w:sz w:val="20"/>
                <w:szCs w:val="20"/>
                <w:rtl w:val="0"/>
              </w:rPr>
              <w:t xml:space="preserve">Network</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D2">
            <w:pPr>
              <w:keepLines w:val="0"/>
              <w:widowControl w:val="0"/>
              <w:spacing w:after="0" w:line="276" w:lineRule="auto"/>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D3">
            <w:pPr>
              <w:keepLines w:val="0"/>
              <w:widowControl w:val="0"/>
              <w:spacing w:after="0" w:line="276" w:lineRule="auto"/>
              <w:rPr>
                <w:sz w:val="22"/>
                <w:szCs w:val="22"/>
              </w:rPr>
            </w:pPr>
            <w:r w:rsidDel="00000000" w:rsidR="00000000" w:rsidRPr="00000000">
              <w:rPr>
                <w:color w:val="0070c0"/>
                <w:sz w:val="20"/>
                <w:szCs w:val="20"/>
                <w:rtl w:val="0"/>
              </w:rPr>
              <w:t xml:space="preserve">Sales</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D4">
            <w:pPr>
              <w:keepLines w:val="0"/>
              <w:widowControl w:val="0"/>
              <w:spacing w:after="0" w:line="276" w:lineRule="auto"/>
              <w:rPr>
                <w:sz w:val="22"/>
                <w:szCs w:val="22"/>
              </w:rPr>
            </w:pPr>
            <w:r w:rsidDel="00000000" w:rsidR="00000000" w:rsidRPr="00000000">
              <w:rPr>
                <w:color w:val="0070c0"/>
                <w:sz w:val="20"/>
                <w:szCs w:val="20"/>
                <w:rtl w:val="0"/>
              </w:rPr>
              <w:t xml:space="preserve">N/A</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D5">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D6">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D7">
            <w:pPr>
              <w:keepLines w:val="0"/>
              <w:widowControl w:val="0"/>
              <w:spacing w:after="0" w:line="276" w:lineRule="auto"/>
              <w:rPr>
                <w:sz w:val="22"/>
                <w:szCs w:val="22"/>
              </w:rPr>
            </w:pPr>
            <w:r w:rsidDel="00000000" w:rsidR="00000000" w:rsidRPr="00000000">
              <w:rPr>
                <w:rtl w:val="0"/>
              </w:rPr>
            </w:r>
          </w:p>
        </w:tc>
      </w:tr>
      <w:tr>
        <w:trPr>
          <w:cantSplit w:val="0"/>
          <w:trHeight w:val="270" w:hRule="atLeast"/>
          <w:tblHeader w:val="0"/>
        </w:trPr>
        <w:tc>
          <w:tcPr>
            <w:tcBorders>
              <w:top w:color="cccccc" w:space="0" w:sz="6" w:val="single"/>
              <w:left w:color="7f7f7f" w:space="0" w:sz="12"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D8">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D9">
            <w:pPr>
              <w:keepLines w:val="0"/>
              <w:widowControl w:val="0"/>
              <w:spacing w:after="0" w:line="276" w:lineRule="auto"/>
              <w:rPr>
                <w:sz w:val="22"/>
                <w:szCs w:val="22"/>
              </w:rPr>
            </w:pPr>
            <w:r w:rsidDel="00000000" w:rsidR="00000000" w:rsidRPr="00000000">
              <w:rPr>
                <w:color w:val="0070c0"/>
                <w:sz w:val="20"/>
                <w:szCs w:val="20"/>
                <w:rtl w:val="0"/>
              </w:rPr>
              <w:t xml:space="preserve">Company Laptops</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DA">
            <w:pPr>
              <w:keepLines w:val="0"/>
              <w:widowControl w:val="0"/>
              <w:spacing w:after="0" w:line="276" w:lineRule="auto"/>
              <w:rPr>
                <w:sz w:val="22"/>
                <w:szCs w:val="22"/>
              </w:rPr>
            </w:pPr>
            <w:r w:rsidDel="00000000" w:rsidR="00000000" w:rsidRPr="00000000">
              <w:rPr>
                <w:color w:val="0070c0"/>
                <w:sz w:val="20"/>
                <w:szCs w:val="20"/>
                <w:rtl w:val="0"/>
              </w:rPr>
              <w:t xml:space="preserve">Hardware</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DB">
            <w:pPr>
              <w:keepLines w:val="0"/>
              <w:widowControl w:val="0"/>
              <w:spacing w:after="0" w:line="276" w:lineRule="auto"/>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DC">
            <w:pPr>
              <w:keepLines w:val="0"/>
              <w:widowControl w:val="0"/>
              <w:spacing w:after="0" w:line="276" w:lineRule="auto"/>
              <w:rPr>
                <w:sz w:val="22"/>
                <w:szCs w:val="22"/>
              </w:rPr>
            </w:pPr>
            <w:r w:rsidDel="00000000" w:rsidR="00000000" w:rsidRPr="00000000">
              <w:rPr>
                <w:color w:val="0070c0"/>
                <w:sz w:val="20"/>
                <w:szCs w:val="20"/>
                <w:rtl w:val="0"/>
              </w:rPr>
              <w:t xml:space="preserve">All</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DD">
            <w:pPr>
              <w:keepLines w:val="0"/>
              <w:widowControl w:val="0"/>
              <w:spacing w:after="0" w:line="276" w:lineRule="auto"/>
              <w:rPr>
                <w:sz w:val="22"/>
                <w:szCs w:val="22"/>
              </w:rPr>
            </w:pPr>
            <w:r w:rsidDel="00000000" w:rsidR="00000000" w:rsidRPr="00000000">
              <w:rPr>
                <w:color w:val="0070c0"/>
                <w:sz w:val="20"/>
                <w:szCs w:val="20"/>
                <w:rtl w:val="0"/>
              </w:rPr>
              <w:t xml:space="preserve">IT Ops</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DE">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DF">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E0">
            <w:pPr>
              <w:keepLines w:val="0"/>
              <w:widowControl w:val="0"/>
              <w:spacing w:after="0" w:line="276" w:lineRule="auto"/>
              <w:rPr>
                <w:sz w:val="22"/>
                <w:szCs w:val="22"/>
              </w:rPr>
            </w:pPr>
            <w:r w:rsidDel="00000000" w:rsidR="00000000" w:rsidRPr="00000000">
              <w:rPr>
                <w:rtl w:val="0"/>
              </w:rPr>
            </w:r>
          </w:p>
        </w:tc>
      </w:tr>
      <w:tr>
        <w:trPr>
          <w:cantSplit w:val="0"/>
          <w:trHeight w:val="270" w:hRule="atLeast"/>
          <w:tblHeader w:val="0"/>
        </w:trPr>
        <w:tc>
          <w:tcPr>
            <w:tcBorders>
              <w:top w:color="cccccc" w:space="0" w:sz="6" w:val="single"/>
              <w:left w:color="7f7f7f" w:space="0" w:sz="12"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E1">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E2">
            <w:pPr>
              <w:keepLines w:val="0"/>
              <w:widowControl w:val="0"/>
              <w:spacing w:after="0" w:line="276" w:lineRule="auto"/>
              <w:rPr>
                <w:sz w:val="22"/>
                <w:szCs w:val="22"/>
              </w:rPr>
            </w:pPr>
            <w:r w:rsidDel="00000000" w:rsidR="00000000" w:rsidRPr="00000000">
              <w:rPr>
                <w:color w:val="0070c0"/>
                <w:sz w:val="20"/>
                <w:szCs w:val="20"/>
                <w:rtl w:val="0"/>
              </w:rPr>
              <w:t xml:space="preserve">Digital Projector</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E3">
            <w:pPr>
              <w:keepLines w:val="0"/>
              <w:widowControl w:val="0"/>
              <w:spacing w:after="0" w:line="276" w:lineRule="auto"/>
              <w:rPr>
                <w:sz w:val="22"/>
                <w:szCs w:val="22"/>
              </w:rPr>
            </w:pPr>
            <w:r w:rsidDel="00000000" w:rsidR="00000000" w:rsidRPr="00000000">
              <w:rPr>
                <w:color w:val="0070c0"/>
                <w:sz w:val="20"/>
                <w:szCs w:val="20"/>
                <w:rtl w:val="0"/>
              </w:rPr>
              <w:t xml:space="preserve">Hardware</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E4">
            <w:pPr>
              <w:keepLines w:val="0"/>
              <w:widowControl w:val="0"/>
              <w:spacing w:after="0" w:line="276" w:lineRule="auto"/>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E5">
            <w:pPr>
              <w:keepLines w:val="0"/>
              <w:widowControl w:val="0"/>
              <w:spacing w:after="0" w:line="276" w:lineRule="auto"/>
              <w:rPr>
                <w:sz w:val="22"/>
                <w:szCs w:val="22"/>
              </w:rPr>
            </w:pPr>
            <w:r w:rsidDel="00000000" w:rsidR="00000000" w:rsidRPr="00000000">
              <w:rPr>
                <w:color w:val="0070c0"/>
                <w:sz w:val="20"/>
                <w:szCs w:val="20"/>
                <w:rtl w:val="0"/>
              </w:rPr>
              <w:t xml:space="preserve">All</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E6">
            <w:pPr>
              <w:keepLines w:val="0"/>
              <w:widowControl w:val="0"/>
              <w:spacing w:after="0" w:line="276" w:lineRule="auto"/>
              <w:rPr>
                <w:sz w:val="22"/>
                <w:szCs w:val="22"/>
              </w:rPr>
            </w:pPr>
            <w:r w:rsidDel="00000000" w:rsidR="00000000" w:rsidRPr="00000000">
              <w:rPr>
                <w:color w:val="0070c0"/>
                <w:sz w:val="20"/>
                <w:szCs w:val="20"/>
                <w:rtl w:val="0"/>
              </w:rPr>
              <w:t xml:space="preserve">IT Ops</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E7">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E8">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E9">
            <w:pPr>
              <w:keepLines w:val="0"/>
              <w:widowControl w:val="0"/>
              <w:spacing w:after="0" w:line="276" w:lineRule="auto"/>
              <w:rPr>
                <w:sz w:val="22"/>
                <w:szCs w:val="22"/>
              </w:rPr>
            </w:pPr>
            <w:r w:rsidDel="00000000" w:rsidR="00000000" w:rsidRPr="00000000">
              <w:rPr>
                <w:rtl w:val="0"/>
              </w:rPr>
            </w:r>
          </w:p>
        </w:tc>
      </w:tr>
      <w:tr>
        <w:trPr>
          <w:cantSplit w:val="0"/>
          <w:trHeight w:val="495" w:hRule="atLeast"/>
          <w:tblHeader w:val="0"/>
        </w:trPr>
        <w:tc>
          <w:tcPr>
            <w:tcBorders>
              <w:top w:color="cccccc" w:space="0" w:sz="6" w:val="single"/>
              <w:left w:color="7f7f7f" w:space="0" w:sz="12"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EA">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EB">
            <w:pPr>
              <w:keepLines w:val="0"/>
              <w:widowControl w:val="0"/>
              <w:spacing w:after="0" w:line="276" w:lineRule="auto"/>
              <w:rPr>
                <w:sz w:val="22"/>
                <w:szCs w:val="22"/>
              </w:rPr>
            </w:pPr>
            <w:r w:rsidDel="00000000" w:rsidR="00000000" w:rsidRPr="00000000">
              <w:rPr>
                <w:color w:val="0070c0"/>
                <w:sz w:val="20"/>
                <w:szCs w:val="20"/>
                <w:rtl w:val="0"/>
              </w:rPr>
              <w:t xml:space="preserve">Office Printers</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EC">
            <w:pPr>
              <w:keepLines w:val="0"/>
              <w:widowControl w:val="0"/>
              <w:spacing w:after="0" w:line="276" w:lineRule="auto"/>
              <w:rPr>
                <w:sz w:val="22"/>
                <w:szCs w:val="22"/>
              </w:rPr>
            </w:pPr>
            <w:r w:rsidDel="00000000" w:rsidR="00000000" w:rsidRPr="00000000">
              <w:rPr>
                <w:color w:val="0070c0"/>
                <w:sz w:val="20"/>
                <w:szCs w:val="20"/>
                <w:rtl w:val="0"/>
              </w:rPr>
              <w:t xml:space="preserve">Hardware</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ED">
            <w:pPr>
              <w:keepLines w:val="0"/>
              <w:widowControl w:val="0"/>
              <w:spacing w:after="0" w:line="276" w:lineRule="auto"/>
              <w:rPr>
                <w:sz w:val="22"/>
                <w:szCs w:val="22"/>
              </w:rPr>
            </w:pPr>
            <w:r w:rsidDel="00000000" w:rsidR="00000000" w:rsidRPr="00000000">
              <w:rPr>
                <w:color w:val="0070c0"/>
                <w:sz w:val="20"/>
                <w:szCs w:val="20"/>
                <w:rtl w:val="0"/>
              </w:rPr>
              <w:t xml:space="preserve">Inability to print in corporate office</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EE">
            <w:pPr>
              <w:keepLines w:val="0"/>
              <w:widowControl w:val="0"/>
              <w:spacing w:after="0" w:line="276" w:lineRule="auto"/>
              <w:rPr>
                <w:sz w:val="22"/>
                <w:szCs w:val="22"/>
              </w:rPr>
            </w:pPr>
            <w:r w:rsidDel="00000000" w:rsidR="00000000" w:rsidRPr="00000000">
              <w:rPr>
                <w:color w:val="0070c0"/>
                <w:sz w:val="20"/>
                <w:szCs w:val="20"/>
                <w:rtl w:val="0"/>
              </w:rPr>
              <w:t xml:space="preserve">All</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EF">
            <w:pPr>
              <w:keepLines w:val="0"/>
              <w:widowControl w:val="0"/>
              <w:spacing w:after="0" w:line="276" w:lineRule="auto"/>
              <w:rPr>
                <w:sz w:val="22"/>
                <w:szCs w:val="22"/>
              </w:rPr>
            </w:pPr>
            <w:r w:rsidDel="00000000" w:rsidR="00000000" w:rsidRPr="00000000">
              <w:rPr>
                <w:color w:val="0070c0"/>
                <w:sz w:val="20"/>
                <w:szCs w:val="20"/>
                <w:rtl w:val="0"/>
              </w:rPr>
              <w:t xml:space="preserve">IT Ops</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F0">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F1">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F2">
            <w:pPr>
              <w:keepLines w:val="0"/>
              <w:widowControl w:val="0"/>
              <w:spacing w:after="0" w:line="276" w:lineRule="auto"/>
              <w:rPr>
                <w:sz w:val="22"/>
                <w:szCs w:val="22"/>
              </w:rPr>
            </w:pPr>
            <w:r w:rsidDel="00000000" w:rsidR="00000000" w:rsidRPr="00000000">
              <w:rPr>
                <w:rtl w:val="0"/>
              </w:rPr>
            </w:r>
          </w:p>
        </w:tc>
      </w:tr>
      <w:tr>
        <w:trPr>
          <w:cantSplit w:val="0"/>
          <w:trHeight w:val="495" w:hRule="atLeast"/>
          <w:tblHeader w:val="0"/>
        </w:trPr>
        <w:tc>
          <w:tcPr>
            <w:tcBorders>
              <w:top w:color="cccccc" w:space="0" w:sz="6" w:val="single"/>
              <w:left w:color="7f7f7f" w:space="0" w:sz="12"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F3">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F4">
            <w:pPr>
              <w:keepLines w:val="0"/>
              <w:widowControl w:val="0"/>
              <w:spacing w:after="0" w:line="276" w:lineRule="auto"/>
              <w:rPr>
                <w:sz w:val="22"/>
                <w:szCs w:val="22"/>
              </w:rPr>
            </w:pPr>
            <w:r w:rsidDel="00000000" w:rsidR="00000000" w:rsidRPr="00000000">
              <w:rPr>
                <w:color w:val="0070c0"/>
                <w:sz w:val="20"/>
                <w:szCs w:val="20"/>
                <w:rtl w:val="0"/>
              </w:rPr>
              <w:t xml:space="preserve">Personal Mobile Device</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F5">
            <w:pPr>
              <w:keepLines w:val="0"/>
              <w:widowControl w:val="0"/>
              <w:spacing w:after="0" w:line="276" w:lineRule="auto"/>
              <w:rPr>
                <w:sz w:val="22"/>
                <w:szCs w:val="22"/>
              </w:rPr>
            </w:pPr>
            <w:r w:rsidDel="00000000" w:rsidR="00000000" w:rsidRPr="00000000">
              <w:rPr>
                <w:color w:val="0070c0"/>
                <w:sz w:val="20"/>
                <w:szCs w:val="20"/>
                <w:rtl w:val="0"/>
              </w:rPr>
              <w:t xml:space="preserve">Hardware</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F6">
            <w:pPr>
              <w:keepLines w:val="0"/>
              <w:widowControl w:val="0"/>
              <w:spacing w:after="0" w:line="276" w:lineRule="auto"/>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F7">
            <w:pPr>
              <w:keepLines w:val="0"/>
              <w:widowControl w:val="0"/>
              <w:spacing w:after="0" w:line="276" w:lineRule="auto"/>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F8">
            <w:pPr>
              <w:keepLines w:val="0"/>
              <w:widowControl w:val="0"/>
              <w:spacing w:after="0" w:line="276" w:lineRule="auto"/>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F9">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FA">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FB">
            <w:pPr>
              <w:keepLines w:val="0"/>
              <w:widowControl w:val="0"/>
              <w:spacing w:after="0" w:line="276" w:lineRule="auto"/>
              <w:rPr>
                <w:sz w:val="22"/>
                <w:szCs w:val="22"/>
              </w:rPr>
            </w:pPr>
            <w:r w:rsidDel="00000000" w:rsidR="00000000" w:rsidRPr="00000000">
              <w:rPr>
                <w:rtl w:val="0"/>
              </w:rPr>
            </w:r>
          </w:p>
        </w:tc>
      </w:tr>
      <w:tr>
        <w:trPr>
          <w:cantSplit w:val="0"/>
          <w:trHeight w:val="495" w:hRule="atLeast"/>
          <w:tblHeader w:val="0"/>
        </w:trPr>
        <w:tc>
          <w:tcPr>
            <w:tcBorders>
              <w:top w:color="cccccc" w:space="0" w:sz="6" w:val="single"/>
              <w:left w:color="7f7f7f" w:space="0" w:sz="12"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0FC">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FD">
            <w:pPr>
              <w:keepLines w:val="0"/>
              <w:widowControl w:val="0"/>
              <w:spacing w:after="0" w:line="276" w:lineRule="auto"/>
              <w:rPr>
                <w:sz w:val="22"/>
                <w:szCs w:val="22"/>
              </w:rPr>
            </w:pPr>
            <w:r w:rsidDel="00000000" w:rsidR="00000000" w:rsidRPr="00000000">
              <w:rPr>
                <w:color w:val="0070c0"/>
                <w:sz w:val="20"/>
                <w:szCs w:val="20"/>
                <w:rtl w:val="0"/>
              </w:rPr>
              <w:t xml:space="preserve">Wireless Access Points (WAP)</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FE">
            <w:pPr>
              <w:keepLines w:val="0"/>
              <w:widowControl w:val="0"/>
              <w:spacing w:after="0" w:line="276" w:lineRule="auto"/>
              <w:rPr>
                <w:sz w:val="22"/>
                <w:szCs w:val="22"/>
              </w:rPr>
            </w:pPr>
            <w:r w:rsidDel="00000000" w:rsidR="00000000" w:rsidRPr="00000000">
              <w:rPr>
                <w:color w:val="0070c0"/>
                <w:sz w:val="20"/>
                <w:szCs w:val="20"/>
                <w:rtl w:val="0"/>
              </w:rPr>
              <w:t xml:space="preserve">Hardware</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0FF">
            <w:pPr>
              <w:keepLines w:val="0"/>
              <w:widowControl w:val="0"/>
              <w:spacing w:after="0" w:line="276" w:lineRule="auto"/>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100">
            <w:pPr>
              <w:keepLines w:val="0"/>
              <w:widowControl w:val="0"/>
              <w:spacing w:after="0" w:line="276" w:lineRule="auto"/>
              <w:rPr>
                <w:sz w:val="22"/>
                <w:szCs w:val="22"/>
              </w:rPr>
            </w:pPr>
            <w:r w:rsidDel="00000000" w:rsidR="00000000" w:rsidRPr="00000000">
              <w:rPr>
                <w:color w:val="0070c0"/>
                <w:sz w:val="20"/>
                <w:szCs w:val="20"/>
                <w:rtl w:val="0"/>
              </w:rPr>
              <w:t xml:space="preserve">All</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top"/>
          </w:tcPr>
          <w:p w:rsidR="00000000" w:rsidDel="00000000" w:rsidP="00000000" w:rsidRDefault="00000000" w:rsidRPr="00000000" w14:paraId="00000101">
            <w:pPr>
              <w:keepLines w:val="0"/>
              <w:widowControl w:val="0"/>
              <w:spacing w:after="0" w:line="276" w:lineRule="auto"/>
              <w:rPr>
                <w:sz w:val="22"/>
                <w:szCs w:val="22"/>
              </w:rPr>
            </w:pPr>
            <w:r w:rsidDel="00000000" w:rsidR="00000000" w:rsidRPr="00000000">
              <w:rPr>
                <w:color w:val="0070c0"/>
                <w:sz w:val="20"/>
                <w:szCs w:val="20"/>
                <w:rtl w:val="0"/>
              </w:rPr>
              <w:t xml:space="preserve">IT Ops</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102">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103">
            <w:pPr>
              <w:keepLines w:val="0"/>
              <w:widowControl w:val="0"/>
              <w:spacing w:after="0" w:line="276" w:lineRule="auto"/>
              <w:jc w:val="center"/>
              <w:rPr>
                <w:sz w:val="22"/>
                <w:szCs w:val="22"/>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tcMar>
              <w:top w:w="0.0" w:type="dxa"/>
              <w:left w:w="40.0" w:type="dxa"/>
              <w:bottom w:w="0.0" w:type="dxa"/>
              <w:right w:w="40.0" w:type="dxa"/>
            </w:tcMar>
            <w:vAlign w:val="center"/>
          </w:tcPr>
          <w:p w:rsidR="00000000" w:rsidDel="00000000" w:rsidP="00000000" w:rsidRDefault="00000000" w:rsidRPr="00000000" w14:paraId="00000104">
            <w:pPr>
              <w:keepLines w:val="0"/>
              <w:widowControl w:val="0"/>
              <w:spacing w:after="0" w:line="276" w:lineRule="auto"/>
              <w:rPr>
                <w:sz w:val="22"/>
                <w:szCs w:val="22"/>
              </w:rPr>
            </w:pPr>
            <w:r w:rsidDel="00000000" w:rsidR="00000000" w:rsidRPr="00000000">
              <w:rPr>
                <w:rtl w:val="0"/>
              </w:rPr>
            </w:r>
          </w:p>
        </w:tc>
      </w:tr>
    </w:tbl>
    <w:p w:rsidR="00000000" w:rsidDel="00000000" w:rsidP="00000000" w:rsidRDefault="00000000" w:rsidRPr="00000000" w14:paraId="00000105">
      <w:pPr>
        <w:rPr/>
      </w:pPr>
      <w:r/>
    </w:p>
    <w:p w:rsidR="00000000" w:rsidDel="00000000" w:rsidP="00000000" w:rsidRDefault="00000000" w:rsidRPr="00000000" w14:paraId="00000106">
      <w:pPr>
        <w:rPr/>
      </w:p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Rule="auto"/>
      <w:ind w:hanging="10"/>
      <w:rPr>
        <w:color w:val="000000"/>
      </w:rP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B">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fields in this document marked by angled brackets &lt; &gt; and highlighted must be filled in.</w:t>
      </w:r>
    </w:p>
  </w:footnote>
  <w:footnote w:id="1">
    <w:p w:rsidR="00000000" w:rsidDel="00000000" w:rsidP="00000000" w:rsidRDefault="00000000" w:rsidRPr="00000000" w14:paraId="0000010C">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BC/DR Policies and Plans differ significantly between different organizations. If you have an existing plan that works you should consider keeping it. You can also find other examples and templates. Pick what works best for your organization.</w:t>
      </w:r>
    </w:p>
  </w:footnote>
  <w:footnote w:id="2">
    <w:p w:rsidR="00000000" w:rsidDel="00000000" w:rsidP="00000000" w:rsidRDefault="00000000" w:rsidRPr="00000000" w14:paraId="0000010D">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Exclusions to this policy should be customized to your organization. Your company may not have any exclusions in which case you can remove this language. These scenarios are provided as an example.</w:t>
      </w:r>
    </w:p>
  </w:footnote>
  <w:footnote w:id="3">
    <w:p w:rsidR="00000000" w:rsidDel="00000000" w:rsidP="00000000" w:rsidRDefault="00000000" w:rsidRPr="00000000" w14:paraId="0000010E">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Change or remove this language based on your organization’s needs.</w:t>
      </w:r>
    </w:p>
  </w:footnote>
  <w:footnote w:id="4">
    <w:p w:rsidR="00000000" w:rsidDel="00000000" w:rsidP="00000000" w:rsidRDefault="00000000" w:rsidRPr="00000000" w14:paraId="0000010F">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 reference to another Vanta document. If you are not planning on using this document, describe how your company will respond to an information security event or incident here. It is, however, highly recommended that your organization has an Incident Response Plan because a managed approach to incident response is a requirement for all information security management standards.</w:t>
      </w:r>
    </w:p>
  </w:footnote>
  <w:footnote w:id="5">
    <w:p w:rsidR="00000000" w:rsidDel="00000000" w:rsidP="00000000" w:rsidRDefault="00000000" w:rsidRPr="00000000" w14:paraId="00000110">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your company does not use a wiki or some form of an internal knowledge base that can be linked here, you can list out the key contacts in this document. If you list out the contacts here, however, you will need to continually update this document and your employees may have to re-accept this policy if there are major changes.</w:t>
      </w:r>
    </w:p>
  </w:footnote>
  <w:footnote w:id="6">
    <w:p w:rsidR="00000000" w:rsidDel="00000000" w:rsidP="00000000" w:rsidRDefault="00000000" w:rsidRPr="00000000" w14:paraId="00000111">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Adjust this table of roles and responsibilities to describe the roles and responsibilities for members of the BC/DR team</w:t>
      </w:r>
    </w:p>
  </w:footnote>
  <w:footnote w:id="7">
    <w:p w:rsidR="00000000" w:rsidDel="00000000" w:rsidP="00000000" w:rsidRDefault="00000000" w:rsidRPr="00000000" w14:paraId="00000112">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references an appendix in this document. If you describe these procedures elsewhere, update this reference.</w:t>
      </w:r>
    </w:p>
  </w:footnote>
  <w:footnote w:id="8">
    <w:p w:rsidR="00000000" w:rsidDel="00000000" w:rsidP="00000000" w:rsidRDefault="00000000" w:rsidRPr="00000000" w14:paraId="00000113">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RTO/RPO Table added to Appendix B for v2</w:t>
      </w:r>
    </w:p>
  </w:footnote>
  <w:footnote w:id="9">
    <w:p w:rsidR="00000000" w:rsidDel="00000000" w:rsidP="00000000" w:rsidRDefault="00000000" w:rsidRPr="00000000" w14:paraId="00000114">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Adjust the table below the describe your company’s continuity strategies</w:t>
      </w:r>
    </w:p>
  </w:footnote>
  <w:footnote w:id="10">
    <w:p w:rsidR="00000000" w:rsidDel="00000000" w:rsidP="00000000" w:rsidRDefault="00000000" w:rsidRPr="00000000" w14:paraId="00000115">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this appendix, describe your company’s business continuity procedures. The scenarios listed in this table are examples of what you might consider including.</w:t>
      </w:r>
    </w:p>
  </w:footnote>
  <w:footnote w:id="11">
    <w:p w:rsidR="00000000" w:rsidDel="00000000" w:rsidP="00000000" w:rsidRDefault="00000000" w:rsidRPr="00000000" w14:paraId="00000116">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Customize for your business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Rule="auto"/>
      <w:ind w:hanging="10"/>
      <w:rPr>
        <w:color w:val="000000"/>
      </w:rPr>
    </w:pP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Rule="auto"/>
      <w:ind w:hanging="10"/>
      <w:rPr>
        <w:color w:val="000000"/>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before="120" w:lineRule="auto"/>
    </w:pPr>
    <w:rPr>
      <w:b w:val="1"/>
      <w:i w:val="1"/>
    </w:rPr>
  </w:style>
  <w:style w:type="paragraph" w:styleId="Heading5">
    <w:name w:val="heading 5"/>
    <w:basedOn w:val="Normal"/>
    <w:next w:val="Normal"/>
    <w:pPr>
      <w:keepNext w:val="1"/>
      <w:spacing w:before="120" w:lineRule="auto"/>
    </w:pPr>
    <w:rPr>
      <w:i w:val="1"/>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spacing w:before="480" w:lineRule="auto"/>
    </w:pPr>
    <w:rPr>
      <w:b w:val="1"/>
      <w:sz w:val="48"/>
      <w:szCs w:val="48"/>
    </w:rPr>
  </w:style>
  <w:style w:type="paragraph" w:styleId="Subtitle">
    <w:name w:val="Subtitle"/>
    <w:basedOn w:val="Normal"/>
    <w:next w:val="Normal"/>
    <w:pPr>
      <w:keepNext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 w:type="table" w:styleId="Table2">
    <w:basedOn w:val="TableNormal"/>
    <w:tblPr>
      <w:tblStyleRowBandSize w:val="1"/>
      <w:tblStyleColBandSize w:val="1"/>
      <w:tblCellMar>
        <w:top w:w="72.0" w:type="dxa"/>
        <w:left w:w="72.0" w:type="dxa"/>
        <w:bottom w:w="72.0" w:type="dxa"/>
        <w:right w:w="72.0" w:type="dxa"/>
      </w:tblCellMar>
    </w:tblPr>
  </w:style>
  <w:style w:type="table" w:styleId="Table3">
    <w:basedOn w:val="TableNormal"/>
    <w:tblPr>
      <w:tblStyleRowBandSize w:val="1"/>
      <w:tblStyleColBandSize w:val="1"/>
      <w:tblCellMar>
        <w:top w:w="72.0" w:type="dxa"/>
        <w:left w:w="72.0" w:type="dxa"/>
        <w:bottom w:w="72.0" w:type="dxa"/>
        <w:right w:w="72.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yperlink" Target="mailto:support@vant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