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widowControl w:val="1"/>
        <w:pBdr>
          <w:top w:space="0" w:sz="0" w:val="nil"/>
          <w:left w:space="0" w:sz="0" w:val="nil"/>
          <w:bottom w:space="0" w:sz="0" w:val="nil"/>
          <w:right w:space="0" w:sz="0" w:val="nil"/>
          <w:between w:space="0" w:sz="0" w:val="nil"/>
        </w:pBdr>
        <w:shd w:fill="auto" w:val="clear"/>
        <w:spacing w:after="160" w:before="320" w:line="240" w:lineRule="auto"/>
        <w:ind w:left="0" w:right="0" w:firstLine="0"/>
        <w:jc w:val="left"/>
        <w:rPr>
          <w:rFonts w:ascii="Calibri" w:cs="Calibri" w:eastAsia="Calibri" w:hAnsi="Calibri"/>
          <w:b w:val="1"/>
          <w:i w:val="0"/>
          <w:smallCaps w:val="0"/>
          <w:strike w:val="0"/>
          <w:color w:val="5230d8"/>
          <w:sz w:val="40"/>
          <w:szCs w:val="40"/>
          <w:u w:val="none"/>
          <w:shd w:fill="auto" w:val="clear"/>
          <w:vertAlign w:val="baseline"/>
        </w:rPr>
      </w:pPr>
      <w:r>
        <w:t>COMPANY policy template instructions</w:t>
      </w:r>
    </w:p>
    <w:p w:rsidR="00000000" w:rsidDel="00000000" w:rsidP="00000000" w:rsidRDefault="00000000" w:rsidRPr="00000000" w14:paraId="00000002">
      <w:pPr>
        <w:ind w:firstLine="0"/>
        <w:rPr/>
      </w:pPr>
      <w:r>
        <w:t>This COMPANY policy template represents a complete, compliance-ready policy with placeholders for company specific text. Each policy section represents a policy-specific topic that you should consider and/or modify to match your company’s practices.</w:t>
      </w:r>
    </w:p>
    <w:p w:rsidR="00000000" w:rsidDel="00000000" w:rsidP="00000000" w:rsidRDefault="00000000" w:rsidRPr="00000000" w14:paraId="00000003">
      <w:pPr>
        <w:keepNext w:val="1"/>
        <w:keepLines w:val="1"/>
        <w:widowControl w:val="1"/>
        <w:pBdr>
          <w:top w:space="0" w:sz="0" w:val="nil"/>
          <w:left w:space="0" w:sz="0" w:val="nil"/>
          <w:bottom w:space="0" w:sz="0" w:val="nil"/>
          <w:right w:space="0" w:sz="0" w:val="nil"/>
          <w:between w:space="0" w:sz="0" w:val="nil"/>
        </w:pBdr>
        <w:shd w:fill="auto" w:val="clear"/>
        <w:spacing w:after="160" w:before="320" w:line="240" w:lineRule="auto"/>
        <w:ind w:left="0" w:right="0" w:firstLine="0"/>
        <w:jc w:val="left"/>
        <w:rPr>
          <w:rFonts w:ascii="Calibri" w:cs="Calibri" w:eastAsia="Calibri" w:hAnsi="Calibri"/>
          <w:b w:val="1"/>
          <w:i w:val="0"/>
          <w:smallCaps w:val="0"/>
          <w:strike w:val="0"/>
          <w:color w:val="5230d8"/>
          <w:sz w:val="40"/>
          <w:szCs w:val="40"/>
          <w:u w:val="none"/>
          <w:shd w:fill="auto" w:val="clear"/>
          <w:vertAlign w:val="baseline"/>
        </w:rPr>
      </w:pPr>
      <w:r>
        <w:t>For each policy section</w:t>
      </w:r>
    </w:p>
    <w:p w:rsidR="00000000" w:rsidDel="00000000" w:rsidP="00000000" w:rsidRDefault="00000000" w:rsidRPr="00000000" w14:paraId="00000004">
      <w:pPr>
        <w:keepNext w:val="0"/>
        <w:keepLines w:val="1"/>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t>Consider if this section and its corresponding risks applies to you. If it does not, remove it and/or replace it with your organization’s corresponding practices.</w:t>
      </w:r>
    </w:p>
    <w:p w:rsidR="00000000" w:rsidDel="00000000" w:rsidP="00000000" w:rsidRDefault="00000000" w:rsidRPr="00000000" w14:paraId="00000005">
      <w:pPr>
        <w:keepNext w:val="0"/>
        <w:keepLines w:val="1"/>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t>Replace any highlighted text in angled brackets &lt; &gt; with your own language</w:t>
      </w:r>
    </w:p>
    <w:p w:rsidR="00000000" w:rsidDel="00000000" w:rsidP="00000000" w:rsidRDefault="00000000" w:rsidRPr="00000000" w14:paraId="00000006">
      <w:pPr>
        <w:keepNext w:val="0"/>
        <w:keepLines w:val="1"/>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t>Rewrite the policy language such that it reflects the practices of your organization</w:t>
      </w:r>
    </w:p>
    <w:p w:rsidR="00000000" w:rsidDel="00000000" w:rsidP="00000000" w:rsidRDefault="00000000" w:rsidRPr="00000000" w14:paraId="00000007">
      <w:pPr>
        <w:keepNext w:val="1"/>
        <w:keepLines w:val="1"/>
        <w:widowControl w:val="1"/>
        <w:pBdr>
          <w:top w:space="0" w:sz="0" w:val="nil"/>
          <w:left w:space="0" w:sz="0" w:val="nil"/>
          <w:bottom w:space="0" w:sz="0" w:val="nil"/>
          <w:right w:space="0" w:sz="0" w:val="nil"/>
          <w:between w:space="0" w:sz="0" w:val="nil"/>
        </w:pBdr>
        <w:shd w:fill="auto" w:val="clear"/>
        <w:spacing w:after="160" w:before="320" w:line="240" w:lineRule="auto"/>
        <w:ind w:left="0" w:right="0" w:firstLine="0"/>
        <w:jc w:val="left"/>
        <w:rPr>
          <w:rFonts w:ascii="Calibri" w:cs="Calibri" w:eastAsia="Calibri" w:hAnsi="Calibri"/>
          <w:b w:val="1"/>
          <w:i w:val="0"/>
          <w:smallCaps w:val="0"/>
          <w:strike w:val="0"/>
          <w:color w:val="5230d8"/>
          <w:sz w:val="40"/>
          <w:szCs w:val="40"/>
          <w:u w:val="none"/>
          <w:shd w:fill="auto" w:val="clear"/>
          <w:vertAlign w:val="baseline"/>
        </w:rPr>
      </w:pPr>
      <w:r>
        <w:t>Policy completion checklist</w:t>
      </w:r>
    </w:p>
    <w:p w:rsidR="00000000" w:rsidDel="00000000" w:rsidP="00000000" w:rsidRDefault="00000000" w:rsidRPr="00000000" w14:paraId="00000008">
      <w:pPr>
        <w:keepNext w:val="0"/>
        <w:keepLines w:val="1"/>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t>Use Find to make sure that all text in angled brackets is replaced</w:t>
      </w:r>
    </w:p>
    <w:p w:rsidR="00000000" w:rsidDel="00000000" w:rsidP="00000000" w:rsidRDefault="00000000" w:rsidRPr="00000000" w14:paraId="00000009">
      <w:pPr>
        <w:keepNext w:val="0"/>
        <w:keepLines w:val="1"/>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t>Proofread your policy for spelling and grammar mistakes</w:t>
      </w:r>
    </w:p>
    <w:p w:rsidR="00000000" w:rsidDel="00000000" w:rsidP="00000000" w:rsidRDefault="00000000" w:rsidRPr="00000000" w14:paraId="0000000A">
      <w:pPr>
        <w:keepNext w:val="0"/>
        <w:keepLines w:val="1"/>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t>Confirm that the policy’s content reflects your organizations practices</w:t>
      </w:r>
    </w:p>
    <w:p w:rsidR="00000000" w:rsidDel="00000000" w:rsidP="00000000" w:rsidRDefault="00000000" w:rsidRPr="00000000" w14:paraId="0000000B">
      <w:pPr>
        <w:keepNext w:val="0"/>
        <w:keepLines w:val="1"/>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t>Add any company-specific letterhead, branding, and formatting</w:t>
      </w:r>
    </w:p>
    <w:p w:rsidR="00000000" w:rsidDel="00000000" w:rsidP="00000000" w:rsidRDefault="00000000" w:rsidRPr="00000000" w14:paraId="0000000C">
      <w:pPr>
        <w:keepNext w:val="0"/>
        <w:keepLines w:val="1"/>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t>Remove this instructions page</w:t>
      </w:r>
    </w:p>
    <w:p w:rsidR="00000000" w:rsidDel="00000000" w:rsidP="00000000" w:rsidRDefault="00000000" w:rsidRPr="00000000" w14:paraId="0000000D">
      <w:pPr>
        <w:keepNext w:val="0"/>
        <w:keepLines w:val="1"/>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t>Export this document as PDF — File &gt; Save As &gt; Change “File Format” to PDF</w:t>
      </w:r>
    </w:p>
    <w:p w:rsidR="00000000" w:rsidDel="00000000" w:rsidP="00000000" w:rsidRDefault="00000000" w:rsidRPr="00000000" w14:paraId="0000000E">
      <w:pPr>
        <w:keepNext w:val="0"/>
        <w:keepLines w:val="1"/>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t>Upload the PDF to COMPANY at https://app.COMPANY.com/policies</w:t>
      </w:r>
    </w:p>
    <w:p w:rsidR="00000000" w:rsidDel="00000000" w:rsidP="00000000" w:rsidRDefault="00000000" w:rsidRPr="00000000" w14:paraId="0000000F">
      <w:pPr>
        <w:keepNext w:val="1"/>
        <w:keepLines w:val="1"/>
        <w:widowControl w:val="1"/>
        <w:pBdr>
          <w:top w:space="0" w:sz="0" w:val="nil"/>
          <w:left w:space="0" w:sz="0" w:val="nil"/>
          <w:bottom w:space="0" w:sz="0" w:val="nil"/>
          <w:right w:space="0" w:sz="0" w:val="nil"/>
          <w:between w:space="0" w:sz="0" w:val="nil"/>
        </w:pBdr>
        <w:shd w:fill="auto" w:val="clear"/>
        <w:spacing w:after="160" w:before="320" w:line="240" w:lineRule="auto"/>
        <w:ind w:left="0" w:right="0" w:firstLine="0"/>
        <w:jc w:val="left"/>
        <w:rPr>
          <w:rFonts w:ascii="Calibri" w:cs="Calibri" w:eastAsia="Calibri" w:hAnsi="Calibri"/>
          <w:b w:val="1"/>
          <w:i w:val="0"/>
          <w:smallCaps w:val="0"/>
          <w:strike w:val="0"/>
          <w:color w:val="5230d8"/>
          <w:sz w:val="40"/>
          <w:szCs w:val="40"/>
          <w:u w:val="none"/>
          <w:shd w:fill="auto" w:val="clear"/>
          <w:vertAlign w:val="baseline"/>
        </w:rPr>
      </w:pPr>
      <w:r>
        <w:t>More questions?</w:t>
      </w:r>
    </w:p>
    <w:p w:rsidR="00000000" w:rsidDel="00000000" w:rsidP="00000000" w:rsidRDefault="00000000" w:rsidRPr="00000000" w14:paraId="00000010">
      <w:pPr>
        <w:ind w:firstLine="0"/>
        <w:rPr/>
      </w:pPr>
      <w:r>
        <w:t>A good rule-of-thumb is to keep your language high enough level such that it stays representative for at least a year. If you have more questions about how to use this template, please reach out to support@COMPANY.com or your auditor for additional guidance.</w:t>
      </w:r>
    </w:p>
    <w:p w:rsidR="00000000" w:rsidDel="00000000" w:rsidP="00000000" w:rsidRDefault="00000000" w:rsidRPr="00000000" w14:paraId="00000011">
      <w:pPr>
        <w:ind w:firstLine="0"/>
        <w:rPr>
          <w:b w:val="1"/>
        </w:rPr>
      </w:pPr>
      <w:r/>
    </w:p>
    <w:p w:rsidR="00000000" w:rsidDel="00000000" w:rsidP="00000000" w:rsidRDefault="00000000" w:rsidRPr="00000000" w14:paraId="00000012">
      <w:pPr>
        <w:pStyle w:val="Heading1"/>
        <w:ind w:firstLine="0"/>
        <w:rPr/>
      </w:pPr>
      <w:r>
        <w:t xml:space="preserve">Cryptography Policy </w:t>
      </w:r>
    </w:p>
    <w:p w:rsidR="00000000" w:rsidDel="00000000" w:rsidP="00000000" w:rsidRDefault="00000000" w:rsidRPr="00000000" w14:paraId="00000013">
      <w:pPr>
        <w:tabs>
          <w:tab w:val="center" w:leader="none" w:pos="7667"/>
        </w:tabs>
        <w:ind w:firstLine="0"/>
        <w:rPr/>
      </w:pPr>
      <w:r>
        <w:t>Policy Owner: &lt;Policy owner&gt;</w:t>
      </w:r>
    </w:p>
    <w:p w:rsidR="00000000" w:rsidDel="00000000" w:rsidP="00000000" w:rsidRDefault="00000000" w:rsidRPr="00000000" w14:paraId="00000014">
      <w:pPr>
        <w:tabs>
          <w:tab w:val="center" w:leader="none" w:pos="7667"/>
        </w:tabs>
        <w:ind w:firstLine="0"/>
        <w:rPr>
          <w:b w:val="1"/>
        </w:rPr>
      </w:pPr>
      <w:r>
        <w:t>Effective Date: &lt;Effective date&gt;</w:t>
      </w:r>
    </w:p>
    <w:p w:rsidR="00000000" w:rsidDel="00000000" w:rsidP="00000000" w:rsidRDefault="00000000" w:rsidRPr="00000000" w14:paraId="00000015">
      <w:pPr>
        <w:pStyle w:val="Heading1"/>
        <w:keepNext w:val="1"/>
        <w:spacing w:after="160" w:before="320" w:lineRule="auto"/>
        <w:rPr/>
      </w:pPr>
      <w:r>
        <w:t xml:space="preserve">Purpose </w:t>
      </w:r>
    </w:p>
    <w:p w:rsidR="00000000" w:rsidDel="00000000" w:rsidP="00000000" w:rsidRDefault="00000000" w:rsidRPr="00000000" w14:paraId="00000016">
      <w:pPr>
        <w:ind w:firstLine="0"/>
        <w:rPr/>
      </w:pPr>
      <w:r>
        <w:t>To ensure proper and effective use of cryptography to protect the confidentiality, authenticity and/or integrity of information. This policy establishes requirements for the use and protection of cryptographic keys and cryptographic methods throughout the entire encryption lifecycle.</w:t>
      </w:r>
    </w:p>
    <w:p w:rsidR="00000000" w:rsidDel="00000000" w:rsidP="00000000" w:rsidRDefault="00000000" w:rsidRPr="00000000" w14:paraId="00000017">
      <w:pPr>
        <w:pStyle w:val="Heading1"/>
        <w:keepNext w:val="1"/>
        <w:spacing w:after="160" w:before="320" w:lineRule="auto"/>
        <w:rPr/>
      </w:pPr>
      <w:r>
        <w:t xml:space="preserve">Scope </w:t>
      </w:r>
    </w:p>
    <w:p w:rsidR="00000000" w:rsidDel="00000000" w:rsidP="00000000" w:rsidRDefault="00000000" w:rsidRPr="00000000" w14:paraId="00000018">
      <w:pPr>
        <w:ind w:firstLine="0"/>
        <w:rPr/>
      </w:pPr>
      <w:r>
        <w:t>All information systems developed and/or controlled by &lt;Company Name&gt; which store or transmit confidential data.</w:t>
      </w:r>
    </w:p>
    <w:p w:rsidR="00000000" w:rsidDel="00000000" w:rsidP="00000000" w:rsidRDefault="00000000" w:rsidRPr="00000000" w14:paraId="00000019">
      <w:pPr>
        <w:pStyle w:val="Heading1"/>
        <w:keepNext w:val="1"/>
        <w:spacing w:after="160" w:before="320" w:lineRule="auto"/>
        <w:rPr/>
      </w:pPr>
      <w:r>
        <w:t>Policy</w:t>
      </w:r>
    </w:p>
    <w:p w:rsidR="00000000" w:rsidDel="00000000" w:rsidP="00000000" w:rsidRDefault="00000000" w:rsidRPr="00000000" w14:paraId="0000001A">
      <w:pPr>
        <w:ind w:firstLine="0"/>
        <w:rPr>
          <w:highlight w:val="white"/>
        </w:rPr>
      </w:pPr>
      <w:r>
        <w:t>&lt;Company Name&gt; shall evaluate the risks inherent in processing and storing data, and shall implement cryptographic controls to mitigate those risks where deemed appropriate. Where encryption is in use, strong cryptography with associated key management processes and procedures shall be implemented and documented. All encryption shall be performed in accordance with industry standards, including NIST SP 800-57.</w:t>
      </w:r>
    </w:p>
    <w:p w:rsidR="00000000" w:rsidDel="00000000" w:rsidP="00000000" w:rsidRDefault="00000000" w:rsidRPr="00000000" w14:paraId="0000001B">
      <w:pPr>
        <w:ind w:firstLine="0"/>
        <w:rPr/>
      </w:pPr>
      <w:r>
        <w:t xml:space="preserve">Customer or confidential company data must utilize strong ciphers and configurations in accordance with vendor recommendations and industry best practices including NIST when stored or transferred over a public network. </w:t>
      </w:r>
    </w:p>
    <w:p w:rsidR="00000000" w:rsidDel="00000000" w:rsidP="00000000" w:rsidRDefault="00000000" w:rsidRPr="00000000" w14:paraId="0000001C">
      <w:pPr>
        <w:pStyle w:val="Heading1"/>
        <w:keepNext w:val="1"/>
        <w:spacing w:after="160" w:before="320" w:lineRule="auto"/>
        <w:rPr/>
      </w:pPr>
      <w:r>
        <w:t>Key Management</w:t>
      </w:r>
    </w:p>
    <w:p w:rsidR="00000000" w:rsidDel="00000000" w:rsidP="00000000" w:rsidRDefault="00000000" w:rsidRPr="00000000" w14:paraId="0000001D">
      <w:pPr>
        <w:ind w:firstLine="0"/>
        <w:rPr/>
      </w:pPr>
      <w:r>
        <w:t xml:space="preserve">Access to keys and secrets shall be tightly controlled in accordance with the Access Control Policy.  </w:t>
      </w:r>
    </w:p>
    <w:p w:rsidR="00000000" w:rsidDel="00000000" w:rsidP="00000000" w:rsidRDefault="00000000" w:rsidRPr="00000000" w14:paraId="0000001E">
      <w:pPr>
        <w:ind w:firstLine="0"/>
        <w:rPr/>
      </w:pPr>
      <w:r>
        <w:t>The following table includes the recommended usage for cryptographic keys:</w:t>
      </w:r>
    </w:p>
    <w:tbl>
      <w:tblPr>
        <w:tblStyle w:val="Table1"/>
        <w:tblW w:w="9360.0" w:type="dxa"/>
        <w:jc w:val="center"/>
        <w:tblLayout w:type="fixed"/>
        <w:tblLook w:val="0000"/>
      </w:tblPr>
      <w:tblGrid>
        <w:gridCol w:w="1800"/>
        <w:gridCol w:w="1800"/>
        <w:gridCol w:w="1800"/>
        <w:gridCol w:w="1800"/>
        <w:gridCol w:w="2160"/>
        <w:tblGridChange w:id="0">
          <w:tblGrid>
            <w:gridCol w:w="1800"/>
            <w:gridCol w:w="1800"/>
            <w:gridCol w:w="1800"/>
            <w:gridCol w:w="1800"/>
            <w:gridCol w:w="2160"/>
          </w:tblGrid>
        </w:tblGridChange>
      </w:tblGrid>
      <w:tr>
        <w:trPr>
          <w:cantSplit w:val="0"/>
          <w:trHeight w:val="224" w:hRule="atLeast"/>
          <w:tblHeader w:val="0"/>
        </w:trPr>
        <w:tc>
          <w:tcPr>
            <w:tcBorders>
              <w:top w:color="000000" w:space="0" w:sz="4" w:val="single"/>
              <w:left w:color="000000" w:space="0" w:sz="4" w:val="single"/>
              <w:bottom w:color="000000" w:space="0" w:sz="4" w:val="single"/>
              <w:right w:color="000000" w:space="0" w:sz="4" w:val="single"/>
            </w:tcBorders>
            <w:shd w:fill="94b2d6" w:val="clear"/>
          </w:tcPr>
          <w:p w:rsidR="00000000" w:rsidDel="00000000" w:rsidP="00000000" w:rsidRDefault="00000000" w:rsidRPr="00000000" w14:paraId="0000001F">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Domain</w:t>
            </w:r>
          </w:p>
        </w:tc>
        <w:tc>
          <w:tcPr>
            <w:tcBorders>
              <w:top w:color="000000" w:space="0" w:sz="4" w:val="single"/>
              <w:left w:color="000000" w:space="0" w:sz="4" w:val="single"/>
              <w:bottom w:color="000000" w:space="0" w:sz="4" w:val="single"/>
              <w:right w:color="000000" w:space="0" w:sz="4" w:val="single"/>
            </w:tcBorders>
            <w:shd w:fill="94b2d6" w:val="clear"/>
          </w:tcPr>
          <w:p w:rsidR="00000000" w:rsidDel="00000000" w:rsidP="00000000" w:rsidRDefault="00000000" w:rsidRPr="00000000" w14:paraId="00000020">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Key Type</w:t>
            </w:r>
          </w:p>
        </w:tc>
        <w:tc>
          <w:tcPr>
            <w:tcBorders>
              <w:top w:color="000000" w:space="0" w:sz="4" w:val="single"/>
              <w:left w:color="000000" w:space="0" w:sz="4" w:val="single"/>
              <w:bottom w:color="000000" w:space="0" w:sz="4" w:val="single"/>
              <w:right w:color="000000" w:space="0" w:sz="4" w:val="single"/>
            </w:tcBorders>
            <w:shd w:fill="94b2d6" w:val="clear"/>
          </w:tcPr>
          <w:p w:rsidR="00000000" w:rsidDel="00000000" w:rsidP="00000000" w:rsidRDefault="00000000" w:rsidRPr="00000000" w14:paraId="00000021">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Algorithm</w:t>
            </w:r>
          </w:p>
        </w:tc>
        <w:tc>
          <w:tcPr>
            <w:tcBorders>
              <w:top w:color="000000" w:space="0" w:sz="4" w:val="single"/>
              <w:left w:color="000000" w:space="0" w:sz="4" w:val="single"/>
              <w:bottom w:color="000000" w:space="0" w:sz="4" w:val="single"/>
              <w:right w:color="000000" w:space="0" w:sz="4" w:val="single"/>
            </w:tcBorders>
            <w:shd w:fill="94b2d6" w:val="clear"/>
          </w:tcPr>
          <w:p w:rsidR="00000000" w:rsidDel="00000000" w:rsidP="00000000" w:rsidRDefault="00000000" w:rsidRPr="00000000" w14:paraId="00000022">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Key Length</w:t>
            </w:r>
          </w:p>
        </w:tc>
        <w:tc>
          <w:tcPr>
            <w:tcBorders>
              <w:top w:color="000000" w:space="0" w:sz="4" w:val="single"/>
              <w:left w:color="000000" w:space="0" w:sz="4" w:val="single"/>
              <w:bottom w:color="000000" w:space="0" w:sz="4" w:val="single"/>
              <w:right w:color="000000" w:space="0" w:sz="4" w:val="single"/>
            </w:tcBorders>
            <w:shd w:fill="94b2d6" w:val="clear"/>
          </w:tcPr>
          <w:p w:rsidR="00000000" w:rsidDel="00000000" w:rsidP="00000000" w:rsidRDefault="00000000" w:rsidRPr="00000000" w14:paraId="00000023">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Max Expiration</w:t>
            </w:r>
          </w:p>
        </w:tc>
      </w:tr>
      <w:tr>
        <w:trPr>
          <w:cantSplit w:val="0"/>
          <w:trHeight w:val="24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4">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Web Certificate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5">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highlight w:val="yellow"/>
                <w:rtl w:val="0"/>
              </w:rPr>
              <w:t xml:space="preserve">RSA or ECC with SHA2+ signature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6">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highlight w:val="yellow"/>
                <w:rtl w:val="0"/>
              </w:rPr>
              <w:t xml:space="preserve">RSA or ECC with SHA2+ signature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7">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highlight w:val="yellow"/>
                <w:rtl w:val="0"/>
              </w:rPr>
              <w:t xml:space="preserve">2048 bit or greater/RSA, 256bit or greater/ECC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8">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Up to </w:t>
            </w:r>
            <w:r w:rsidDel="00000000" w:rsidR="00000000" w:rsidRPr="00000000">
              <w:rPr>
                <w:highlight w:val="yellow"/>
                <w:rtl w:val="0"/>
              </w:rPr>
              <w:t xml:space="preserve">1 year</w:t>
            </w:r>
            <w:r w:rsidDel="00000000" w:rsidR="00000000" w:rsidRPr="00000000">
              <w:rPr>
                <w:rtl w:val="0"/>
              </w:rPr>
            </w:r>
          </w:p>
        </w:tc>
      </w:tr>
      <w:tr>
        <w:trPr>
          <w:cantSplit w:val="0"/>
          <w:trHeight w:val="24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9">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Web Cipher (TLS)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highlight w:val="yellow"/>
                <w:rtl w:val="0"/>
              </w:rPr>
              <w:t xml:space="preserve">Asymmetric Encryption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B">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highlight w:val="yellow"/>
                <w:rtl w:val="0"/>
              </w:rPr>
              <w:t xml:space="preserve">Ciphers of B or greater grade on SSL Labs Rating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C">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highlight w:val="yellow"/>
                <w:rtl w:val="0"/>
              </w:rPr>
              <w:t xml:space="preserve">Varies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D">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N/A</w:t>
            </w:r>
          </w:p>
        </w:tc>
      </w:tr>
      <w:tr>
        <w:trPr>
          <w:cantSplit w:val="0"/>
          <w:trHeight w:val="24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E">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Confidential Dat</w:t>
            </w:r>
            <w:r w:rsidDel="00000000" w:rsidR="00000000" w:rsidRPr="00000000">
              <w:rPr>
                <w:highlight w:val="yellow"/>
                <w:rtl w:val="0"/>
              </w:rPr>
              <w:t xml:space="preserve">a at Rest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F">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highlight w:val="yellow"/>
                <w:rtl w:val="0"/>
              </w:rPr>
              <w:t xml:space="preserve">Symmetric Encryption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0">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AES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1">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256 bit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2">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1 Year</w:t>
            </w:r>
          </w:p>
        </w:tc>
      </w:tr>
      <w:tr>
        <w:trPr>
          <w:cantSplit w:val="0"/>
          <w:trHeight w:val="24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3">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Passwords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4">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highlight w:val="yellow"/>
                <w:rtl w:val="0"/>
              </w:rPr>
              <w:t xml:space="preserve">One-way </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Hash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5">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highlight w:val="yellow"/>
                <w:rtl w:val="0"/>
              </w:rPr>
              <w:t xml:space="preserve">Bcrypt, PBKDF2, or scrypt, Argon2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6">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highlight w:val="yellow"/>
                <w:rtl w:val="0"/>
              </w:rPr>
              <w:t xml:space="preserve">256 bit+10K Stretch. Include unique cryptographic salt+pepper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7">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N/A</w:t>
            </w:r>
          </w:p>
        </w:tc>
      </w:tr>
      <w:tr>
        <w:trPr>
          <w:cantSplit w:val="0"/>
          <w:trHeight w:val="24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8">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highlight w:val="yellow"/>
                <w:rtl w:val="0"/>
              </w:rPr>
              <w:t xml:space="preserve">Endpoint Storage (SSD/HDD)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9">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highlight w:val="yellow"/>
                <w:rtl w:val="0"/>
              </w:rPr>
              <w:t xml:space="preserve">Symmetric Encryption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A">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AES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B">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128 or 256 bit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C">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N/A</w:t>
            </w:r>
          </w:p>
        </w:tc>
      </w:tr>
    </w:tbl>
    <w:p w:rsidR="00000000" w:rsidDel="00000000" w:rsidP="00000000" w:rsidRDefault="00000000" w:rsidRPr="00000000" w14:paraId="0000003D">
      <w:pPr>
        <w:pStyle w:val="Heading1"/>
        <w:keepNext w:val="1"/>
        <w:spacing w:after="160" w:before="320" w:lineRule="auto"/>
        <w:rPr/>
      </w:pPr>
      <w:r>
        <w:t>Exceptions</w:t>
      </w:r>
    </w:p>
    <w:p w:rsidR="00000000" w:rsidDel="00000000" w:rsidP="00000000" w:rsidRDefault="00000000" w:rsidRPr="00000000" w14:paraId="0000003E">
      <w:pPr>
        <w:ind w:firstLine="0"/>
        <w:rPr/>
      </w:pPr>
      <w:r>
        <w:t>Requests for an exception to this policy must be submitted to the &lt;approver of requests for an exception to this policy, e.g., IT Manager&gt; for approval.</w:t>
      </w:r>
    </w:p>
    <w:p w:rsidR="00000000" w:rsidDel="00000000" w:rsidP="00000000" w:rsidRDefault="00000000" w:rsidRPr="00000000" w14:paraId="0000003F">
      <w:pPr>
        <w:ind w:firstLine="0"/>
        <w:rPr/>
      </w:pPr>
      <w:r>
        <w:t>A documented exception is required prior to moving, copying, or storing customer or company confidential data on any media or removable device; all portable devices and removable media containing sensitive data must be encrypted using approved standards and mechanisms.</w:t>
      </w:r>
    </w:p>
    <w:p w:rsidR="00000000" w:rsidDel="00000000" w:rsidP="00000000" w:rsidRDefault="00000000" w:rsidRPr="00000000" w14:paraId="00000040">
      <w:pPr>
        <w:pStyle w:val="Heading1"/>
        <w:keepNext w:val="1"/>
        <w:spacing w:after="160" w:before="320" w:lineRule="auto"/>
        <w:rPr/>
      </w:pPr>
      <w:r>
        <w:t>Violations &amp; Enforcement</w:t>
      </w:r>
    </w:p>
    <w:p w:rsidR="00000000" w:rsidDel="00000000" w:rsidP="00000000" w:rsidRDefault="00000000" w:rsidRPr="00000000" w14:paraId="00000041">
      <w:pPr>
        <w:ind w:firstLine="0"/>
        <w:rPr/>
      </w:pPr>
      <w:r>
        <w:t>Any known violations of this policy should be reported to the &lt;recipient of reports of violations of this policy, e.g., IT Manager&gt;. Violations of this policy can result in immediate withdrawal or suspension of system and network privileges and/or disciplinary action in accordance with company procedures up to and including termination of employment.</w:t>
      </w:r>
    </w:p>
    <w:p w:rsidR="00000000" w:rsidDel="00000000" w:rsidP="00000000" w:rsidRDefault="00000000" w:rsidRPr="00000000" w14:paraId="00000042">
      <w:pPr>
        <w:ind w:firstLine="0"/>
        <w:rPr/>
      </w:pPr>
      <w:r/>
    </w:p>
    <w:tbl>
      <w:tblPr>
        <w:tblStyle w:val="Table2"/>
        <w:tblW w:w="9360.0" w:type="dxa"/>
        <w:jc w:val="center"/>
        <w:tblLayout w:type="fixed"/>
        <w:tblLook w:val="0000"/>
      </w:tblPr>
      <w:tblGrid>
        <w:gridCol w:w="1440"/>
        <w:gridCol w:w="1440"/>
        <w:gridCol w:w="2880"/>
        <w:gridCol w:w="1800"/>
        <w:gridCol w:w="1800"/>
        <w:tblGridChange w:id="0">
          <w:tblGrid>
            <w:gridCol w:w="1440"/>
            <w:gridCol w:w="1440"/>
            <w:gridCol w:w="2880"/>
            <w:gridCol w:w="1800"/>
            <w:gridCol w:w="1800"/>
          </w:tblGrid>
        </w:tblGridChange>
      </w:tblGrid>
      <w:tr>
        <w:trPr>
          <w:cantSplit w:val="0"/>
          <w:trHeight w:val="220" w:hRule="atLeast"/>
          <w:tblHeader w:val="0"/>
        </w:trPr>
        <w:tc>
          <w:tcPr>
            <w:tcBorders>
              <w:top w:color="000000" w:space="0" w:sz="4" w:val="single"/>
              <w:left w:color="000000" w:space="0" w:sz="4" w:val="single"/>
              <w:bottom w:color="000000" w:space="0" w:sz="4" w:val="single"/>
              <w:right w:color="000000" w:space="0" w:sz="4" w:val="single"/>
            </w:tcBorders>
            <w:shd w:fill="94b2d6" w:val="clear"/>
          </w:tcPr>
          <w:p w:rsidR="00000000" w:rsidDel="00000000" w:rsidP="00000000" w:rsidRDefault="00000000" w:rsidRPr="00000000" w14:paraId="00000043">
            <w:pPr>
              <w:spacing w:after="0" w:lineRule="auto"/>
              <w:ind w:firstLine="0"/>
              <w:jc w:val="center"/>
              <w:rPr/>
            </w:pPr>
            <w:bookmarkStart w:colFirst="0" w:colLast="0" w:name="_1fob9te" w:id="8"/>
            <w:bookmarkEnd w:id="8"/>
            <w:r w:rsidDel="00000000" w:rsidR="00000000" w:rsidRPr="00000000">
              <w:rPr>
                <w:b w:val="1"/>
                <w:rtl w:val="0"/>
              </w:rPr>
              <w:t xml:space="preserve">Version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94b2d6" w:val="clear"/>
          </w:tcPr>
          <w:p w:rsidR="00000000" w:rsidDel="00000000" w:rsidP="00000000" w:rsidRDefault="00000000" w:rsidRPr="00000000" w14:paraId="00000044">
            <w:pPr>
              <w:spacing w:after="0" w:lineRule="auto"/>
              <w:ind w:firstLine="0"/>
              <w:jc w:val="center"/>
              <w:rPr/>
            </w:pPr>
            <w:r w:rsidDel="00000000" w:rsidR="00000000" w:rsidRPr="00000000">
              <w:rPr>
                <w:b w:val="1"/>
                <w:rtl w:val="0"/>
              </w:rPr>
              <w:t xml:space="preserve">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94b2d6" w:val="clear"/>
          </w:tcPr>
          <w:p w:rsidR="00000000" w:rsidDel="00000000" w:rsidP="00000000" w:rsidRDefault="00000000" w:rsidRPr="00000000" w14:paraId="00000045">
            <w:pPr>
              <w:spacing w:after="0" w:lineRule="auto"/>
              <w:ind w:firstLine="0"/>
              <w:jc w:val="center"/>
              <w:rPr/>
            </w:pPr>
            <w:r w:rsidDel="00000000" w:rsidR="00000000" w:rsidRPr="00000000">
              <w:rPr>
                <w:b w:val="1"/>
                <w:rtl w:val="0"/>
              </w:rPr>
              <w:t xml:space="preserve">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94b2d6" w:val="clear"/>
          </w:tcPr>
          <w:p w:rsidR="00000000" w:rsidDel="00000000" w:rsidP="00000000" w:rsidRDefault="00000000" w:rsidRPr="00000000" w14:paraId="00000046">
            <w:pPr>
              <w:spacing w:after="0" w:lineRule="auto"/>
              <w:ind w:firstLine="0"/>
              <w:jc w:val="center"/>
              <w:rPr/>
            </w:pPr>
            <w:r w:rsidDel="00000000" w:rsidR="00000000" w:rsidRPr="00000000">
              <w:rPr>
                <w:b w:val="1"/>
                <w:rtl w:val="0"/>
              </w:rPr>
              <w:t xml:space="preserve">Author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94b2d6" w:val="clear"/>
          </w:tcPr>
          <w:p w:rsidR="00000000" w:rsidDel="00000000" w:rsidP="00000000" w:rsidRDefault="00000000" w:rsidRPr="00000000" w14:paraId="00000047">
            <w:pPr>
              <w:spacing w:after="0" w:lineRule="auto"/>
              <w:ind w:firstLine="0"/>
              <w:jc w:val="center"/>
              <w:rPr/>
            </w:pPr>
            <w:r w:rsidDel="00000000" w:rsidR="00000000" w:rsidRPr="00000000">
              <w:rPr>
                <w:b w:val="1"/>
                <w:rtl w:val="0"/>
              </w:rPr>
              <w:t xml:space="preserve">Approved by</w:t>
            </w:r>
            <w:r w:rsidDel="00000000" w:rsidR="00000000" w:rsidRPr="00000000">
              <w:rPr>
                <w:rtl w:val="0"/>
              </w:rPr>
            </w:r>
          </w:p>
        </w:tc>
      </w:tr>
      <w:tr>
        <w:trPr>
          <w:cantSplit w:val="0"/>
          <w:trHeight w:val="2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8">
            <w:pPr>
              <w:spacing w:line="259" w:lineRule="auto"/>
              <w:ind w:right="60" w:firstLine="0"/>
              <w:jc w:val="center"/>
              <w:rPr>
                <w:highlight w:val="yellow"/>
              </w:rPr>
            </w:pPr>
            <w:r w:rsidDel="00000000" w:rsidR="00000000" w:rsidRPr="00000000">
              <w:rPr>
                <w:highlight w:val="yellow"/>
                <w:rtl w:val="0"/>
              </w:rPr>
              <w:t xml:space="preserve">&lt;1.0&gt;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9">
            <w:pPr>
              <w:spacing w:line="259" w:lineRule="auto"/>
              <w:ind w:firstLine="0"/>
              <w:jc w:val="center"/>
              <w:rPr>
                <w:highlight w:val="yellow"/>
              </w:rPr>
            </w:pPr>
            <w:r w:rsidDel="00000000" w:rsidR="00000000" w:rsidRPr="00000000">
              <w:rPr>
                <w:highlight w:val="yellow"/>
                <w:rtl w:val="0"/>
              </w:rPr>
              <w:t xml:space="preserve">&lt;29-Apr-2020&gt;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A">
            <w:pPr>
              <w:spacing w:line="259" w:lineRule="auto"/>
              <w:ind w:right="50" w:firstLine="0"/>
              <w:jc w:val="center"/>
              <w:rPr>
                <w:highlight w:val="yellow"/>
              </w:rPr>
            </w:pPr>
            <w:r w:rsidDel="00000000" w:rsidR="00000000" w:rsidRPr="00000000">
              <w:rPr>
                <w:highlight w:val="yellow"/>
                <w:rtl w:val="0"/>
              </w:rPr>
              <w:t xml:space="preserve">&lt;First Version&gt;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B">
            <w:pPr>
              <w:spacing w:line="259" w:lineRule="auto"/>
              <w:ind w:right="84" w:firstLine="0"/>
              <w:jc w:val="center"/>
              <w:rPr>
                <w:highlight w:val="yellow"/>
              </w:rPr>
            </w:pPr>
            <w:r w:rsidDel="00000000" w:rsidR="00000000" w:rsidRPr="00000000">
              <w:rPr>
                <w:highlight w:val="yellow"/>
                <w:rtl w:val="0"/>
              </w:rPr>
              <w:t xml:space="preserve">&lt;OWNER&gt;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C">
            <w:pPr>
              <w:spacing w:line="259" w:lineRule="auto"/>
              <w:ind w:right="51" w:firstLine="0"/>
              <w:jc w:val="center"/>
              <w:rPr>
                <w:highlight w:val="yellow"/>
              </w:rPr>
            </w:pPr>
            <w:r w:rsidDel="00000000" w:rsidR="00000000" w:rsidRPr="00000000">
              <w:rPr>
                <w:highlight w:val="yellow"/>
                <w:rtl w:val="0"/>
              </w:rPr>
              <w:t xml:space="preserve">&lt;APPROVER&gt;</w:t>
            </w:r>
          </w:p>
        </w:tc>
      </w:tr>
      <w:tr>
        <w:trPr>
          <w:cantSplit w:val="0"/>
          <w:trHeight w:val="2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D">
            <w:pPr>
              <w:spacing w:after="160" w:line="259" w:lineRule="auto"/>
              <w:ind w:firstLine="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E">
            <w:pPr>
              <w:spacing w:after="160" w:line="259" w:lineRule="auto"/>
              <w:ind w:firstLine="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F">
            <w:pPr>
              <w:spacing w:after="160" w:line="259" w:lineRule="auto"/>
              <w:ind w:firstLine="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0">
            <w:pPr>
              <w:spacing w:after="160" w:line="259" w:lineRule="auto"/>
              <w:ind w:firstLine="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1">
            <w:pPr>
              <w:spacing w:after="160" w:line="259" w:lineRule="auto"/>
              <w:ind w:firstLine="0"/>
              <w:jc w:val="center"/>
              <w:rPr/>
            </w:pPr>
            <w:r w:rsidDel="00000000" w:rsidR="00000000" w:rsidRPr="00000000">
              <w:rPr>
                <w:rtl w:val="0"/>
              </w:rPr>
            </w:r>
          </w:p>
        </w:tc>
      </w:tr>
    </w:tbl>
    <w:p w:rsidR="00000000" w:rsidDel="00000000" w:rsidP="00000000" w:rsidRDefault="00000000" w:rsidRPr="00000000" w14:paraId="00000052">
      <w:pPr>
        <w:ind w:firstLine="0"/>
        <w:rPr/>
      </w:pPr>
      <w:r/>
    </w:p>
    <w:sectPr>
      <w:headerReference r:id="rId10" w:type="default"/>
      <w:headerReference r:id="rId11" w:type="first"/>
      <w:headerReference r:id="rId12" w:type="even"/>
      <w:footerReference r:id="rId13" w:type="default"/>
      <w:footerReference r:id="rId14" w:type="first"/>
      <w:footerReference r:id="rId15"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0" w:lineRule="auto"/>
      <w:ind w:hanging="10"/>
      <w:jc w:val="center"/>
      <w:rPr>
        <w:color w:val="000000"/>
      </w:rPr>
    </w:pPr>
  </w:p>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0" w:lineRule="auto"/>
      <w:ind w:hanging="10"/>
      <w:rPr>
        <w:color w:val="000000"/>
      </w:rPr>
    </w:pP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0" w:lineRule="auto"/>
      <w:ind w:hanging="10"/>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0" w:lineRule="auto"/>
      <w:ind w:hanging="10"/>
      <w:rPr>
        <w:color w:val="000000"/>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5B">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All fields in this document marked by angled brackets &lt; &gt; and highlighted must be filled in.</w:t>
      </w:r>
    </w:p>
  </w:footnote>
  <w:footnote w:id="1">
    <w:p w:rsidR="00000000" w:rsidDel="00000000" w:rsidP="00000000" w:rsidRDefault="00000000" w:rsidRPr="00000000" w14:paraId="0000005C">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This is a reference to another Vanta policy. If you are not planning on using this policy, either describe your company’s access control policies and procedures here or replace this with a phrase like, “based on need to know” or “in accordance with the principle of least privilege.”</w:t>
      </w:r>
    </w:p>
  </w:footnote>
  <w:footnote w:id="2">
    <w:p w:rsidR="00000000" w:rsidDel="00000000" w:rsidP="00000000" w:rsidRDefault="00000000" w:rsidRPr="00000000" w14:paraId="0000005D">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Customize this table to describe your company’s cryptography practices and minimum requirements</w:t>
      </w:r>
    </w:p>
  </w:footnote>
  <w:footnote w:id="3">
    <w:p w:rsidR="00000000" w:rsidDel="00000000" w:rsidP="00000000" w:rsidRDefault="00000000" w:rsidRPr="00000000" w14:paraId="0000005E">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Added Exception language for use of portable and removable media v2</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0" w:lineRule="auto"/>
      <w:ind w:hanging="10"/>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0" w:lineRule="auto"/>
      <w:ind w:hanging="10"/>
      <w:rPr>
        <w:color w:val="000000"/>
      </w:rPr>
    </w:pPr>
  </w:p>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0" w:lineRule="auto"/>
      <w:ind w:hanging="10"/>
      <w:rPr>
        <w:color w:val="000000"/>
      </w:rPr>
    </w:pP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0" w:lineRule="auto"/>
      <w:ind w:hanging="10"/>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keepLines w:val="1"/>
        <w:spacing w:after="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space="0" w:sz="0" w:val="nil"/>
        <w:left w:space="0" w:sz="0" w:val="nil"/>
        <w:bottom w:space="0" w:sz="0" w:val="nil"/>
        <w:right w:space="0" w:sz="0" w:val="nil"/>
        <w:between w:space="0" w:sz="0" w:val="nil"/>
      </w:pBdr>
      <w:spacing w:after="160" w:before="320" w:lineRule="auto"/>
    </w:pPr>
    <w:rPr>
      <w:b w:val="1"/>
      <w:color w:val="000000"/>
      <w:sz w:val="40"/>
      <w:szCs w:val="40"/>
    </w:rPr>
  </w:style>
  <w:style w:type="paragraph" w:styleId="Heading2">
    <w:name w:val="heading 2"/>
    <w:basedOn w:val="Normal"/>
    <w:next w:val="Normal"/>
    <w:pPr>
      <w:keepNext w:val="1"/>
      <w:spacing w:after="160" w:before="160" w:lineRule="auto"/>
    </w:pPr>
    <w:rPr>
      <w:b w:val="1"/>
      <w:sz w:val="32"/>
      <w:szCs w:val="32"/>
    </w:rPr>
  </w:style>
  <w:style w:type="paragraph" w:styleId="Heading3">
    <w:name w:val="heading 3"/>
    <w:basedOn w:val="Normal"/>
    <w:next w:val="Normal"/>
    <w:pPr>
      <w:keepNext w:val="1"/>
      <w:spacing w:before="120" w:lineRule="auto"/>
    </w:pPr>
    <w:rPr>
      <w:b w:val="1"/>
      <w:color w:val="000000"/>
    </w:rPr>
  </w:style>
  <w:style w:type="paragraph" w:styleId="Heading4">
    <w:name w:val="heading 4"/>
    <w:basedOn w:val="Normal"/>
    <w:next w:val="Normal"/>
    <w:pPr>
      <w:keepNext w:val="1"/>
      <w:spacing w:after="0" w:before="40" w:lineRule="auto"/>
      <w:ind w:hanging="10"/>
    </w:pPr>
    <w:rPr>
      <w:i w:val="1"/>
      <w:color w:val="2e74b5"/>
    </w:rPr>
  </w:style>
  <w:style w:type="paragraph" w:styleId="Heading5">
    <w:name w:val="heading 5"/>
    <w:basedOn w:val="Normal"/>
    <w:next w:val="Normal"/>
    <w:pPr>
      <w:keepNext w:val="1"/>
      <w:spacing w:after="40" w:before="220" w:lineRule="auto"/>
    </w:pPr>
    <w:rPr>
      <w:b w:val="1"/>
      <w:sz w:val="22"/>
      <w:szCs w:val="22"/>
    </w:rPr>
  </w:style>
  <w:style w:type="paragraph" w:styleId="Heading6">
    <w:name w:val="heading 6"/>
    <w:basedOn w:val="Normal"/>
    <w:next w:val="Normal"/>
    <w:pPr>
      <w:keepNext w:val="1"/>
      <w:spacing w:after="40" w:before="200" w:lineRule="auto"/>
    </w:pPr>
    <w:rPr>
      <w:b w:val="1"/>
    </w:rPr>
  </w:style>
  <w:style w:type="paragraph" w:styleId="Title">
    <w:name w:val="Title"/>
    <w:basedOn w:val="Normal"/>
    <w:next w:val="Normal"/>
    <w:pPr>
      <w:keepNext w:val="1"/>
      <w:spacing w:before="480" w:lineRule="auto"/>
    </w:pPr>
    <w:rPr>
      <w:b w:val="1"/>
      <w:sz w:val="48"/>
      <w:szCs w:val="48"/>
    </w:rPr>
  </w:style>
  <w:style w:type="paragraph" w:styleId="Subtitle">
    <w:name w:val="Subtitle"/>
    <w:basedOn w:val="Normal"/>
    <w:next w:val="Normal"/>
    <w:pPr>
      <w:keepNext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72.0" w:type="dxa"/>
        <w:left w:w="72.0" w:type="dxa"/>
        <w:bottom w:w="72.0" w:type="dxa"/>
        <w:right w:w="72.0" w:type="dxa"/>
      </w:tblCellMar>
    </w:tblPr>
  </w:style>
  <w:style w:type="table" w:styleId="Table2">
    <w:basedOn w:val="TableNormal"/>
    <w:tblPr>
      <w:tblStyleRowBandSize w:val="1"/>
      <w:tblStyleColBandSize w:val="1"/>
      <w:tblCellMar>
        <w:top w:w="72.0" w:type="dxa"/>
        <w:left w:w="72.0" w:type="dxa"/>
        <w:bottom w:w="72.0" w:type="dxa"/>
        <w:right w:w="72.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csrc.nist.gov/projects/cryptographic-standards-and-guidelines" TargetMode="External"/><Relationship Id="rId15" Type="http://schemas.openxmlformats.org/officeDocument/2006/relationships/footer" Target="footer2.xml"/><Relationship Id="rId1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app.vanta.com/policies" TargetMode="External"/><Relationship Id="rId8" Type="http://schemas.openxmlformats.org/officeDocument/2006/relationships/hyperlink" Target="mailto:support@vanta.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