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COMPANY document template instructions</w:t>
      </w:r>
    </w:p>
    <w:p w:rsidR="00000000" w:rsidDel="00000000" w:rsidP="00000000" w:rsidRDefault="00000000" w:rsidRPr="00000000" w14:paraId="00000002">
      <w:pPr>
        <w:rPr/>
      </w:pPr>
      <w:r>
        <w:t>This COMPANY document template represents a compliance-ready document with placeholders for company-specific text. Each document section represents a topic that you should consider and/or modify to match your company’s practices.</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For each document section</w:t>
      </w:r>
    </w:p>
    <w:p w:rsidR="00000000" w:rsidDel="00000000" w:rsidP="00000000" w:rsidRDefault="00000000" w:rsidRPr="00000000" w14:paraId="00000004">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Consider if this section applies to you. If it does not, remove it and/or replace it with your organization’s corresponding practices.</w:t>
      </w:r>
    </w:p>
    <w:p w:rsidR="00000000" w:rsidDel="00000000" w:rsidP="00000000" w:rsidRDefault="00000000" w:rsidRPr="00000000" w14:paraId="00000005">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Replace any highlighted text in angled brackets &lt; &gt; with your own language</w:t>
      </w:r>
    </w:p>
    <w:p w:rsidR="00000000" w:rsidDel="00000000" w:rsidP="00000000" w:rsidRDefault="00000000" w:rsidRPr="00000000" w14:paraId="00000006">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Rewrite the document language such that it reflects the practices of your organization</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Document completion checklist</w:t>
      </w:r>
    </w:p>
    <w:p w:rsidR="00000000" w:rsidDel="00000000" w:rsidP="00000000" w:rsidRDefault="00000000" w:rsidRPr="00000000" w14:paraId="00000008">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Use Find to make sure that all text in angled brackets is replaced</w:t>
      </w:r>
    </w:p>
    <w:p w:rsidR="00000000" w:rsidDel="00000000" w:rsidP="00000000" w:rsidRDefault="00000000" w:rsidRPr="00000000" w14:paraId="00000009">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Proofread your document for spelling and grammar mistakes</w:t>
      </w:r>
    </w:p>
    <w:p w:rsidR="00000000" w:rsidDel="00000000" w:rsidP="00000000" w:rsidRDefault="00000000" w:rsidRPr="00000000" w14:paraId="0000000A">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Confirm that the document’s content reflects your organization’s practices</w:t>
      </w:r>
    </w:p>
    <w:p w:rsidR="00000000" w:rsidDel="00000000" w:rsidP="00000000" w:rsidRDefault="00000000" w:rsidRPr="00000000" w14:paraId="0000000B">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Add any company-specific letterhead, branding, and formatting</w:t>
      </w:r>
    </w:p>
    <w:p w:rsidR="00000000" w:rsidDel="00000000" w:rsidP="00000000" w:rsidRDefault="00000000" w:rsidRPr="00000000" w14:paraId="0000000C">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Remove this instructions page</w:t>
      </w:r>
    </w:p>
    <w:p w:rsidR="00000000" w:rsidDel="00000000" w:rsidP="00000000" w:rsidRDefault="00000000" w:rsidRPr="00000000" w14:paraId="0000000D">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Export this document as PDF — File &gt; Save As &gt; Change “File Format” to PDF</w:t>
      </w:r>
    </w:p>
    <w:p w:rsidR="00000000" w:rsidDel="00000000" w:rsidP="00000000" w:rsidRDefault="00000000" w:rsidRPr="00000000" w14:paraId="0000000E">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Upload the PDF to COMPANY at https://app.COMPANY.com/policies</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More questions?</w:t>
      </w:r>
    </w:p>
    <w:p w:rsidR="00000000" w:rsidDel="00000000" w:rsidP="00000000" w:rsidRDefault="00000000" w:rsidRPr="00000000" w14:paraId="00000010">
      <w:pPr>
        <w:rPr/>
      </w:pPr>
      <w:r>
        <w:t>A good rule-of-thumb is to keep your language high enough level such that it stays representative for at least a year. If you have more questions about how to use this template, please reach out to your Customer Success Manager or your auditor for additional guidance.</w:t>
      </w:r>
    </w:p>
    <w:p w:rsidR="00000000" w:rsidDel="00000000" w:rsidP="00000000" w:rsidRDefault="00000000" w:rsidRPr="00000000" w14:paraId="00000011">
      <w:pPr>
        <w:rPr>
          <w:b w:val="1"/>
          <w:color w:val="2e74b5"/>
          <w:sz w:val="26"/>
          <w:szCs w:val="26"/>
        </w:rPr>
      </w:pPr>
      <w:r/>
    </w:p>
    <w:p w:rsidR="00000000" w:rsidDel="00000000" w:rsidP="00000000" w:rsidRDefault="00000000" w:rsidRPr="00000000" w14:paraId="00000012">
      <w:pPr>
        <w:pStyle w:val="Title"/>
        <w:rPr/>
      </w:pPr>
      <w:r>
        <w:t>Document Name: Information Security Communication Plan</w:t>
      </w:r>
    </w:p>
    <w:p w:rsidR="00000000" w:rsidDel="00000000" w:rsidP="00000000" w:rsidRDefault="00000000" w:rsidRPr="00000000" w14:paraId="00000013">
      <w:pPr>
        <w:pStyle w:val="Subtitle"/>
        <w:rPr/>
      </w:pPr>
      <w:r>
        <w:t>Document Number: 06-ISMS</w:t>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200"/>
        <w:tblGridChange w:id="0">
          <w:tblGrid>
            <w:gridCol w:w="2160"/>
            <w:gridCol w:w="7200"/>
          </w:tblGrid>
        </w:tblGridChange>
      </w:tblGrid>
      <w:tr>
        <w:trPr>
          <w:cantSplit w:val="1"/>
          <w:tblHeader w:val="0"/>
        </w:trPr>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Company Name: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&lt;Company Name&gt;</w:t>
            </w:r>
          </w:p>
        </w:tc>
      </w:tr>
      <w:tr>
        <w:trPr>
          <w:cantSplit w:val="1"/>
          <w:tblHeader w:val="0"/>
        </w:trPr>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1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Policy Owner(s):</w:t>
            </w:r>
          </w:p>
        </w:tc>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1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&lt;Policy owner(s)&gt;</w:t>
            </w:r>
          </w:p>
        </w:tc>
      </w:tr>
      <w:tr>
        <w:trPr>
          <w:cantSplit w:val="1"/>
          <w:tblHeader w:val="0"/>
        </w:trPr>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Effective Date: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&lt;Effective date&gt;</w:t>
            </w:r>
          </w:p>
        </w:tc>
      </w:tr>
    </w:tbl>
    <w:p w:rsidR="00000000" w:rsidDel="00000000" w:rsidP="00000000" w:rsidRDefault="00000000" w:rsidRPr="00000000" w14:paraId="0000001A">
      <w:pPr>
        <w:pStyle w:val="Heading1"/>
        <w:rPr/>
      </w:pPr>
      <w:r>
        <w:t>Purpose</w:t>
      </w:r>
    </w:p>
    <w:p w:rsidR="00000000" w:rsidDel="00000000" w:rsidP="00000000" w:rsidRDefault="00000000" w:rsidRPr="00000000" w14:paraId="0000001B">
      <w:pPr>
        <w:rPr/>
      </w:pPr>
      <w:r>
        <w:t>This document defines the considerations and steps to be used when communicating information relevant to &lt;Company Name&gt;’s Information Security Management System (“ISMS”), including its purpose and importance to internal and external parties.</w:t>
      </w:r>
    </w:p>
    <w:p w:rsidR="00000000" w:rsidDel="00000000" w:rsidP="00000000" w:rsidRDefault="00000000" w:rsidRPr="00000000" w14:paraId="0000001C">
      <w:pPr>
        <w:pStyle w:val="Heading1"/>
        <w:rPr/>
      </w:pPr>
      <w:r>
        <w:t>Content of Communications</w:t>
      </w:r>
    </w:p>
    <w:p w:rsidR="00000000" w:rsidDel="00000000" w:rsidP="00000000" w:rsidRDefault="00000000" w:rsidRPr="00000000" w14:paraId="0000001D">
      <w:pPr>
        <w:rPr/>
      </w:pPr>
      <w:r>
        <w:t>Communications external to &lt;Company Name&gt; may include mention of the ISMS program, the certifying body, the ISMS scope statement, and the &lt;Company Name&gt; Management Team.</w:t>
      </w:r>
    </w:p>
    <w:p w:rsidR="00000000" w:rsidDel="00000000" w:rsidP="00000000" w:rsidRDefault="00000000" w:rsidRPr="00000000" w14:paraId="0000001E">
      <w:pPr>
        <w:rPr>
          <w:b w:val="1"/>
        </w:rPr>
      </w:pPr>
      <w:r>
        <w:t>Any external request for documentation or specifics regarding the ISMS requires the approval of the Information Security Management Leader or a member of the ISMS Governance Council, as well as a signed non-disclosure agreement.</w:t>
      </w:r>
    </w:p>
    <w:p w:rsidR="00000000" w:rsidDel="00000000" w:rsidP="00000000" w:rsidRDefault="00000000" w:rsidRPr="00000000" w14:paraId="0000001F">
      <w:pPr>
        <w:pStyle w:val="Heading1"/>
        <w:rPr/>
      </w:pPr>
      <w:r>
        <w:t>Recipient of Communications</w:t>
      </w:r>
    </w:p>
    <w:p w:rsidR="00000000" w:rsidDel="00000000" w:rsidP="00000000" w:rsidRDefault="00000000" w:rsidRPr="00000000" w14:paraId="00000020">
      <w:pPr>
        <w:rPr/>
      </w:pPr>
      <w:r>
        <w:t>Internal program level communications will be distributed to all in-scope personnel or to pre-defined distribution lists. ISMS management will also directly communicate to specific roles based on their responsibilities.</w:t>
      </w:r>
    </w:p>
    <w:p w:rsidR="00000000" w:rsidDel="00000000" w:rsidP="00000000" w:rsidRDefault="00000000" w:rsidRPr="00000000" w14:paraId="00000021">
      <w:pPr>
        <w:rPr/>
      </w:pPr>
      <w:r>
        <w:t>External communication delivery will be defined for each business case and can include regulators.</w:t>
      </w:r>
    </w:p>
    <w:p w:rsidR="00000000" w:rsidDel="00000000" w:rsidP="00000000" w:rsidRDefault="00000000" w:rsidRPr="00000000" w14:paraId="00000022">
      <w:pPr>
        <w:pStyle w:val="Heading1"/>
        <w:rPr/>
      </w:pPr>
      <w:r>
        <w:t>Originator of Communications</w:t>
      </w:r>
    </w:p>
    <w:p w:rsidR="00000000" w:rsidDel="00000000" w:rsidP="00000000" w:rsidRDefault="00000000" w:rsidRPr="00000000" w14:paraId="00000023">
      <w:pPr>
        <w:rPr/>
      </w:pPr>
      <w:r>
        <w:t>The content of materials communicated shall be originated by any of the below:</w:t>
      </w:r>
    </w:p>
    <w:p w:rsidR="00000000" w:rsidDel="00000000" w:rsidP="00000000" w:rsidRDefault="00000000" w:rsidRPr="00000000" w14:paraId="00000024">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ISMS Governance Council</w:t>
      </w:r>
    </w:p>
    <w:p w:rsidR="00000000" w:rsidDel="00000000" w:rsidP="00000000" w:rsidRDefault="00000000" w:rsidRPr="00000000" w14:paraId="00000025">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CIO</w:t>
      </w:r>
    </w:p>
    <w:p w:rsidR="00000000" w:rsidDel="00000000" w:rsidP="00000000" w:rsidRDefault="00000000" w:rsidRPr="00000000" w14:paraId="00000026">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Information Security Management Leader</w:t>
      </w:r>
    </w:p>
    <w:p w:rsidR="00000000" w:rsidDel="00000000" w:rsidP="00000000" w:rsidRDefault="00000000" w:rsidRPr="00000000" w14:paraId="00000027">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t>Information Security Team (internal only)</w:t>
      </w:r>
    </w:p>
    <w:p w:rsidR="00000000" w:rsidDel="00000000" w:rsidP="00000000" w:rsidRDefault="00000000" w:rsidRPr="00000000" w14:paraId="00000028">
      <w:pPr>
        <w:pStyle w:val="Heading1"/>
        <w:rPr/>
      </w:pPr>
      <w:r>
        <w:t>Timing and Mechanism of Communications</w:t>
      </w:r>
    </w:p>
    <w:p w:rsidR="00000000" w:rsidDel="00000000" w:rsidP="00000000" w:rsidRDefault="00000000" w:rsidRPr="00000000" w14:paraId="00000029">
      <w:pPr>
        <w:rPr/>
      </w:pPr>
      <w:r>
        <w:t>The internal publication of the ISMS current state, scope, and operation shall be performed as the ISMS changes or as needed. Internal certification notices will be communicated annually through e-mail or via an alternate method of communication chosen by &lt;Company Name&gt;.</w:t>
      </w:r>
    </w:p>
    <w:p w:rsidR="00000000" w:rsidDel="00000000" w:rsidP="00000000" w:rsidRDefault="00000000" w:rsidRPr="00000000" w14:paraId="0000002A">
      <w:pPr>
        <w:rPr/>
      </w:pPr>
      <w:r>
        <w:t>External communication will be on an on-demand basis with customers, prospects, regulators, government agencies (if applicable), and approved third parties.</w:t>
      </w:r>
    </w:p>
    <w:p w:rsidR="00000000" w:rsidDel="00000000" w:rsidP="00000000" w:rsidRDefault="00000000" w:rsidRPr="00000000" w14:paraId="0000002B">
      <w:pPr>
        <w:pStyle w:val="Heading1"/>
        <w:rPr/>
      </w:pPr>
      <w:r>
        <w:t>Communication Plan</w:t>
      </w:r>
    </w:p>
    <w:p w:rsidR="00000000" w:rsidDel="00000000" w:rsidP="00000000" w:rsidRDefault="00000000" w:rsidRPr="00000000" w14:paraId="0000002C">
      <w:pPr>
        <w:rPr/>
      </w:pPr>
      <w:r>
        <w:t xml:space="preserve">The internal publication of the ISMS current state, scope, and operation shall be performed as the ISMS changes or as needed. </w:t>
      </w:r>
    </w:p>
    <w:tbl>
      <w:tblPr>
        <w:tblStyle w:val="Table2"/>
        <w:tblW w:w="112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160"/>
        <w:gridCol w:w="1440"/>
        <w:gridCol w:w="1440"/>
        <w:gridCol w:w="1584"/>
        <w:gridCol w:w="1440"/>
        <w:gridCol w:w="1584"/>
        <w:gridCol w:w="1584"/>
        <w:tblGridChange w:id="0">
          <w:tblGrid>
            <w:gridCol w:w="2160"/>
            <w:gridCol w:w="1440"/>
            <w:gridCol w:w="1440"/>
            <w:gridCol w:w="1584"/>
            <w:gridCol w:w="1440"/>
            <w:gridCol w:w="1584"/>
            <w:gridCol w:w="1584"/>
          </w:tblGrid>
        </w:tblGridChange>
      </w:tblGrid>
      <w:tr>
        <w:trPr>
          <w:cantSplit w:val="1"/>
          <w:tblHeader w:val="0"/>
        </w:trPr>
        <w:tc>
          <w:tcPr>
            <w:vAlign w:val="top"/>
          </w:tcPr>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Content</w:t>
            </w:r>
          </w:p>
        </w:tc>
        <w:tc>
          <w:tcPr>
            <w:vAlign w:val="top"/>
          </w:tcPr>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Internal / External</w:t>
            </w:r>
          </w:p>
        </w:tc>
        <w:tc>
          <w:tcPr>
            <w:vAlign w:val="top"/>
          </w:tcPr>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Recipient(s)</w:t>
            </w:r>
          </w:p>
        </w:tc>
        <w:tc>
          <w:tcPr>
            <w:vAlign w:val="top"/>
          </w:tcPr>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Originator(s)</w:t>
            </w:r>
          </w:p>
        </w:tc>
        <w:tc>
          <w:tcPr>
            <w:vAlign w:val="top"/>
          </w:tcPr>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Timing*</w:t>
            </w:r>
          </w:p>
        </w:tc>
        <w:tc>
          <w:tcPr>
            <w:vAlign w:val="top"/>
          </w:tcPr>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Mechanism(s)</w:t>
            </w:r>
          </w:p>
        </w:tc>
        <w:tc>
          <w:tcPr>
            <w:vAlign w:val="top"/>
          </w:tcPr>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Approval Required</w:t>
            </w:r>
          </w:p>
        </w:tc>
      </w:tr>
      <w:tr>
        <w:trPr>
          <w:cantSplit w:val="1"/>
          <w:tblHeader w:val="0"/>
        </w:trPr>
        <w:tc>
          <w:tcPr/>
          <w:p w:rsidR="00000000" w:rsidDel="00000000" w:rsidP="00000000" w:rsidRDefault="00000000" w:rsidRPr="00000000" w14:paraId="00000034">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ISMS &amp; InfoSec Policies</w:t>
            </w:r>
            <w:r w:rsidDel="00000000" w:rsidR="00000000" w:rsidRPr="00000000">
              <w:rPr>
                <w:rtl w:val="0"/>
              </w:rPr>
            </w:r>
          </w:p>
          <w:p w:rsidR="00000000" w:rsidDel="00000000" w:rsidP="00000000" w:rsidRDefault="00000000" w:rsidRPr="00000000" w14:paraId="00000035">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Objectives</w:t>
            </w:r>
            <w:r w:rsidDel="00000000" w:rsidR="00000000" w:rsidRPr="00000000">
              <w:rPr>
                <w:rtl w:val="0"/>
              </w:rPr>
            </w:r>
          </w:p>
          <w:p w:rsidR="00000000" w:rsidDel="00000000" w:rsidP="00000000" w:rsidRDefault="00000000" w:rsidRPr="00000000" w14:paraId="00000036">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Current state of the ISMS</w:t>
            </w:r>
            <w:r w:rsidDel="00000000" w:rsidR="00000000" w:rsidRPr="00000000">
              <w:rPr>
                <w:rtl w:val="0"/>
              </w:rPr>
            </w:r>
          </w:p>
          <w:p w:rsidR="00000000" w:rsidDel="00000000" w:rsidP="00000000" w:rsidRDefault="00000000" w:rsidRPr="00000000" w14:paraId="00000037">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Certificate details</w:t>
            </w:r>
            <w:r w:rsidDel="00000000" w:rsidR="00000000" w:rsidRPr="00000000">
              <w:rPr>
                <w:rtl w:val="0"/>
              </w:rPr>
            </w:r>
          </w:p>
        </w:tc>
        <w:tc>
          <w:tcPr/>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Internal</w:t>
            </w:r>
          </w:p>
        </w:tc>
        <w:tc>
          <w:tcPr/>
          <w:p w:rsidR="00000000" w:rsidDel="00000000" w:rsidP="00000000" w:rsidRDefault="00000000" w:rsidRPr="00000000" w14:paraId="00000039">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ISMS Governance Council</w:t>
            </w:r>
            <w:r w:rsidDel="00000000" w:rsidR="00000000" w:rsidRPr="00000000">
              <w:rPr>
                <w:rtl w:val="0"/>
              </w:rPr>
            </w:r>
          </w:p>
          <w:p w:rsidR="00000000" w:rsidDel="00000000" w:rsidP="00000000" w:rsidRDefault="00000000" w:rsidRPr="00000000" w14:paraId="0000003A">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Relevant staff and contractors</w:t>
            </w:r>
            <w:r w:rsidDel="00000000" w:rsidR="00000000" w:rsidRPr="00000000">
              <w:rPr>
                <w:rtl w:val="0"/>
              </w:rPr>
            </w:r>
          </w:p>
        </w:tc>
        <w:tc>
          <w:tcPr/>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Management Leader</w:t>
            </w:r>
          </w:p>
        </w:tc>
        <w:tc>
          <w:tcPr/>
          <w:p w:rsidR="00000000" w:rsidDel="00000000" w:rsidP="00000000" w:rsidRDefault="00000000" w:rsidRPr="00000000" w14:paraId="0000003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Annually or as needed</w:t>
            </w:r>
          </w:p>
        </w:tc>
        <w:tc>
          <w:tcPr/>
          <w:p w:rsidR="00000000" w:rsidDel="00000000" w:rsidP="00000000" w:rsidRDefault="00000000" w:rsidRPr="00000000" w14:paraId="0000003D">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w:t>
            </w:r>
            <w:r w:rsidDel="00000000" w:rsidR="00000000" w:rsidRPr="00000000">
              <w:rPr>
                <w:rtl w:val="0"/>
              </w:rPr>
            </w:r>
          </w:p>
          <w:p w:rsidR="00000000" w:rsidDel="00000000" w:rsidP="00000000" w:rsidRDefault="00000000" w:rsidRPr="00000000" w14:paraId="0000003E">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 presentation</w:t>
            </w:r>
            <w:r w:rsidDel="00000000" w:rsidR="00000000" w:rsidRPr="00000000">
              <w:rPr>
                <w:rtl w:val="0"/>
              </w:rPr>
            </w:r>
          </w:p>
          <w:p w:rsidR="00000000" w:rsidDel="00000000" w:rsidP="00000000" w:rsidRDefault="00000000" w:rsidRPr="00000000" w14:paraId="0000003F">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Alternate method chosen by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&lt;Company Name&gt;</w:t>
            </w:r>
            <w:r w:rsidDel="00000000" w:rsidR="00000000" w:rsidRPr="00000000">
              <w:rPr>
                <w:rtl w:val="0"/>
              </w:rPr>
            </w:r>
          </w:p>
        </w:tc>
        <w:tc>
          <w:tcPr/>
          <w:p w:rsidR="00000000" w:rsidDel="00000000" w:rsidP="00000000" w:rsidRDefault="00000000" w:rsidRPr="00000000" w14:paraId="0000004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None</w:t>
            </w:r>
          </w:p>
        </w:tc>
      </w:tr>
      <w:tr>
        <w:trPr>
          <w:cantSplit w:val="1"/>
          <w:tblHeader w:val="0"/>
        </w:trPr>
        <w:tc>
          <w:tcPr/>
          <w:p w:rsidR="00000000" w:rsidDel="00000000" w:rsidP="00000000" w:rsidRDefault="00000000" w:rsidRPr="00000000" w14:paraId="00000041">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Highlights and summaries of risk assessment reports</w:t>
            </w:r>
            <w:r w:rsidDel="00000000" w:rsidR="00000000" w:rsidRPr="00000000">
              <w:rPr>
                <w:rtl w:val="0"/>
              </w:rPr>
            </w:r>
          </w:p>
          <w:p w:rsidR="00000000" w:rsidDel="00000000" w:rsidP="00000000" w:rsidRDefault="00000000" w:rsidRPr="00000000" w14:paraId="00000042">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Internal audits</w:t>
            </w:r>
            <w:r w:rsidDel="00000000" w:rsidR="00000000" w:rsidRPr="00000000">
              <w:rPr>
                <w:rtl w:val="0"/>
              </w:rPr>
            </w:r>
          </w:p>
          <w:p w:rsidR="00000000" w:rsidDel="00000000" w:rsidP="00000000" w:rsidRDefault="00000000" w:rsidRPr="00000000" w14:paraId="00000043">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results</w:t>
            </w:r>
            <w:r w:rsidDel="00000000" w:rsidR="00000000" w:rsidRPr="00000000">
              <w:rPr>
                <w:rtl w:val="0"/>
              </w:rPr>
            </w:r>
          </w:p>
          <w:p w:rsidR="00000000" w:rsidDel="00000000" w:rsidP="00000000" w:rsidRDefault="00000000" w:rsidRPr="00000000" w14:paraId="00000044">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Incident reports</w:t>
            </w:r>
            <w:r w:rsidDel="00000000" w:rsidR="00000000" w:rsidRPr="00000000">
              <w:rPr>
                <w:rtl w:val="0"/>
              </w:rPr>
            </w:r>
          </w:p>
          <w:p w:rsidR="00000000" w:rsidDel="00000000" w:rsidP="00000000" w:rsidRDefault="00000000" w:rsidRPr="00000000" w14:paraId="00000045">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Actions related to continuous improvement</w:t>
            </w:r>
            <w:r w:rsidDel="00000000" w:rsidR="00000000" w:rsidRPr="00000000">
              <w:rPr>
                <w:rtl w:val="0"/>
              </w:rPr>
            </w:r>
          </w:p>
          <w:p w:rsidR="00000000" w:rsidDel="00000000" w:rsidP="00000000" w:rsidRDefault="00000000" w:rsidRPr="00000000" w14:paraId="00000046">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Coordination of activities</w:t>
            </w:r>
            <w:r w:rsidDel="00000000" w:rsidR="00000000" w:rsidRPr="00000000">
              <w:rPr>
                <w:rtl w:val="0"/>
              </w:rPr>
            </w:r>
          </w:p>
          <w:p w:rsidR="00000000" w:rsidDel="00000000" w:rsidP="00000000" w:rsidRDefault="00000000" w:rsidRPr="00000000" w14:paraId="00000047">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timelines</w:t>
            </w:r>
            <w:r w:rsidDel="00000000" w:rsidR="00000000" w:rsidRPr="00000000">
              <w:rPr>
                <w:rtl w:val="0"/>
              </w:rPr>
            </w:r>
          </w:p>
          <w:p w:rsidR="00000000" w:rsidDel="00000000" w:rsidP="00000000" w:rsidRDefault="00000000" w:rsidRPr="00000000" w14:paraId="00000048">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Management of ISMS</w:t>
            </w:r>
            <w:r w:rsidDel="00000000" w:rsidR="00000000" w:rsidRPr="00000000">
              <w:rPr>
                <w:rtl w:val="0"/>
              </w:rPr>
            </w:r>
          </w:p>
        </w:tc>
        <w:tc>
          <w:tcPr/>
          <w:p w:rsidR="00000000" w:rsidDel="00000000" w:rsidP="00000000" w:rsidRDefault="00000000" w:rsidRPr="00000000" w14:paraId="0000004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Internal</w:t>
            </w:r>
          </w:p>
        </w:tc>
        <w:tc>
          <w:tcPr/>
          <w:p w:rsidR="00000000" w:rsidDel="00000000" w:rsidP="00000000" w:rsidRDefault="00000000" w:rsidRPr="00000000" w14:paraId="0000004A">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ISMS Governance Council</w:t>
            </w:r>
            <w:r w:rsidDel="00000000" w:rsidR="00000000" w:rsidRPr="00000000">
              <w:rPr>
                <w:rtl w:val="0"/>
              </w:rPr>
            </w:r>
          </w:p>
          <w:p w:rsidR="00000000" w:rsidDel="00000000" w:rsidP="00000000" w:rsidRDefault="00000000" w:rsidRPr="00000000" w14:paraId="0000004B">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Relevant staff and contractors</w:t>
            </w:r>
            <w:r w:rsidDel="00000000" w:rsidR="00000000" w:rsidRPr="00000000">
              <w:rPr>
                <w:rtl w:val="0"/>
              </w:rPr>
            </w:r>
          </w:p>
        </w:tc>
        <w:tc>
          <w:tcPr/>
          <w:p w:rsidR="00000000" w:rsidDel="00000000" w:rsidP="00000000" w:rsidRDefault="00000000" w:rsidRPr="00000000" w14:paraId="0000004C">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Management Leader</w:t>
            </w:r>
            <w:r w:rsidDel="00000000" w:rsidR="00000000" w:rsidRPr="00000000">
              <w:rPr>
                <w:rtl w:val="0"/>
              </w:rPr>
            </w:r>
          </w:p>
          <w:p w:rsidR="00000000" w:rsidDel="00000000" w:rsidP="00000000" w:rsidRDefault="00000000" w:rsidRPr="00000000" w14:paraId="0000004D">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Team</w:t>
            </w:r>
            <w:r w:rsidDel="00000000" w:rsidR="00000000" w:rsidRPr="00000000">
              <w:rPr>
                <w:rtl w:val="0"/>
              </w:rPr>
            </w:r>
          </w:p>
        </w:tc>
        <w:tc>
          <w:tcPr/>
          <w:p w:rsidR="00000000" w:rsidDel="00000000" w:rsidP="00000000" w:rsidRDefault="00000000" w:rsidRPr="00000000" w14:paraId="0000004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Annually or as needed</w:t>
            </w:r>
          </w:p>
        </w:tc>
        <w:tc>
          <w:tcPr/>
          <w:p w:rsidR="00000000" w:rsidDel="00000000" w:rsidP="00000000" w:rsidRDefault="00000000" w:rsidRPr="00000000" w14:paraId="0000004F">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w:t>
            </w:r>
            <w:r w:rsidDel="00000000" w:rsidR="00000000" w:rsidRPr="00000000">
              <w:rPr>
                <w:rtl w:val="0"/>
              </w:rPr>
            </w:r>
          </w:p>
          <w:p w:rsidR="00000000" w:rsidDel="00000000" w:rsidP="00000000" w:rsidRDefault="00000000" w:rsidRPr="00000000" w14:paraId="00000050">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 presentation</w:t>
            </w:r>
            <w:r w:rsidDel="00000000" w:rsidR="00000000" w:rsidRPr="00000000">
              <w:rPr>
                <w:rtl w:val="0"/>
              </w:rPr>
            </w:r>
          </w:p>
          <w:p w:rsidR="00000000" w:rsidDel="00000000" w:rsidP="00000000" w:rsidRDefault="00000000" w:rsidRPr="00000000" w14:paraId="00000051">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Alternate method chosen by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&lt;Company Name&gt;</w:t>
            </w:r>
            <w:r w:rsidDel="00000000" w:rsidR="00000000" w:rsidRPr="00000000">
              <w:rPr>
                <w:rtl w:val="0"/>
              </w:rPr>
            </w:r>
          </w:p>
        </w:tc>
        <w:tc>
          <w:tcPr/>
          <w:p w:rsidR="00000000" w:rsidDel="00000000" w:rsidP="00000000" w:rsidRDefault="00000000" w:rsidRPr="00000000" w14:paraId="0000005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None</w:t>
            </w:r>
          </w:p>
        </w:tc>
      </w:tr>
      <w:tr>
        <w:trPr>
          <w:cantSplit w:val="1"/>
          <w:tblHeader w:val="0"/>
        </w:trPr>
        <w:tc>
          <w:tcPr/>
          <w:p w:rsidR="00000000" w:rsidDel="00000000" w:rsidP="00000000" w:rsidRDefault="00000000" w:rsidRPr="00000000" w14:paraId="00000053">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Confidentiality Agreements</w:t>
            </w:r>
            <w:r w:rsidDel="00000000" w:rsidR="00000000" w:rsidRPr="00000000">
              <w:rPr>
                <w:rtl w:val="0"/>
              </w:rPr>
            </w:r>
          </w:p>
          <w:p w:rsidR="00000000" w:rsidDel="00000000" w:rsidP="00000000" w:rsidRDefault="00000000" w:rsidRPr="00000000" w14:paraId="00000054">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Company Handbook containing company policies</w:t>
            </w:r>
            <w:r w:rsidDel="00000000" w:rsidR="00000000" w:rsidRPr="00000000">
              <w:rPr>
                <w:rtl w:val="0"/>
              </w:rPr>
            </w:r>
          </w:p>
          <w:p w:rsidR="00000000" w:rsidDel="00000000" w:rsidP="00000000" w:rsidRDefault="00000000" w:rsidRPr="00000000" w14:paraId="00000055">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Standards of Conduct</w:t>
            </w:r>
            <w:r w:rsidDel="00000000" w:rsidR="00000000" w:rsidRPr="00000000">
              <w:rPr>
                <w:rtl w:val="0"/>
              </w:rPr>
            </w:r>
          </w:p>
          <w:p w:rsidR="00000000" w:rsidDel="00000000" w:rsidP="00000000" w:rsidRDefault="00000000" w:rsidRPr="00000000" w14:paraId="00000056">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policies including the Acceptable Use Policy shall be communicated to users</w:t>
            </w:r>
            <w:r w:rsidDel="00000000" w:rsidR="00000000" w:rsidRPr="00000000">
              <w:rPr>
                <w:rtl w:val="0"/>
              </w:rPr>
            </w:r>
          </w:p>
        </w:tc>
        <w:tc>
          <w:tcPr/>
          <w:p w:rsidR="00000000" w:rsidDel="00000000" w:rsidP="00000000" w:rsidRDefault="00000000" w:rsidRPr="00000000" w14:paraId="0000005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Internal and limited external</w:t>
            </w:r>
          </w:p>
        </w:tc>
        <w:tc>
          <w:tcPr/>
          <w:p w:rsidR="00000000" w:rsidDel="00000000" w:rsidP="00000000" w:rsidRDefault="00000000" w:rsidRPr="00000000" w14:paraId="00000058">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w:t>
            </w:r>
            <w:r w:rsidDel="00000000" w:rsidR="00000000" w:rsidRPr="00000000">
              <w:rPr>
                <w:rtl w:val="0"/>
              </w:rPr>
            </w:r>
          </w:p>
          <w:p w:rsidR="00000000" w:rsidDel="00000000" w:rsidP="00000000" w:rsidRDefault="00000000" w:rsidRPr="00000000" w14:paraId="00000059">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Relevant contractors</w:t>
            </w:r>
            <w:r w:rsidDel="00000000" w:rsidR="00000000" w:rsidRPr="00000000">
              <w:rPr>
                <w:rtl w:val="0"/>
              </w:rPr>
            </w:r>
          </w:p>
        </w:tc>
        <w:tc>
          <w:tcPr/>
          <w:p w:rsidR="00000000" w:rsidDel="00000000" w:rsidP="00000000" w:rsidRDefault="00000000" w:rsidRPr="00000000" w14:paraId="0000005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Management Leader</w:t>
            </w:r>
          </w:p>
        </w:tc>
        <w:tc>
          <w:tcPr/>
          <w:p w:rsidR="00000000" w:rsidDel="00000000" w:rsidP="00000000" w:rsidRDefault="00000000" w:rsidRPr="00000000" w14:paraId="0000005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of hire</w:t>
            </w:r>
          </w:p>
        </w:tc>
        <w:tc>
          <w:tcPr/>
          <w:p w:rsidR="00000000" w:rsidDel="00000000" w:rsidP="00000000" w:rsidRDefault="00000000" w:rsidRPr="00000000" w14:paraId="0000005C">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w:t>
            </w:r>
            <w:r w:rsidDel="00000000" w:rsidR="00000000" w:rsidRPr="00000000">
              <w:rPr>
                <w:rtl w:val="0"/>
              </w:rPr>
            </w:r>
          </w:p>
          <w:p w:rsidR="00000000" w:rsidDel="00000000" w:rsidP="00000000" w:rsidRDefault="00000000" w:rsidRPr="00000000" w14:paraId="0000005D">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Learning management system, Classroom</w:t>
            </w:r>
            <w:r w:rsidDel="00000000" w:rsidR="00000000" w:rsidRPr="00000000">
              <w:rPr>
                <w:rtl w:val="0"/>
              </w:rPr>
            </w:r>
          </w:p>
          <w:p w:rsidR="00000000" w:rsidDel="00000000" w:rsidP="00000000" w:rsidRDefault="00000000" w:rsidRPr="00000000" w14:paraId="0000005E">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Alternate method chosen by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&lt;Company Name&gt;</w:t>
            </w:r>
            <w:r w:rsidDel="00000000" w:rsidR="00000000" w:rsidRPr="00000000">
              <w:rPr>
                <w:rtl w:val="0"/>
              </w:rPr>
            </w:r>
          </w:p>
        </w:tc>
        <w:tc>
          <w:tcPr/>
          <w:p w:rsidR="00000000" w:rsidDel="00000000" w:rsidP="00000000" w:rsidRDefault="00000000" w:rsidRPr="00000000" w14:paraId="0000005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None</w:t>
            </w:r>
          </w:p>
        </w:tc>
      </w:tr>
      <w:tr>
        <w:trPr>
          <w:cantSplit w:val="1"/>
          <w:tblHeader w:val="0"/>
        </w:trPr>
        <w:tc>
          <w:tcPr/>
          <w:p w:rsidR="00000000" w:rsidDel="00000000" w:rsidP="00000000" w:rsidRDefault="00000000" w:rsidRPr="00000000" w14:paraId="00000060">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ISMS Scope &amp; Boundaries</w:t>
            </w:r>
            <w:r w:rsidDel="00000000" w:rsidR="00000000" w:rsidRPr="00000000">
              <w:rPr>
                <w:rtl w:val="0"/>
              </w:rPr>
            </w:r>
          </w:p>
          <w:p w:rsidR="00000000" w:rsidDel="00000000" w:rsidP="00000000" w:rsidRDefault="00000000" w:rsidRPr="00000000" w14:paraId="00000061">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Policy</w:t>
            </w:r>
            <w:r w:rsidDel="00000000" w:rsidR="00000000" w:rsidRPr="00000000">
              <w:rPr>
                <w:rtl w:val="0"/>
              </w:rPr>
            </w:r>
          </w:p>
          <w:p w:rsidR="00000000" w:rsidDel="00000000" w:rsidP="00000000" w:rsidRDefault="00000000" w:rsidRPr="00000000" w14:paraId="00000062">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of Applicability</w:t>
            </w:r>
            <w:r w:rsidDel="00000000" w:rsidR="00000000" w:rsidRPr="00000000">
              <w:rPr>
                <w:rtl w:val="0"/>
              </w:rPr>
            </w:r>
          </w:p>
          <w:p w:rsidR="00000000" w:rsidDel="00000000" w:rsidP="00000000" w:rsidRDefault="00000000" w:rsidRPr="00000000" w14:paraId="00000063">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Evidence for ISMS controls (i.e., Annex A/SOC 2)</w:t>
            </w:r>
            <w:r w:rsidDel="00000000" w:rsidR="00000000" w:rsidRPr="00000000">
              <w:rPr>
                <w:rtl w:val="0"/>
              </w:rPr>
            </w:r>
          </w:p>
        </w:tc>
        <w:tc>
          <w:tcPr/>
          <w:p w:rsidR="00000000" w:rsidDel="00000000" w:rsidP="00000000" w:rsidRDefault="00000000" w:rsidRPr="00000000" w14:paraId="0000006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Internal and limited external</w:t>
            </w:r>
          </w:p>
        </w:tc>
        <w:tc>
          <w:tcPr/>
          <w:p w:rsidR="00000000" w:rsidDel="00000000" w:rsidP="00000000" w:rsidRDefault="00000000" w:rsidRPr="00000000" w14:paraId="0000006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Third-party auditors (ISO 27001)</w:t>
            </w:r>
            <w:r w:rsidDel="00000000" w:rsidR="00000000" w:rsidRPr="00000000">
              <w:rPr>
                <w:rtl w:val="0"/>
              </w:rPr>
            </w:r>
          </w:p>
        </w:tc>
        <w:tc>
          <w:tcPr/>
          <w:p w:rsidR="00000000" w:rsidDel="00000000" w:rsidP="00000000" w:rsidRDefault="00000000" w:rsidRPr="00000000" w14:paraId="00000066">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ISMS Governance Council</w:t>
            </w:r>
            <w:r w:rsidDel="00000000" w:rsidR="00000000" w:rsidRPr="00000000">
              <w:rPr>
                <w:rtl w:val="0"/>
              </w:rPr>
            </w:r>
          </w:p>
          <w:p w:rsidR="00000000" w:rsidDel="00000000" w:rsidP="00000000" w:rsidRDefault="00000000" w:rsidRPr="00000000" w14:paraId="00000067">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Management Leader</w:t>
            </w:r>
            <w:r w:rsidDel="00000000" w:rsidR="00000000" w:rsidRPr="00000000">
              <w:rPr>
                <w:rtl w:val="0"/>
              </w:rPr>
            </w:r>
          </w:p>
          <w:p w:rsidR="00000000" w:rsidDel="00000000" w:rsidP="00000000" w:rsidRDefault="00000000" w:rsidRPr="00000000" w14:paraId="00000068">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Team</w:t>
            </w:r>
            <w:r w:rsidDel="00000000" w:rsidR="00000000" w:rsidRPr="00000000">
              <w:rPr>
                <w:rtl w:val="0"/>
              </w:rPr>
            </w:r>
          </w:p>
        </w:tc>
        <w:tc>
          <w:tcPr/>
          <w:p w:rsidR="00000000" w:rsidDel="00000000" w:rsidP="00000000" w:rsidRDefault="00000000" w:rsidRPr="00000000" w14:paraId="0000006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Annually</w:t>
            </w:r>
          </w:p>
        </w:tc>
        <w:tc>
          <w:tcPr/>
          <w:p w:rsidR="00000000" w:rsidDel="00000000" w:rsidP="00000000" w:rsidRDefault="00000000" w:rsidRPr="00000000" w14:paraId="0000006A">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Interview, observation</w:t>
            </w:r>
            <w:r w:rsidDel="00000000" w:rsidR="00000000" w:rsidRPr="00000000">
              <w:rPr>
                <w:rtl w:val="0"/>
              </w:rPr>
            </w:r>
          </w:p>
          <w:p w:rsidR="00000000" w:rsidDel="00000000" w:rsidP="00000000" w:rsidRDefault="00000000" w:rsidRPr="00000000" w14:paraId="0000006B">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upload</w:t>
            </w:r>
            <w:r w:rsidDel="00000000" w:rsidR="00000000" w:rsidRPr="00000000">
              <w:rPr>
                <w:rtl w:val="0"/>
              </w:rPr>
            </w:r>
          </w:p>
        </w:tc>
        <w:tc>
          <w:tcPr/>
          <w:p w:rsidR="00000000" w:rsidDel="00000000" w:rsidP="00000000" w:rsidRDefault="00000000" w:rsidRPr="00000000" w14:paraId="0000006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Management Leader</w:t>
            </w:r>
          </w:p>
        </w:tc>
      </w:tr>
      <w:tr>
        <w:trPr>
          <w:cantSplit w:val="1"/>
          <w:tblHeader w:val="0"/>
        </w:trPr>
        <w:tc>
          <w:tcPr/>
          <w:p w:rsidR="00000000" w:rsidDel="00000000" w:rsidP="00000000" w:rsidRDefault="00000000" w:rsidRPr="00000000" w14:paraId="0000006D">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Statements of work (expectations of work and SLAs)</w:t>
            </w:r>
            <w:r w:rsidDel="00000000" w:rsidR="00000000" w:rsidRPr="00000000">
              <w:rPr>
                <w:rtl w:val="0"/>
              </w:rPr>
            </w:r>
          </w:p>
          <w:p w:rsidR="00000000" w:rsidDel="00000000" w:rsidP="00000000" w:rsidRDefault="00000000" w:rsidRPr="00000000" w14:paraId="0000006E">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Confidentiality agreements</w:t>
            </w:r>
            <w:r w:rsidDel="00000000" w:rsidR="00000000" w:rsidRPr="00000000">
              <w:rPr>
                <w:rtl w:val="0"/>
              </w:rPr>
            </w:r>
          </w:p>
          <w:p w:rsidR="00000000" w:rsidDel="00000000" w:rsidP="00000000" w:rsidRDefault="00000000" w:rsidRPr="00000000" w14:paraId="0000006F">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Relevant policies</w:t>
            </w:r>
            <w:r w:rsidDel="00000000" w:rsidR="00000000" w:rsidRPr="00000000">
              <w:rPr>
                <w:rtl w:val="0"/>
              </w:rPr>
            </w:r>
          </w:p>
        </w:tc>
        <w:tc>
          <w:tcPr/>
          <w:p w:rsidR="00000000" w:rsidDel="00000000" w:rsidP="00000000" w:rsidRDefault="00000000" w:rsidRPr="00000000" w14:paraId="0000007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w:t>
            </w:r>
          </w:p>
        </w:tc>
        <w:tc>
          <w:tcPr/>
          <w:p w:rsidR="00000000" w:rsidDel="00000000" w:rsidP="00000000" w:rsidRDefault="00000000" w:rsidRPr="00000000" w14:paraId="0000007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215.99999999999997" w:right="0" w:hanging="215.999999999999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Contractors</w:t>
            </w:r>
          </w:p>
        </w:tc>
        <w:tc>
          <w:tcPr/>
          <w:p w:rsidR="00000000" w:rsidDel="00000000" w:rsidP="00000000" w:rsidRDefault="00000000" w:rsidRPr="00000000" w14:paraId="0000007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215.99999999999997" w:right="0" w:hanging="215.999999999999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Management Leader</w:t>
            </w:r>
          </w:p>
        </w:tc>
        <w:tc>
          <w:tcPr/>
          <w:p w:rsidR="00000000" w:rsidDel="00000000" w:rsidP="00000000" w:rsidRDefault="00000000" w:rsidRPr="00000000" w14:paraId="0000007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of engagement</w:t>
            </w:r>
          </w:p>
        </w:tc>
        <w:tc>
          <w:tcPr/>
          <w:p w:rsidR="00000000" w:rsidDel="00000000" w:rsidP="00000000" w:rsidRDefault="00000000" w:rsidRPr="00000000" w14:paraId="00000074">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w:t>
            </w:r>
            <w:r w:rsidDel="00000000" w:rsidR="00000000" w:rsidRPr="00000000">
              <w:rPr>
                <w:rtl w:val="0"/>
              </w:rPr>
            </w:r>
          </w:p>
          <w:p w:rsidR="00000000" w:rsidDel="00000000" w:rsidP="00000000" w:rsidRDefault="00000000" w:rsidRPr="00000000" w14:paraId="00000075">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Written agreement</w:t>
            </w:r>
            <w:r w:rsidDel="00000000" w:rsidR="00000000" w:rsidRPr="00000000">
              <w:rPr>
                <w:rtl w:val="0"/>
              </w:rPr>
            </w:r>
          </w:p>
          <w:p w:rsidR="00000000" w:rsidDel="00000000" w:rsidP="00000000" w:rsidRDefault="00000000" w:rsidRPr="00000000" w14:paraId="00000076">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mechanisms as needed</w:t>
            </w:r>
            <w:r w:rsidDel="00000000" w:rsidR="00000000" w:rsidRPr="00000000">
              <w:rPr>
                <w:rtl w:val="0"/>
              </w:rPr>
            </w:r>
          </w:p>
        </w:tc>
        <w:tc>
          <w:tcPr/>
          <w:p w:rsidR="00000000" w:rsidDel="00000000" w:rsidP="00000000" w:rsidRDefault="00000000" w:rsidRPr="00000000" w14:paraId="00000077">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Legal</w:t>
            </w:r>
            <w:r w:rsidDel="00000000" w:rsidR="00000000" w:rsidRPr="00000000">
              <w:rPr>
                <w:rtl w:val="0"/>
              </w:rPr>
            </w:r>
          </w:p>
          <w:p w:rsidR="00000000" w:rsidDel="00000000" w:rsidP="00000000" w:rsidRDefault="00000000" w:rsidRPr="00000000" w14:paraId="00000078">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Management Leader</w:t>
            </w:r>
            <w:r w:rsidDel="00000000" w:rsidR="00000000" w:rsidRPr="00000000">
              <w:rPr>
                <w:rtl w:val="0"/>
              </w:rPr>
            </w:r>
          </w:p>
        </w:tc>
      </w:tr>
      <w:tr>
        <w:trPr>
          <w:cantSplit w:val="1"/>
          <w:tblHeader w:val="0"/>
        </w:trPr>
        <w:tc>
          <w:tcPr/>
          <w:p w:rsidR="00000000" w:rsidDel="00000000" w:rsidP="00000000" w:rsidRDefault="00000000" w:rsidRPr="00000000" w14:paraId="00000079">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Incident Reports</w:t>
            </w:r>
            <w:r w:rsidDel="00000000" w:rsidR="00000000" w:rsidRPr="00000000">
              <w:rPr>
                <w:rtl w:val="0"/>
              </w:rPr>
            </w:r>
          </w:p>
          <w:p w:rsidR="00000000" w:rsidDel="00000000" w:rsidP="00000000" w:rsidRDefault="00000000" w:rsidRPr="00000000" w14:paraId="0000007A">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 Cause Analysis Reports</w:t>
            </w:r>
            <w:r w:rsidDel="00000000" w:rsidR="00000000" w:rsidRPr="00000000">
              <w:rPr>
                <w:rtl w:val="0"/>
              </w:rPr>
            </w:r>
          </w:p>
        </w:tc>
        <w:tc>
          <w:tcPr/>
          <w:p w:rsidR="00000000" w:rsidDel="00000000" w:rsidP="00000000" w:rsidRDefault="00000000" w:rsidRPr="00000000" w14:paraId="0000007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Internal</w:t>
            </w:r>
          </w:p>
        </w:tc>
        <w:tc>
          <w:tcPr/>
          <w:p w:rsidR="00000000" w:rsidDel="00000000" w:rsidP="00000000" w:rsidRDefault="00000000" w:rsidRPr="00000000" w14:paraId="0000007C">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Team</w:t>
            </w:r>
            <w:r w:rsidDel="00000000" w:rsidR="00000000" w:rsidRPr="00000000">
              <w:rPr>
                <w:rtl w:val="0"/>
              </w:rPr>
            </w:r>
          </w:p>
          <w:p w:rsidR="00000000" w:rsidDel="00000000" w:rsidP="00000000" w:rsidRDefault="00000000" w:rsidRPr="00000000" w14:paraId="0000007D">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Relevant employees</w:t>
            </w:r>
            <w:r w:rsidDel="00000000" w:rsidR="00000000" w:rsidRPr="00000000">
              <w:rPr>
                <w:rtl w:val="0"/>
              </w:rPr>
            </w:r>
          </w:p>
          <w:p w:rsidR="00000000" w:rsidDel="00000000" w:rsidP="00000000" w:rsidRDefault="00000000" w:rsidRPr="00000000" w14:paraId="0000007E">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ISMS Governance Council as needed </w:t>
            </w:r>
            <w:r w:rsidDel="00000000" w:rsidR="00000000" w:rsidRPr="00000000">
              <w:rPr>
                <w:rtl w:val="0"/>
              </w:rPr>
            </w:r>
          </w:p>
        </w:tc>
        <w:tc>
          <w:tcPr/>
          <w:p w:rsidR="00000000" w:rsidDel="00000000" w:rsidP="00000000" w:rsidRDefault="00000000" w:rsidRPr="00000000" w14:paraId="0000007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215.99999999999997" w:right="0" w:hanging="215.999999999999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Team</w:t>
            </w:r>
          </w:p>
        </w:tc>
        <w:tc>
          <w:tcPr/>
          <w:p w:rsidR="00000000" w:rsidDel="00000000" w:rsidP="00000000" w:rsidRDefault="00000000" w:rsidRPr="00000000" w14:paraId="0000008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Within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&lt;report sharing commitment, e.g., seven (7) days&gt;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incident resolution</w:t>
            </w:r>
          </w:p>
        </w:tc>
        <w:tc>
          <w:tcPr/>
          <w:p w:rsidR="00000000" w:rsidDel="00000000" w:rsidP="00000000" w:rsidRDefault="00000000" w:rsidRPr="00000000" w14:paraId="00000081">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Reports</w:t>
            </w:r>
            <w:r w:rsidDel="00000000" w:rsidR="00000000" w:rsidRPr="00000000">
              <w:rPr>
                <w:rtl w:val="0"/>
              </w:rPr>
            </w:r>
          </w:p>
          <w:p w:rsidR="00000000" w:rsidDel="00000000" w:rsidP="00000000" w:rsidRDefault="00000000" w:rsidRPr="00000000" w14:paraId="00000082">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In-person meeting</w:t>
            </w:r>
            <w:r w:rsidDel="00000000" w:rsidR="00000000" w:rsidRPr="00000000">
              <w:rPr>
                <w:rtl w:val="0"/>
              </w:rPr>
            </w:r>
          </w:p>
          <w:p w:rsidR="00000000" w:rsidDel="00000000" w:rsidP="00000000" w:rsidRDefault="00000000" w:rsidRPr="00000000" w14:paraId="00000083">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mechanisms as determined by the Information Security Management Leader</w:t>
            </w:r>
            <w:r w:rsidDel="00000000" w:rsidR="00000000" w:rsidRPr="00000000">
              <w:rPr>
                <w:rtl w:val="0"/>
              </w:rPr>
            </w:r>
          </w:p>
        </w:tc>
        <w:tc>
          <w:tcPr/>
          <w:p w:rsidR="00000000" w:rsidDel="00000000" w:rsidP="00000000" w:rsidRDefault="00000000" w:rsidRPr="00000000" w14:paraId="0000008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None</w:t>
            </w:r>
          </w:p>
        </w:tc>
      </w:tr>
      <w:tr>
        <w:trPr>
          <w:cantSplit w:val="1"/>
          <w:tblHeader w:val="0"/>
        </w:trPr>
        <w:tc>
          <w:tcPr/>
          <w:p w:rsidR="00000000" w:rsidDel="00000000" w:rsidP="00000000" w:rsidRDefault="00000000" w:rsidRPr="00000000" w14:paraId="0000008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Relevant incidents and breach reporting</w:t>
            </w:r>
          </w:p>
        </w:tc>
        <w:tc>
          <w:tcPr/>
          <w:p w:rsidR="00000000" w:rsidDel="00000000" w:rsidP="00000000" w:rsidRDefault="00000000" w:rsidRPr="00000000" w14:paraId="0000008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w:t>
            </w:r>
          </w:p>
        </w:tc>
        <w:tc>
          <w:tcPr/>
          <w:p w:rsidR="00000000" w:rsidDel="00000000" w:rsidP="00000000" w:rsidRDefault="00000000" w:rsidRPr="00000000" w14:paraId="00000087">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Customers</w:t>
            </w:r>
            <w:r w:rsidDel="00000000" w:rsidR="00000000" w:rsidRPr="00000000">
              <w:rPr>
                <w:rtl w:val="0"/>
              </w:rPr>
            </w:r>
          </w:p>
          <w:p w:rsidR="00000000" w:rsidDel="00000000" w:rsidP="00000000" w:rsidRDefault="00000000" w:rsidRPr="00000000" w14:paraId="00000088">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Law enforcement</w:t>
            </w:r>
            <w:r w:rsidDel="00000000" w:rsidR="00000000" w:rsidRPr="00000000">
              <w:rPr>
                <w:rtl w:val="0"/>
              </w:rPr>
            </w:r>
          </w:p>
          <w:p w:rsidR="00000000" w:rsidDel="00000000" w:rsidP="00000000" w:rsidRDefault="00000000" w:rsidRPr="00000000" w14:paraId="00000089">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Regulatory bodies</w:t>
            </w:r>
            <w:r w:rsidDel="00000000" w:rsidR="00000000" w:rsidRPr="00000000">
              <w:rPr>
                <w:rtl w:val="0"/>
              </w:rPr>
            </w:r>
          </w:p>
          <w:p w:rsidR="00000000" w:rsidDel="00000000" w:rsidP="00000000" w:rsidRDefault="00000000" w:rsidRPr="00000000" w14:paraId="0000008A">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Supervisory authorities</w:t>
            </w:r>
            <w:r w:rsidDel="00000000" w:rsidR="00000000" w:rsidRPr="00000000">
              <w:rPr>
                <w:rtl w:val="0"/>
              </w:rPr>
            </w:r>
          </w:p>
        </w:tc>
        <w:tc>
          <w:tcPr/>
          <w:p w:rsidR="00000000" w:rsidDel="00000000" w:rsidP="00000000" w:rsidRDefault="00000000" w:rsidRPr="00000000" w14:paraId="0000008B">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President / CEO</w:t>
            </w:r>
            <w:r w:rsidDel="00000000" w:rsidR="00000000" w:rsidRPr="00000000">
              <w:rPr>
                <w:rtl w:val="0"/>
              </w:rPr>
            </w:r>
          </w:p>
          <w:p w:rsidR="00000000" w:rsidDel="00000000" w:rsidP="00000000" w:rsidRDefault="00000000" w:rsidRPr="00000000" w14:paraId="0000008C">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Legal / General Counsel</w:t>
            </w:r>
            <w:r w:rsidDel="00000000" w:rsidR="00000000" w:rsidRPr="00000000">
              <w:rPr>
                <w:rtl w:val="0"/>
              </w:rPr>
            </w:r>
          </w:p>
          <w:p w:rsidR="00000000" w:rsidDel="00000000" w:rsidP="00000000" w:rsidRDefault="00000000" w:rsidRPr="00000000" w14:paraId="0000008D">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Management Leader</w:t>
            </w:r>
            <w:r w:rsidDel="00000000" w:rsidR="00000000" w:rsidRPr="00000000">
              <w:rPr>
                <w:rtl w:val="0"/>
              </w:rPr>
            </w:r>
          </w:p>
        </w:tc>
        <w:tc>
          <w:tcPr/>
          <w:p w:rsidR="00000000" w:rsidDel="00000000" w:rsidP="00000000" w:rsidRDefault="00000000" w:rsidRPr="00000000" w14:paraId="0000008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 legal or contractual requirements</w:t>
            </w:r>
          </w:p>
        </w:tc>
        <w:tc>
          <w:tcPr/>
          <w:p w:rsidR="00000000" w:rsidDel="00000000" w:rsidP="00000000" w:rsidRDefault="00000000" w:rsidRPr="00000000" w14:paraId="0000008F">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w:t>
            </w:r>
            <w:r w:rsidDel="00000000" w:rsidR="00000000" w:rsidRPr="00000000">
              <w:rPr>
                <w:rtl w:val="0"/>
              </w:rPr>
            </w:r>
          </w:p>
          <w:p w:rsidR="00000000" w:rsidDel="00000000" w:rsidP="00000000" w:rsidRDefault="00000000" w:rsidRPr="00000000" w14:paraId="00000090">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Written letter</w:t>
            </w:r>
            <w:r w:rsidDel="00000000" w:rsidR="00000000" w:rsidRPr="00000000">
              <w:rPr>
                <w:rtl w:val="0"/>
              </w:rPr>
            </w:r>
          </w:p>
          <w:p w:rsidR="00000000" w:rsidDel="00000000" w:rsidP="00000000" w:rsidRDefault="00000000" w:rsidRPr="00000000" w14:paraId="00000091">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mechanisms as legally required, needed, or chosen by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&lt;Company Name&gt;</w:t>
            </w:r>
            <w:r w:rsidDel="00000000" w:rsidR="00000000" w:rsidRPr="00000000">
              <w:rPr>
                <w:rtl w:val="0"/>
              </w:rPr>
            </w:r>
          </w:p>
        </w:tc>
        <w:tc>
          <w:tcPr/>
          <w:p w:rsidR="00000000" w:rsidDel="00000000" w:rsidP="00000000" w:rsidRDefault="00000000" w:rsidRPr="00000000" w14:paraId="0000009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9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General security reminders and awareness communications</w:t>
            </w:r>
          </w:p>
        </w:tc>
        <w:tc>
          <w:tcPr/>
          <w:p w:rsidR="00000000" w:rsidDel="00000000" w:rsidP="00000000" w:rsidRDefault="00000000" w:rsidRPr="00000000" w14:paraId="0000009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Internal</w:t>
            </w:r>
          </w:p>
        </w:tc>
        <w:tc>
          <w:tcPr/>
          <w:p w:rsidR="00000000" w:rsidDel="00000000" w:rsidP="00000000" w:rsidRDefault="00000000" w:rsidRPr="00000000" w14:paraId="0000009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 and relevant contractors</w:t>
            </w:r>
          </w:p>
        </w:tc>
        <w:tc>
          <w:tcPr/>
          <w:p w:rsidR="00000000" w:rsidDel="00000000" w:rsidP="00000000" w:rsidRDefault="00000000" w:rsidRPr="00000000" w14:paraId="0000009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215.99999999999997" w:right="0" w:hanging="215.999999999999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Management Leader</w:t>
            </w:r>
          </w:p>
        </w:tc>
        <w:tc>
          <w:tcPr/>
          <w:p w:rsidR="00000000" w:rsidDel="00000000" w:rsidP="00000000" w:rsidRDefault="00000000" w:rsidRPr="00000000" w14:paraId="0000009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Ad-hoc</w:t>
            </w:r>
          </w:p>
        </w:tc>
        <w:tc>
          <w:tcPr/>
          <w:p w:rsidR="00000000" w:rsidDel="00000000" w:rsidP="00000000" w:rsidRDefault="00000000" w:rsidRPr="00000000" w14:paraId="00000098">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w:t>
            </w:r>
            <w:r w:rsidDel="00000000" w:rsidR="00000000" w:rsidRPr="00000000">
              <w:rPr>
                <w:rtl w:val="0"/>
              </w:rPr>
            </w:r>
          </w:p>
          <w:p w:rsidR="00000000" w:rsidDel="00000000" w:rsidP="00000000" w:rsidRDefault="00000000" w:rsidRPr="00000000" w14:paraId="00000099">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215.99999999999997" w:right="0" w:hanging="215.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In-person meetings</w:t>
            </w:r>
            <w:r w:rsidDel="00000000" w:rsidR="00000000" w:rsidRPr="00000000">
              <w:rPr>
                <w:rtl w:val="0"/>
              </w:rPr>
            </w:r>
          </w:p>
        </w:tc>
        <w:tc>
          <w:tcPr/>
          <w:p w:rsidR="00000000" w:rsidDel="00000000" w:rsidP="00000000" w:rsidRDefault="00000000" w:rsidRPr="00000000" w14:paraId="0000009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None</w:t>
            </w:r>
          </w:p>
        </w:tc>
      </w:tr>
    </w:tbl>
    <w:p w:rsidR="00000000" w:rsidDel="00000000" w:rsidP="00000000" w:rsidRDefault="00000000" w:rsidRPr="00000000" w14:paraId="0000009B">
      <w:pPr>
        <w:pStyle w:val="Heading1"/>
        <w:rPr/>
      </w:pPr>
      <w:r>
        <w:t>ISO 27001 Coverage</w:t>
      </w:r>
    </w:p>
    <w:p w:rsidR="00000000" w:rsidDel="00000000" w:rsidP="00000000" w:rsidRDefault="00000000" w:rsidRPr="00000000" w14:paraId="0000009C">
      <w:pPr>
        <w:rPr>
          <w:color w:val="181717"/>
        </w:rPr>
      </w:pPr>
      <w:r>
        <w:t>ISO 27001 7.3; 7.4</w:t>
      </w:r>
    </w:p>
    <w:p w:rsidR="00000000" w:rsidDel="00000000" w:rsidP="00000000" w:rsidRDefault="00000000" w:rsidRPr="00000000" w14:paraId="0000009D">
      <w:pPr>
        <w:pStyle w:val="Heading1"/>
        <w:rPr/>
      </w:pPr>
      <w:r>
        <w:t>Version History</w:t>
      </w:r>
    </w:p>
    <w:tbl>
      <w:tblPr>
        <w:tblStyle w:val="Table3"/>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008"/>
        <w:gridCol w:w="1152"/>
        <w:gridCol w:w="3744"/>
        <w:gridCol w:w="1728"/>
        <w:gridCol w:w="1728"/>
        <w:tblGridChange w:id="0">
          <w:tblGrid>
            <w:gridCol w:w="1008"/>
            <w:gridCol w:w="1152"/>
            <w:gridCol w:w="3744"/>
            <w:gridCol w:w="1728"/>
            <w:gridCol w:w="1728"/>
          </w:tblGrid>
        </w:tblGridChange>
      </w:tblGrid>
      <w:tr>
        <w:trPr>
          <w:cantSplit w:val="1"/>
          <w:tblHeader w:val="0"/>
        </w:trPr>
        <w:tc>
          <w:tcPr>
            <w:vAlign w:val="top"/>
          </w:tcPr>
          <w:p w:rsidR="00000000" w:rsidDel="00000000" w:rsidP="00000000" w:rsidRDefault="00000000" w:rsidRPr="00000000" w14:paraId="0000009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vAlign w:val="top"/>
          </w:tcPr>
          <w:p w:rsidR="00000000" w:rsidDel="00000000" w:rsidP="00000000" w:rsidRDefault="00000000" w:rsidRPr="00000000" w14:paraId="0000009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A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vAlign w:val="top"/>
          </w:tcPr>
          <w:p w:rsidR="00000000" w:rsidDel="00000000" w:rsidP="00000000" w:rsidRDefault="00000000" w:rsidRPr="00000000" w14:paraId="000000A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c>
          <w:tcPr>
            <w:vAlign w:val="top"/>
          </w:tcPr>
          <w:p w:rsidR="00000000" w:rsidDel="00000000" w:rsidP="00000000" w:rsidRDefault="00000000" w:rsidRPr="00000000" w14:paraId="000000A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 by</w:t>
            </w:r>
          </w:p>
        </w:tc>
      </w:tr>
      <w:tr>
        <w:trPr>
          <w:cantSplit w:val="1"/>
          <w:tblHeader w:val="0"/>
        </w:trPr>
        <w:tc>
          <w:tcPr/>
          <w:p w:rsidR="00000000" w:rsidDel="00000000" w:rsidP="00000000" w:rsidRDefault="00000000" w:rsidRPr="00000000" w14:paraId="000000A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&lt;1.0&gt;</w:t>
            </w:r>
          </w:p>
        </w:tc>
        <w:tc>
          <w:tcPr/>
          <w:p w:rsidR="00000000" w:rsidDel="00000000" w:rsidP="00000000" w:rsidRDefault="00000000" w:rsidRPr="00000000" w14:paraId="000000A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&lt;Date of change&gt;</w:t>
            </w:r>
          </w:p>
        </w:tc>
        <w:tc>
          <w:tcPr/>
          <w:p w:rsidR="00000000" w:rsidDel="00000000" w:rsidP="00000000" w:rsidRDefault="00000000" w:rsidRPr="00000000" w14:paraId="000000A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Initial policy</w:t>
            </w:r>
          </w:p>
        </w:tc>
        <w:tc>
          <w:tcPr/>
          <w:p w:rsidR="00000000" w:rsidDel="00000000" w:rsidP="00000000" w:rsidRDefault="00000000" w:rsidRPr="00000000" w14:paraId="000000A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&lt;Author of changes&gt;</w:t>
            </w:r>
          </w:p>
        </w:tc>
        <w:tc>
          <w:tcPr/>
          <w:p w:rsidR="00000000" w:rsidDel="00000000" w:rsidP="00000000" w:rsidRDefault="00000000" w:rsidRPr="00000000" w14:paraId="000000A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&lt;Approver of changes&gt;</w:t>
            </w:r>
          </w:p>
        </w:tc>
      </w:tr>
      <w:tr>
        <w:trPr>
          <w:cantSplit w:val="1"/>
          <w:tblHeader w:val="0"/>
        </w:trPr>
        <w:tc>
          <w:tcPr/>
          <w:p w:rsidR="00000000" w:rsidDel="00000000" w:rsidP="00000000" w:rsidRDefault="00000000" w:rsidRPr="00000000" w14:paraId="000000A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A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2">
      <w:pPr>
        <w:rPr/>
      </w:pPr>
      <w:r/>
    </w:p>
    <w:p w:rsidR="00000000" w:rsidDel="00000000" w:rsidP="00000000" w:rsidRDefault="00000000" w:rsidRPr="00000000" w14:paraId="000000B3">
      <w:pPr>
        <w:pStyle w:val="Heading1"/>
        <w:rPr/>
      </w:pPr>
      <w:r>
        <w:t>27701 Privacy Information Management System (PIMS) Addendum</w:t>
      </w:r>
    </w:p>
    <w:p w:rsidR="00000000" w:rsidDel="00000000" w:rsidP="00000000" w:rsidRDefault="00000000" w:rsidRPr="00000000" w14:paraId="000000B4">
      <w:pPr>
        <w:rPr/>
      </w:pPr>
      <w:r/>
    </w:p>
    <w:p w:rsidR="00000000" w:rsidDel="00000000" w:rsidP="00000000" w:rsidRDefault="00000000" w:rsidRPr="00000000" w14:paraId="000000B5">
      <w:pPr>
        <w:rPr/>
      </w:pPr>
      <w:r>
        <w:t>This addendum is automatically applicable for organizations implementing ISO 27701 and optional for organizations who are implementing ISO 27001 only.</w:t>
      </w:r>
    </w:p>
    <w:p w:rsidR="00000000" w:rsidDel="00000000" w:rsidP="00000000" w:rsidRDefault="00000000" w:rsidRPr="00000000" w14:paraId="000000B6">
      <w:pPr>
        <w:rPr/>
      </w:pPr>
      <w:r/>
    </w:p>
    <w:p w:rsidR="00000000" w:rsidDel="00000000" w:rsidP="00000000" w:rsidRDefault="00000000" w:rsidRPr="00000000" w14:paraId="000000B7">
      <w:pPr>
        <w:numPr>
          <w:ilvl w:val="0"/>
          <w:numId w:val="1"/>
        </w:numPr>
        <w:spacing w:after="0" w:afterAutospacing="0"/>
        <w:ind w:left="720" w:hanging="360"/>
      </w:pPr>
      <w:r>
        <w:t>All references to “ISMS” in this document are changed to “IS&amp;PMS”</w:t>
      </w:r>
    </w:p>
    <w:p w:rsidR="00000000" w:rsidDel="00000000" w:rsidP="00000000" w:rsidRDefault="00000000" w:rsidRPr="00000000" w14:paraId="000000B8">
      <w:pPr>
        <w:numPr>
          <w:ilvl w:val="0"/>
          <w:numId w:val="1"/>
        </w:numPr>
        <w:spacing w:after="0" w:afterAutospacing="0"/>
        <w:ind w:left="720" w:hanging="360"/>
      </w:pPr>
      <w:r>
        <w:t>All references is ISO 27001 in this document are changed to “ISO 27001/27701”</w:t>
      </w:r>
    </w:p>
    <w:p w:rsidR="00000000" w:rsidDel="00000000" w:rsidP="00000000" w:rsidRDefault="00000000" w:rsidRPr="00000000" w14:paraId="000000B9">
      <w:pPr>
        <w:numPr>
          <w:ilvl w:val="0"/>
          <w:numId w:val="1"/>
        </w:numPr>
        <w:ind w:left="720" w:hanging="360"/>
      </w:pPr>
      <w:r>
        <w:t>All references to “information security management system” are changed to “information security and privacy management system”</w:t>
      </w:r>
    </w:p>
    <w:sectPr>
      <w:headerReference w:type="default" r:id="rId8"/>
      <w:footerReference w:type="default" r:id="rId9"/>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A">
      <w:pPr>
        <w:spacing w:after="0" w:lineRule="auto"/>
        <w:rPr/>
      </w:pPr>
      <w:r w:rsidDel="00000000" w:rsidR="00000000" w:rsidRPr="00000000">
        <w:rPr>
          <w:rStyle w:val="FootnoteReference"/>
          <w:vertAlign w:val="superscript"/>
        </w:rPr>
        <w:footnoteRef/>
      </w:r>
      <w:r w:rsidDel="00000000" w:rsidR="00000000" w:rsidRPr="00000000">
        <w:rPr>
          <w:rtl w:val="0"/>
        </w:rPr>
        <w:t xml:space="preserve"> All fields in this document marked by angled brackets &lt; &gt; and highlighted must be filled in.</w:t>
      </w:r>
    </w:p>
  </w:footnote>
  <w:footnote w:id="1">
    <w:p w:rsidR="00000000" w:rsidDel="00000000" w:rsidP="00000000" w:rsidRDefault="00000000" w:rsidRPr="00000000" w14:paraId="000000BB">
      <w:pPr>
        <w:spacing w:after="0" w:lineRule="auto"/>
        <w:rPr/>
      </w:pPr>
      <w:r w:rsidDel="00000000" w:rsidR="00000000" w:rsidRPr="00000000">
        <w:rPr>
          <w:rStyle w:val="FootnoteReference"/>
          <w:vertAlign w:val="superscript"/>
        </w:rPr>
        <w:footnoteRef/>
      </w:r>
      <w:r w:rsidDel="00000000" w:rsidR="00000000" w:rsidRPr="00000000">
        <w:rPr>
          <w:rtl w:val="0"/>
        </w:rPr>
        <w:t xml:space="preserve"> These are references to roles defined in 03-ISMS Roles, Responsibilities, and Authorities. Ensure these references are valid.</w:t>
      </w:r>
    </w:p>
  </w:footnote>
  <w:footnote w:id="2">
    <w:p w:rsidR="00000000" w:rsidDel="00000000" w:rsidP="00000000" w:rsidRDefault="00000000" w:rsidRPr="00000000" w14:paraId="000000BC">
      <w:pPr>
        <w:spacing w:after="0" w:lineRule="auto"/>
        <w:rPr/>
      </w:pPr>
      <w:r w:rsidDel="00000000" w:rsidR="00000000" w:rsidRPr="00000000">
        <w:rPr>
          <w:rStyle w:val="FootnoteReference"/>
          <w:vertAlign w:val="superscript"/>
        </w:rPr>
        <w:footnoteRef/>
      </w:r>
      <w:r w:rsidDel="00000000" w:rsidR="00000000" w:rsidRPr="00000000">
        <w:rPr>
          <w:rtl w:val="0"/>
        </w:rPr>
        <w:t xml:space="preserve"> Requiring a NDA is recommended. If in doubt, consult with your legal counsel.</w:t>
      </w:r>
    </w:p>
  </w:footnote>
  <w:footnote w:id="3">
    <w:p w:rsidR="00000000" w:rsidDel="00000000" w:rsidP="00000000" w:rsidRDefault="00000000" w:rsidRPr="00000000" w14:paraId="000000BD">
      <w:pPr>
        <w:spacing w:after="0" w:lineRule="auto"/>
        <w:rPr/>
      </w:pPr>
      <w:r w:rsidDel="00000000" w:rsidR="00000000" w:rsidRPr="00000000">
        <w:rPr>
          <w:rStyle w:val="FootnoteReference"/>
          <w:vertAlign w:val="superscript"/>
        </w:rPr>
        <w:footnoteRef/>
      </w:r>
      <w:r w:rsidDel="00000000" w:rsidR="00000000" w:rsidRPr="00000000">
        <w:rPr>
          <w:rtl w:val="0"/>
        </w:rPr>
        <w:t xml:space="preserve"> Customize this section to fit your organization</w:t>
      </w:r>
    </w:p>
  </w:footnote>
  <w:footnote w:id="4">
    <w:p w:rsidR="00000000" w:rsidDel="00000000" w:rsidP="00000000" w:rsidRDefault="00000000" w:rsidRPr="00000000" w14:paraId="000000BE">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suggested communication plan. You should, however, edit it to fit your organization’s information security needs.</w:t>
      </w:r>
    </w:p>
  </w:footnote>
  <w:footnote w:id="5">
    <w:p w:rsidR="00000000" w:rsidDel="00000000" w:rsidP="00000000" w:rsidRDefault="00000000" w:rsidRPr="00000000" w14:paraId="000000BF">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Privacy Addendum can be deleted for organizations that are not implementing ISO 27701. Organizations that are implementing ISO 27701 may wish to make these changes in the document and delete this addendum.</w:t>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pPr>
    <w:rPr>
      <w:b w:val="1"/>
      <w:sz w:val="48"/>
      <w:szCs w:val="48"/>
    </w:rPr>
  </w:style>
  <w:style w:type="paragraph" w:styleId="Subtitle">
    <w:name w:val="Subtitle"/>
    <w:basedOn w:val="Normal"/>
    <w:next w:val="Normal"/>
    <w:pPr>
      <w:spacing w:after="160" w:lineRule="auto"/>
    </w:pPr>
    <w:rPr>
      <w:color w:val="000000"/>
    </w:rPr>
  </w:style>
  <w:style w:type="table" w:styleId="Table1">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3">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eader" Target="header1.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