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Improving Turkish Legal Question Answering with an Optimized RAG Pipeline</w:t>
      </w:r>
    </w:p>
    <w:p>
      <w:pPr>
        <w:jc w:val="center"/>
      </w:pPr>
      <w:r>
        <w:rPr>
          <w:i/>
          <w:color w:val="555555"/>
        </w:rPr>
        <w:t>CENG493 Term Project - Final Technical Report</w:t>
      </w:r>
    </w:p>
    <w:p/>
    <w:p>
      <w:pPr>
        <w:pStyle w:val="Heading1"/>
      </w:pPr>
      <w:r>
        <w:t>1. Introduction</w:t>
      </w:r>
    </w:p>
    <w:p>
      <w:r>
        <w:t>This project develops a domain-adapted Retrieval-Augmented Generation (RAG) system for Turkish legal question answering. The goal is to answer Turkish legal questions with grounded, source-supported, and citation-consistent responses while minimizing hallucination.</w:t>
      </w:r>
    </w:p>
    <w:p>
      <w:r>
        <w:t>Legal QA is especially sensitive to hallucination because an answer may look fluent while being unsupported by legal sources. For this reason, the system is evaluated not only by answer similarity metrics, but also by retrieval quality, citation accuracy, and faithfulness-oriented grounding signals.</w:t>
      </w:r>
    </w:p>
    <w:p>
      <w:pPr>
        <w:pStyle w:val="Heading1"/>
      </w:pPr>
      <w:r>
        <w:t>2. Problem Definition</w:t>
      </w:r>
    </w:p>
    <w:p>
      <w:r>
        <w:t>Input:</w:t>
      </w:r>
    </w:p>
    <w:p>
      <w:pPr>
        <w:pStyle w:val="NoSpacing"/>
      </w:pPr>
      <w:r>
        <w:rPr>
          <w:rFonts w:ascii="Consolas" w:hAnsi="Consolas"/>
          <w:sz w:val="18"/>
        </w:rPr>
        <w:t>A Turkish legal question</w:t>
      </w:r>
    </w:p>
    <w:p>
      <w:r>
        <w:t>Output:</w:t>
      </w:r>
    </w:p>
    <w:p>
      <w:pPr>
        <w:pStyle w:val="NoSpacing"/>
      </w:pPr>
      <w:r>
        <w:rPr>
          <w:rFonts w:ascii="Consolas" w:hAnsi="Consolas"/>
          <w:sz w:val="18"/>
        </w:rPr>
        <w:t>A Turkish answer grounded in retrieved legal sources, with citation information</w:t>
      </w:r>
    </w:p>
    <w:p>
      <w:r>
        <w:t>The main research questions are:</w:t>
      </w:r>
    </w:p>
    <w:p>
      <w:pPr>
        <w:pStyle w:val="ListBullet"/>
      </w:pPr>
      <w:r>
        <w:t>How strong is a simple lexical baseline for Turkish legal retrieval?</w:t>
      </w:r>
    </w:p>
    <w:p>
      <w:pPr>
        <w:pStyle w:val="ListBullet"/>
      </w:pPr>
      <w:r>
        <w:t>Does a generic multilingual dense embedding model perform well in this domain?</w:t>
      </w:r>
    </w:p>
    <w:p>
      <w:pPr>
        <w:pStyle w:val="ListBullet"/>
      </w:pPr>
      <w:r>
        <w:t>Does hybrid retrieval improve over BM25?</w:t>
      </w:r>
    </w:p>
    <w:p>
      <w:pPr>
        <w:pStyle w:val="ListBullet"/>
      </w:pPr>
      <w:r>
        <w:t>Does a pretrained multilingual reranker improve ranking quality?</w:t>
      </w:r>
    </w:p>
    <w:p>
      <w:pPr>
        <w:pStyle w:val="ListBullet"/>
      </w:pPr>
      <w:r>
        <w:t>Which errors come from retrieval failure and which come from ranking failure?</w:t>
      </w:r>
    </w:p>
    <w:p>
      <w:pPr>
        <w:pStyle w:val="Heading1"/>
      </w:pPr>
      <w:r>
        <w:t>3. Dataset</w:t>
      </w:r>
    </w:p>
    <w:p>
      <w:r>
        <w:t>The project uses the provided Turkish legal RAG dataset.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File</w:t>
            </w:r>
          </w:p>
        </w:tc>
        <w:tc>
          <w:tcPr>
            <w:tcW w:type="dxa" w:w="3120"/>
            <w:vAlign w:val="center"/>
            <w:tcMar>
              <w:top w:w="80" w:type="dxa"/>
              <w:start w:w="120" w:type="dxa"/>
              <w:bottom w:w="80" w:type="dxa"/>
              <w:end w:w="120" w:type="dxa"/>
            </w:tcMar>
            <w:shd w:fill="F2F4F7"/>
          </w:tcPr>
          <w:p>
            <w:pPr>
              <w:spacing w:after="0"/>
            </w:pPr>
            <w:r>
              <w:rPr>
                <w:rFonts w:ascii="Calibri" w:hAnsi="Calibri"/>
                <w:b/>
                <w:sz w:val="18"/>
              </w:rPr>
              <w:t>Size</w:t>
            </w:r>
          </w:p>
        </w:tc>
        <w:tc>
          <w:tcPr>
            <w:tcW w:type="dxa" w:w="3120"/>
            <w:vAlign w:val="center"/>
            <w:tcMar>
              <w:top w:w="80" w:type="dxa"/>
              <w:start w:w="120" w:type="dxa"/>
              <w:bottom w:w="80" w:type="dxa"/>
              <w:end w:w="120" w:type="dxa"/>
            </w:tcMar>
            <w:shd w:fill="F2F4F7"/>
          </w:tcPr>
          <w:p>
            <w:pPr>
              <w:spacing w:after="0"/>
            </w:pPr>
            <w:r>
              <w:rPr>
                <w:rFonts w:ascii="Calibri" w:hAnsi="Calibri"/>
                <w:b/>
                <w:sz w:val="18"/>
              </w:rPr>
              <w:t>Purpose</w:t>
            </w:r>
          </w:p>
        </w:tc>
      </w:tr>
      <w:tr>
        <w:tc>
          <w:tcPr>
            <w:tcW w:type="dxa" w:w="3120"/>
            <w:vAlign w:val="center"/>
            <w:tcMar>
              <w:top w:w="80" w:type="dxa"/>
              <w:start w:w="120" w:type="dxa"/>
              <w:bottom w:w="80" w:type="dxa"/>
              <w:end w:w="120" w:type="dxa"/>
            </w:tcMar>
          </w:tcPr>
          <w:p>
            <w:pPr>
              <w:spacing w:after="0"/>
            </w:pPr>
            <w:r>
              <w:rPr>
                <w:rFonts w:ascii="Calibri" w:hAnsi="Calibri"/>
                <w:sz w:val="18"/>
              </w:rPr>
              <w:t>`corpus.jsonl`</w:t>
            </w:r>
          </w:p>
        </w:tc>
        <w:tc>
          <w:tcPr>
            <w:tcW w:type="dxa" w:w="3120"/>
            <w:vAlign w:val="center"/>
            <w:tcMar>
              <w:top w:w="80" w:type="dxa"/>
              <w:start w:w="120" w:type="dxa"/>
              <w:bottom w:w="80" w:type="dxa"/>
              <w:end w:w="120" w:type="dxa"/>
            </w:tcMar>
          </w:tcPr>
          <w:p>
            <w:pPr>
              <w:spacing w:after="0"/>
            </w:pPr>
            <w:r>
              <w:rPr>
                <w:rFonts w:ascii="Calibri" w:hAnsi="Calibri"/>
                <w:sz w:val="18"/>
              </w:rPr>
              <w:t>7,579 rows</w:t>
            </w:r>
          </w:p>
        </w:tc>
        <w:tc>
          <w:tcPr>
            <w:tcW w:type="dxa" w:w="3120"/>
            <w:vAlign w:val="center"/>
            <w:tcMar>
              <w:top w:w="80" w:type="dxa"/>
              <w:start w:w="120" w:type="dxa"/>
              <w:bottom w:w="80" w:type="dxa"/>
              <w:end w:w="120" w:type="dxa"/>
            </w:tcMar>
          </w:tcPr>
          <w:p>
            <w:pPr>
              <w:spacing w:after="0"/>
            </w:pPr>
            <w:r>
              <w:rPr>
                <w:rFonts w:ascii="Calibri" w:hAnsi="Calibri"/>
                <w:sz w:val="18"/>
              </w:rPr>
              <w:t>Source chunks used for retrieval</w:t>
            </w:r>
          </w:p>
        </w:tc>
      </w:tr>
      <w:tr>
        <w:tc>
          <w:tcPr>
            <w:tcW w:type="dxa" w:w="3120"/>
            <w:vAlign w:val="center"/>
            <w:tcMar>
              <w:top w:w="80" w:type="dxa"/>
              <w:start w:w="120" w:type="dxa"/>
              <w:bottom w:w="80" w:type="dxa"/>
              <w:end w:w="120" w:type="dxa"/>
            </w:tcMar>
          </w:tcPr>
          <w:p>
            <w:pPr>
              <w:spacing w:after="0"/>
            </w:pPr>
            <w:r>
              <w:rPr>
                <w:rFonts w:ascii="Calibri" w:hAnsi="Calibri"/>
                <w:sz w:val="18"/>
              </w:rPr>
              <w:t>`rag_eval.json`</w:t>
            </w:r>
          </w:p>
        </w:tc>
        <w:tc>
          <w:tcPr>
            <w:tcW w:type="dxa" w:w="3120"/>
            <w:vAlign w:val="center"/>
            <w:tcMar>
              <w:top w:w="80" w:type="dxa"/>
              <w:start w:w="120" w:type="dxa"/>
              <w:bottom w:w="80" w:type="dxa"/>
              <w:end w:w="120" w:type="dxa"/>
            </w:tcMar>
          </w:tcPr>
          <w:p>
            <w:pPr>
              <w:spacing w:after="0"/>
            </w:pPr>
            <w:r>
              <w:rPr>
                <w:rFonts w:ascii="Calibri" w:hAnsi="Calibri"/>
                <w:sz w:val="18"/>
              </w:rPr>
              <w:t>1,000 rows</w:t>
            </w:r>
          </w:p>
        </w:tc>
        <w:tc>
          <w:tcPr>
            <w:tcW w:type="dxa" w:w="3120"/>
            <w:vAlign w:val="center"/>
            <w:tcMar>
              <w:top w:w="80" w:type="dxa"/>
              <w:start w:w="120" w:type="dxa"/>
              <w:bottom w:w="80" w:type="dxa"/>
              <w:end w:w="120" w:type="dxa"/>
            </w:tcMar>
          </w:tcPr>
          <w:p>
            <w:pPr>
              <w:spacing w:after="0"/>
            </w:pPr>
            <w:r>
              <w:rPr>
                <w:rFonts w:ascii="Calibri" w:hAnsi="Calibri"/>
                <w:sz w:val="18"/>
              </w:rPr>
              <w:t>Retrieval benchmark with gold chunk IDs</w:t>
            </w:r>
          </w:p>
        </w:tc>
      </w:tr>
      <w:tr>
        <w:tc>
          <w:tcPr>
            <w:tcW w:type="dxa" w:w="3120"/>
            <w:vAlign w:val="center"/>
            <w:tcMar>
              <w:top w:w="80" w:type="dxa"/>
              <w:start w:w="120" w:type="dxa"/>
              <w:bottom w:w="80" w:type="dxa"/>
              <w:end w:w="120" w:type="dxa"/>
            </w:tcMar>
          </w:tcPr>
          <w:p>
            <w:pPr>
              <w:spacing w:after="0"/>
            </w:pPr>
            <w:r>
              <w:rPr>
                <w:rFonts w:ascii="Calibri" w:hAnsi="Calibri"/>
                <w:sz w:val="18"/>
              </w:rPr>
              <w:t>`gold_benchmark.json`</w:t>
            </w:r>
          </w:p>
        </w:tc>
        <w:tc>
          <w:tcPr>
            <w:tcW w:type="dxa" w:w="3120"/>
            <w:vAlign w:val="center"/>
            <w:tcMar>
              <w:top w:w="80" w:type="dxa"/>
              <w:start w:w="120" w:type="dxa"/>
              <w:bottom w:w="80" w:type="dxa"/>
              <w:end w:w="120" w:type="dxa"/>
            </w:tcMar>
          </w:tcPr>
          <w:p>
            <w:pPr>
              <w:spacing w:after="0"/>
            </w:pPr>
            <w:r>
              <w:rPr>
                <w:rFonts w:ascii="Calibri" w:hAnsi="Calibri"/>
                <w:sz w:val="18"/>
              </w:rPr>
              <w:t>240 rows</w:t>
            </w:r>
          </w:p>
        </w:tc>
        <w:tc>
          <w:tcPr>
            <w:tcW w:type="dxa" w:w="3120"/>
            <w:vAlign w:val="center"/>
            <w:tcMar>
              <w:top w:w="80" w:type="dxa"/>
              <w:start w:w="120" w:type="dxa"/>
              <w:bottom w:w="80" w:type="dxa"/>
              <w:end w:w="120" w:type="dxa"/>
            </w:tcMar>
          </w:tcPr>
          <w:p>
            <w:pPr>
              <w:spacing w:after="0"/>
            </w:pPr>
            <w:r>
              <w:rPr>
                <w:rFonts w:ascii="Calibri" w:hAnsi="Calibri"/>
                <w:sz w:val="18"/>
              </w:rPr>
              <w:t>Gold QA benchmark with verified answers and gold sources</w:t>
            </w:r>
          </w:p>
        </w:tc>
      </w:tr>
      <w:tr>
        <w:tc>
          <w:tcPr>
            <w:tcW w:type="dxa" w:w="3120"/>
            <w:vAlign w:val="center"/>
            <w:tcMar>
              <w:top w:w="80" w:type="dxa"/>
              <w:start w:w="120" w:type="dxa"/>
              <w:bottom w:w="80" w:type="dxa"/>
              <w:end w:w="120" w:type="dxa"/>
            </w:tcMar>
          </w:tcPr>
          <w:p>
            <w:pPr>
              <w:spacing w:after="0"/>
            </w:pPr>
            <w:r>
              <w:rPr>
                <w:rFonts w:ascii="Calibri" w:hAnsi="Calibri"/>
                <w:sz w:val="18"/>
              </w:rPr>
              <w:t>`embedding.jsonl`</w:t>
            </w:r>
          </w:p>
        </w:tc>
        <w:tc>
          <w:tcPr>
            <w:tcW w:type="dxa" w:w="3120"/>
            <w:vAlign w:val="center"/>
            <w:tcMar>
              <w:top w:w="80" w:type="dxa"/>
              <w:start w:w="120" w:type="dxa"/>
              <w:bottom w:w="80" w:type="dxa"/>
              <w:end w:w="120" w:type="dxa"/>
            </w:tcMar>
          </w:tcPr>
          <w:p>
            <w:pPr>
              <w:spacing w:after="0"/>
            </w:pPr>
            <w:r>
              <w:rPr>
                <w:rFonts w:ascii="Calibri" w:hAnsi="Calibri"/>
                <w:sz w:val="18"/>
              </w:rPr>
              <w:t>2,059 rows</w:t>
            </w:r>
          </w:p>
        </w:tc>
        <w:tc>
          <w:tcPr>
            <w:tcW w:type="dxa" w:w="3120"/>
            <w:vAlign w:val="center"/>
            <w:tcMar>
              <w:top w:w="80" w:type="dxa"/>
              <w:start w:w="120" w:type="dxa"/>
              <w:bottom w:w="80" w:type="dxa"/>
              <w:end w:w="120" w:type="dxa"/>
            </w:tcMar>
          </w:tcPr>
          <w:p>
            <w:pPr>
              <w:spacing w:after="0"/>
            </w:pPr>
            <w:r>
              <w:rPr>
                <w:rFonts w:ascii="Calibri" w:hAnsi="Calibri"/>
                <w:sz w:val="18"/>
              </w:rPr>
              <w:t>Query-positive-negative triples for embedding tuning</w:t>
            </w:r>
          </w:p>
        </w:tc>
      </w:tr>
      <w:tr>
        <w:tc>
          <w:tcPr>
            <w:tcW w:type="dxa" w:w="3120"/>
            <w:vAlign w:val="center"/>
            <w:tcMar>
              <w:top w:w="80" w:type="dxa"/>
              <w:start w:w="120" w:type="dxa"/>
              <w:bottom w:w="80" w:type="dxa"/>
              <w:end w:w="120" w:type="dxa"/>
            </w:tcMar>
          </w:tcPr>
          <w:p>
            <w:pPr>
              <w:spacing w:after="0"/>
            </w:pPr>
            <w:r>
              <w:rPr>
                <w:rFonts w:ascii="Calibri" w:hAnsi="Calibri"/>
                <w:sz w:val="18"/>
              </w:rPr>
              <w:t>`reranker.jsonl`</w:t>
            </w:r>
          </w:p>
        </w:tc>
        <w:tc>
          <w:tcPr>
            <w:tcW w:type="dxa" w:w="3120"/>
            <w:vAlign w:val="center"/>
            <w:tcMar>
              <w:top w:w="80" w:type="dxa"/>
              <w:start w:w="120" w:type="dxa"/>
              <w:bottom w:w="80" w:type="dxa"/>
              <w:end w:w="120" w:type="dxa"/>
            </w:tcMar>
          </w:tcPr>
          <w:p>
            <w:pPr>
              <w:spacing w:after="0"/>
            </w:pPr>
            <w:r>
              <w:rPr>
                <w:rFonts w:ascii="Calibri" w:hAnsi="Calibri"/>
                <w:sz w:val="18"/>
              </w:rPr>
              <w:t>6,752 rows</w:t>
            </w:r>
          </w:p>
        </w:tc>
        <w:tc>
          <w:tcPr>
            <w:tcW w:type="dxa" w:w="3120"/>
            <w:vAlign w:val="center"/>
            <w:tcMar>
              <w:top w:w="80" w:type="dxa"/>
              <w:start w:w="120" w:type="dxa"/>
              <w:bottom w:w="80" w:type="dxa"/>
              <w:end w:w="120" w:type="dxa"/>
            </w:tcMar>
          </w:tcPr>
          <w:p>
            <w:pPr>
              <w:spacing w:after="0"/>
            </w:pPr>
            <w:r>
              <w:rPr>
                <w:rFonts w:ascii="Calibri" w:hAnsi="Calibri"/>
                <w:sz w:val="18"/>
              </w:rPr>
              <w:t>Query-passage-label pairs for reranker tuning</w:t>
            </w:r>
          </w:p>
        </w:tc>
      </w:tr>
      <w:tr>
        <w:tc>
          <w:tcPr>
            <w:tcW w:type="dxa" w:w="3120"/>
            <w:vAlign w:val="center"/>
            <w:tcMar>
              <w:top w:w="80" w:type="dxa"/>
              <w:start w:w="120" w:type="dxa"/>
              <w:bottom w:w="80" w:type="dxa"/>
              <w:end w:w="120" w:type="dxa"/>
            </w:tcMar>
          </w:tcPr>
          <w:p>
            <w:pPr>
              <w:spacing w:after="0"/>
            </w:pPr>
            <w:r>
              <w:rPr>
                <w:rFonts w:ascii="Calibri" w:hAnsi="Calibri"/>
                <w:sz w:val="18"/>
              </w:rPr>
              <w:t>`llm.jsonl`</w:t>
            </w:r>
          </w:p>
        </w:tc>
        <w:tc>
          <w:tcPr>
            <w:tcW w:type="dxa" w:w="3120"/>
            <w:vAlign w:val="center"/>
            <w:tcMar>
              <w:top w:w="80" w:type="dxa"/>
              <w:start w:w="120" w:type="dxa"/>
              <w:bottom w:w="80" w:type="dxa"/>
              <w:end w:w="120" w:type="dxa"/>
            </w:tcMar>
          </w:tcPr>
          <w:p>
            <w:pPr>
              <w:spacing w:after="0"/>
            </w:pPr>
            <w:r>
              <w:rPr>
                <w:rFonts w:ascii="Calibri" w:hAnsi="Calibri"/>
                <w:sz w:val="18"/>
              </w:rPr>
              <w:t>13,758 rows</w:t>
            </w:r>
          </w:p>
        </w:tc>
        <w:tc>
          <w:tcPr>
            <w:tcW w:type="dxa" w:w="3120"/>
            <w:vAlign w:val="center"/>
            <w:tcMar>
              <w:top w:w="80" w:type="dxa"/>
              <w:start w:w="120" w:type="dxa"/>
              <w:bottom w:w="80" w:type="dxa"/>
              <w:end w:w="120" w:type="dxa"/>
            </w:tcMar>
          </w:tcPr>
          <w:p>
            <w:pPr>
              <w:spacing w:after="0"/>
            </w:pPr>
            <w:r>
              <w:rPr>
                <w:rFonts w:ascii="Calibri" w:hAnsi="Calibri"/>
                <w:sz w:val="18"/>
              </w:rPr>
              <w:t>Source-grounded instruction tuning examples</w:t>
            </w:r>
          </w:p>
        </w:tc>
      </w:tr>
    </w:tbl>
    <w:p/>
    <w:p>
      <w:r>
        <w:t>All 240 gold benchmark source IDs are present in the retrieval corpus, so the benchmark fits Scenario 1 from the rubric: Gold Question + Gold Answer + Gold Document.</w:t>
      </w:r>
    </w:p>
    <w:p>
      <w:pPr>
        <w:pStyle w:val="Heading1"/>
      </w:pPr>
      <w:r>
        <w:t>4. System Architecture</w:t>
      </w:r>
    </w:p>
    <w:p>
      <w:r>
        <w:t>The baseline RAG pipeline is:</w:t>
      </w:r>
    </w:p>
    <w:p>
      <w:pPr>
        <w:pStyle w:val="NoSpacing"/>
      </w:pPr>
      <w:r>
        <w:rPr>
          <w:rFonts w:ascii="Consolas" w:hAnsi="Consolas"/>
          <w:sz w:val="18"/>
        </w:rPr>
        <w:t>Question -&gt; Retriever -&gt; Top-k source chunks -&gt; Answer generator -&gt; Citation-grounded answer</w:t>
      </w:r>
    </w:p>
    <w:p>
      <w:r>
        <w:t>Implemented retrievers:</w:t>
      </w:r>
    </w:p>
    <w:p>
      <w:pPr>
        <w:pStyle w:val="ListBullet"/>
      </w:pPr>
      <w:r>
        <w:t>BM25 lexical retrieval</w:t>
      </w:r>
    </w:p>
    <w:p>
      <w:pPr>
        <w:pStyle w:val="ListBullet"/>
      </w:pPr>
      <w:r>
        <w:t>Dense retrieval with `sentence-transformers/paraphrase-multilingual-MiniLM-L12-v2`</w:t>
      </w:r>
    </w:p>
    <w:p>
      <w:pPr>
        <w:pStyle w:val="ListBullet"/>
      </w:pPr>
      <w:r>
        <w:t>Hybrid retrieval using min-max normalized BM25 and dense scores</w:t>
      </w:r>
    </w:p>
    <w:p>
      <w:r>
        <w:t>Implemented answer generation modes:</w:t>
      </w:r>
    </w:p>
    <w:p>
      <w:pPr>
        <w:pStyle w:val="ListBullet"/>
      </w:pPr>
      <w:r>
        <w:t>Extractive grounded answer from the top retrieved source</w:t>
      </w:r>
    </w:p>
    <w:p>
      <w:pPr>
        <w:pStyle w:val="ListBullet"/>
      </w:pPr>
      <w:r>
        <w:t>Optional local HuggingFace seq2seq generation mode</w:t>
      </w:r>
    </w:p>
    <w:p>
      <w:pPr>
        <w:pStyle w:val="Heading1"/>
      </w:pPr>
      <w:r>
        <w:t>5. Evaluation Methodology</w:t>
      </w:r>
    </w:p>
    <w:p>
      <w:pPr>
        <w:pStyle w:val="Heading2"/>
      </w:pPr>
      <w:r>
        <w:t>5.1 Retrieval Metrics</w:t>
      </w:r>
    </w:p>
    <w:p>
      <w:r>
        <w:t>Retrieval is evaluated on `rag_eval.json` using:</w:t>
      </w:r>
    </w:p>
    <w:p>
      <w:pPr>
        <w:pStyle w:val="ListBullet"/>
      </w:pPr>
      <w:r>
        <w:t>Recall@5</w:t>
      </w:r>
    </w:p>
    <w:p>
      <w:pPr>
        <w:pStyle w:val="ListBullet"/>
      </w:pPr>
      <w:r>
        <w:t>Recall@10</w:t>
      </w:r>
    </w:p>
    <w:p>
      <w:pPr>
        <w:pStyle w:val="ListBullet"/>
      </w:pPr>
      <w:r>
        <w:t>Mean Reciprocal Rank</w:t>
      </w:r>
    </w:p>
    <w:p>
      <w:pPr>
        <w:pStyle w:val="ListBullet"/>
      </w:pPr>
      <w:r>
        <w:t>nDCG@10</w:t>
      </w:r>
    </w:p>
    <w:p>
      <w:pPr>
        <w:pStyle w:val="Heading2"/>
      </w:pPr>
      <w:r>
        <w:t>5.2 QA Metrics</w:t>
      </w:r>
    </w:p>
    <w:p>
      <w:r>
        <w:t>Question answering is evaluated on `gold_benchmark.json` using:</w:t>
      </w:r>
    </w:p>
    <w:p>
      <w:pPr>
        <w:pStyle w:val="ListBullet"/>
      </w:pPr>
      <w:r>
        <w:t>Exact Match</w:t>
      </w:r>
    </w:p>
    <w:p>
      <w:pPr>
        <w:pStyle w:val="ListBullet"/>
      </w:pPr>
      <w:r>
        <w:t>Token F1</w:t>
      </w:r>
    </w:p>
    <w:p>
      <w:pPr>
        <w:pStyle w:val="ListBullet"/>
      </w:pPr>
      <w:r>
        <w:t>ROUGE-L</w:t>
      </w:r>
    </w:p>
    <w:p>
      <w:pPr>
        <w:pStyle w:val="ListBullet"/>
      </w:pPr>
      <w:r>
        <w:t>Top-1 source hit</w:t>
      </w:r>
    </w:p>
    <w:p>
      <w:pPr>
        <w:pStyle w:val="ListBullet"/>
      </w:pPr>
      <w:r>
        <w:t>Top-5 source hit</w:t>
      </w:r>
    </w:p>
    <w:p>
      <w:pPr>
        <w:pStyle w:val="ListBullet"/>
      </w:pPr>
      <w:r>
        <w:t>Citation label accuracy</w:t>
      </w:r>
    </w:p>
    <w:p>
      <w:pPr>
        <w:pStyle w:val="ListBullet"/>
      </w:pPr>
      <w:r>
        <w:t>Lexical faithfulness proxy</w:t>
      </w:r>
    </w:p>
    <w:p>
      <w:r>
        <w:t>Citation label accuracy checks whether the generated answer contains the gold citation label. The lexical faithfulness proxy measures how much of the answer body is covered by retrieved context tokens.</w:t>
      </w:r>
    </w:p>
    <w:p>
      <w:pPr>
        <w:pStyle w:val="Heading1"/>
      </w:pPr>
      <w:r>
        <w:t>6. Experiments and Results</w:t>
      </w:r>
    </w:p>
    <w:p>
      <w:pPr>
        <w:pStyle w:val="Heading2"/>
      </w:pPr>
      <w:r>
        <w:t>6.1 Retrieval Baselines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Retriever</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w:t>
            </w:r>
          </w:p>
        </w:tc>
        <w:tc>
          <w:tcPr>
            <w:tcW w:type="dxa" w:w="1872"/>
            <w:vAlign w:val="center"/>
            <w:tcMar>
              <w:top w:w="80" w:type="dxa"/>
              <w:start w:w="120" w:type="dxa"/>
              <w:bottom w:w="80" w:type="dxa"/>
              <w:end w:w="120" w:type="dxa"/>
            </w:tcMar>
          </w:tcPr>
          <w:p>
            <w:pPr>
              <w:spacing w:after="0"/>
            </w:pPr>
            <w:r>
              <w:rPr>
                <w:rFonts w:ascii="Calibri" w:hAnsi="Calibri"/>
                <w:sz w:val="18"/>
              </w:rPr>
              <w:t>0.947</w:t>
            </w:r>
          </w:p>
        </w:tc>
        <w:tc>
          <w:tcPr>
            <w:tcW w:type="dxa" w:w="1872"/>
            <w:vAlign w:val="center"/>
            <w:tcMar>
              <w:top w:w="80" w:type="dxa"/>
              <w:start w:w="120" w:type="dxa"/>
              <w:bottom w:w="80" w:type="dxa"/>
              <w:end w:w="120" w:type="dxa"/>
            </w:tcMar>
          </w:tcPr>
          <w:p>
            <w:pPr>
              <w:spacing w:after="0"/>
            </w:pPr>
            <w:r>
              <w:rPr>
                <w:rFonts w:ascii="Calibri" w:hAnsi="Calibri"/>
                <w:sz w:val="18"/>
              </w:rPr>
              <w:t>0.975</w:t>
            </w:r>
          </w:p>
        </w:tc>
        <w:tc>
          <w:tcPr>
            <w:tcW w:type="dxa" w:w="1872"/>
            <w:vAlign w:val="center"/>
            <w:tcMar>
              <w:top w:w="80" w:type="dxa"/>
              <w:start w:w="120" w:type="dxa"/>
              <w:bottom w:w="80" w:type="dxa"/>
              <w:end w:w="120" w:type="dxa"/>
            </w:tcMar>
          </w:tcPr>
          <w:p>
            <w:pPr>
              <w:spacing w:after="0"/>
            </w:pPr>
            <w:r>
              <w:rPr>
                <w:rFonts w:ascii="Calibri" w:hAnsi="Calibri"/>
                <w:sz w:val="18"/>
              </w:rPr>
              <w:t>0.863</w:t>
            </w:r>
          </w:p>
        </w:tc>
        <w:tc>
          <w:tcPr>
            <w:tcW w:type="dxa" w:w="1872"/>
            <w:vAlign w:val="center"/>
            <w:tcMar>
              <w:top w:w="80" w:type="dxa"/>
              <w:start w:w="120" w:type="dxa"/>
              <w:bottom w:w="80" w:type="dxa"/>
              <w:end w:w="120" w:type="dxa"/>
            </w:tcMar>
          </w:tcPr>
          <w:p>
            <w:pPr>
              <w:spacing w:after="0"/>
            </w:pPr>
            <w:r>
              <w:rPr>
                <w:rFonts w:ascii="Calibri" w:hAnsi="Calibri"/>
                <w:sz w:val="18"/>
              </w:rPr>
              <w:t>0.890</w:t>
            </w:r>
          </w:p>
        </w:tc>
      </w:tr>
      <w:tr>
        <w:tc>
          <w:tcPr>
            <w:tcW w:type="dxa" w:w="1872"/>
            <w:vAlign w:val="center"/>
            <w:tcMar>
              <w:top w:w="80" w:type="dxa"/>
              <w:start w:w="120" w:type="dxa"/>
              <w:bottom w:w="80" w:type="dxa"/>
              <w:end w:w="120" w:type="dxa"/>
            </w:tcMar>
          </w:tcPr>
          <w:p>
            <w:pPr>
              <w:spacing w:after="0"/>
            </w:pPr>
            <w:r>
              <w:rPr>
                <w:rFonts w:ascii="Calibri" w:hAnsi="Calibri"/>
                <w:sz w:val="18"/>
              </w:rPr>
              <w:t>Dense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Hybrid, dense weight 0.35</w:t>
            </w:r>
          </w:p>
        </w:tc>
        <w:tc>
          <w:tcPr>
            <w:tcW w:type="dxa" w:w="1872"/>
            <w:vAlign w:val="center"/>
            <w:tcMar>
              <w:top w:w="80" w:type="dxa"/>
              <w:start w:w="120" w:type="dxa"/>
              <w:bottom w:w="80" w:type="dxa"/>
              <w:end w:w="120" w:type="dxa"/>
            </w:tcMar>
          </w:tcPr>
          <w:p>
            <w:pPr>
              <w:spacing w:after="0"/>
            </w:pPr>
            <w:r>
              <w:rPr>
                <w:rFonts w:ascii="Calibri" w:hAnsi="Calibri"/>
                <w:sz w:val="18"/>
              </w:rPr>
              <w:t>0.940</w:t>
            </w:r>
          </w:p>
        </w:tc>
        <w:tc>
          <w:tcPr>
            <w:tcW w:type="dxa" w:w="1872"/>
            <w:vAlign w:val="center"/>
            <w:tcMar>
              <w:top w:w="80" w:type="dxa"/>
              <w:start w:w="120" w:type="dxa"/>
              <w:bottom w:w="80" w:type="dxa"/>
              <w:end w:w="120" w:type="dxa"/>
            </w:tcMar>
          </w:tcPr>
          <w:p>
            <w:pPr>
              <w:spacing w:after="0"/>
            </w:pPr>
            <w:r>
              <w:rPr>
                <w:rFonts w:ascii="Calibri" w:hAnsi="Calibri"/>
                <w:sz w:val="18"/>
              </w:rPr>
              <w:t>0.969</w:t>
            </w:r>
          </w:p>
        </w:tc>
        <w:tc>
          <w:tcPr>
            <w:tcW w:type="dxa" w:w="1872"/>
            <w:vAlign w:val="center"/>
            <w:tcMar>
              <w:top w:w="80" w:type="dxa"/>
              <w:start w:w="120" w:type="dxa"/>
              <w:bottom w:w="80" w:type="dxa"/>
              <w:end w:w="120" w:type="dxa"/>
            </w:tcMar>
          </w:tcPr>
          <w:p>
            <w:pPr>
              <w:spacing w:after="0"/>
            </w:pPr>
            <w:r>
              <w:rPr>
                <w:rFonts w:ascii="Calibri" w:hAnsi="Calibri"/>
                <w:sz w:val="18"/>
              </w:rPr>
              <w:t>0.855</w:t>
            </w:r>
          </w:p>
        </w:tc>
        <w:tc>
          <w:tcPr>
            <w:tcW w:type="dxa" w:w="1872"/>
            <w:vAlign w:val="center"/>
            <w:tcMar>
              <w:top w:w="80" w:type="dxa"/>
              <w:start w:w="120" w:type="dxa"/>
              <w:bottom w:w="80" w:type="dxa"/>
              <w:end w:w="120" w:type="dxa"/>
            </w:tcMar>
          </w:tcPr>
          <w:p>
            <w:pPr>
              <w:spacing w:after="0"/>
            </w:pPr>
            <w:r>
              <w:rPr>
                <w:rFonts w:ascii="Calibri" w:hAnsi="Calibri"/>
                <w:sz w:val="18"/>
              </w:rPr>
              <w:t>0.883</w:t>
            </w:r>
          </w:p>
        </w:tc>
      </w:tr>
    </w:tbl>
    <w:p/>
    <w:p>
      <w:r>
        <w:t>BM25 is the strongest retrieval baseline. This is likely because Turkish legal questions often include exact legal terms, article numbers, court names, or source-specific wording.</w:t>
      </w:r>
    </w:p>
    <w:p>
      <w:r>
        <w:t>The generic multilingual dense model performs substantially worse than BM25, which motivates domain-specific embedding adaptation.</w:t>
      </w:r>
    </w:p>
    <w:p>
      <w:r>
        <w:t>The first hybrid configuration does not improve over BM25. This suggests that hybrid retrieval requires careful weighting and that adding a weak dense retriever can reduce ranking quality.</w:t>
      </w:r>
    </w:p>
    <w:p>
      <w:pPr>
        <w:pStyle w:val="Heading2"/>
      </w:pPr>
      <w:r>
        <w:t>6.2 Reranker Experiments</w:t>
      </w:r>
    </w:p>
    <w:p>
      <w:r>
        <w:t>Pipeline:</w:t>
      </w:r>
    </w:p>
    <w:p>
      <w:pPr>
        <w:pStyle w:val="NoSpacing"/>
      </w:pPr>
      <w:r>
        <w:rPr>
          <w:rFonts w:ascii="Consolas" w:hAnsi="Consolas"/>
          <w:sz w:val="18"/>
        </w:rPr>
        <w:t>Question -&gt; BM25 top-30 -&gt; cross-encoder reranker -&gt; top-10</w:t>
      </w:r>
    </w:p>
    <w:p>
      <w:r>
        <w:t>Model:</w:t>
      </w:r>
    </w:p>
    <w:p>
      <w:pPr>
        <w:pStyle w:val="NoSpacing"/>
      </w:pPr>
      <w:r>
        <w:rPr>
          <w:rFonts w:ascii="Consolas" w:hAnsi="Consolas"/>
          <w:sz w:val="18"/>
        </w:rPr>
        <w:t>cross-encoder/mmarco-mMiniLMv2-L12-H384-v1</w:t>
      </w:r>
    </w:p>
    <w:p>
      <w:r>
        <w:t>Evaluation was performed on a 100-query subset due to CPU-only inference cost.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BM25 first stage on same 100 queries</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1.000</w:t>
            </w:r>
          </w:p>
        </w:tc>
        <w:tc>
          <w:tcPr>
            <w:tcW w:type="dxa" w:w="1872"/>
            <w:vAlign w:val="center"/>
            <w:tcMar>
              <w:top w:w="80" w:type="dxa"/>
              <w:start w:w="120" w:type="dxa"/>
              <w:bottom w:w="80" w:type="dxa"/>
              <w:end w:w="120" w:type="dxa"/>
            </w:tcMar>
          </w:tcPr>
          <w:p>
            <w:pPr>
              <w:spacing w:after="0"/>
            </w:pPr>
            <w:r>
              <w:rPr>
                <w:rFonts w:ascii="Calibri" w:hAnsi="Calibri"/>
                <w:sz w:val="18"/>
              </w:rPr>
              <w:t>0.990</w:t>
            </w:r>
          </w:p>
        </w:tc>
        <w:tc>
          <w:tcPr>
            <w:tcW w:type="dxa" w:w="1872"/>
            <w:vAlign w:val="center"/>
            <w:tcMar>
              <w:top w:w="80" w:type="dxa"/>
              <w:start w:w="120" w:type="dxa"/>
              <w:bottom w:w="80" w:type="dxa"/>
              <w:end w:w="120" w:type="dxa"/>
            </w:tcMar>
          </w:tcPr>
          <w:p>
            <w:pPr>
              <w:spacing w:after="0"/>
            </w:pPr>
            <w:r>
              <w:rPr>
                <w:rFonts w:ascii="Calibri" w:hAnsi="Calibri"/>
                <w:sz w:val="18"/>
              </w:rPr>
              <w:t>0.993</w:t>
            </w:r>
          </w:p>
        </w:tc>
      </w:tr>
      <w:tr>
        <w:tc>
          <w:tcPr>
            <w:tcW w:type="dxa" w:w="1872"/>
            <w:vAlign w:val="center"/>
            <w:tcMar>
              <w:top w:w="80" w:type="dxa"/>
              <w:start w:w="120" w:type="dxa"/>
              <w:bottom w:w="80" w:type="dxa"/>
              <w:end w:w="120" w:type="dxa"/>
            </w:tcMar>
          </w:tcPr>
          <w:p>
            <w:pPr>
              <w:spacing w:after="0"/>
            </w:pPr>
            <w:r>
              <w:rPr>
                <w:rFonts w:ascii="Calibri" w:hAnsi="Calibri"/>
                <w:sz w:val="18"/>
              </w:rPr>
              <w:t>Pretrained cross-encoder reranker</w:t>
            </w:r>
          </w:p>
        </w:tc>
        <w:tc>
          <w:tcPr>
            <w:tcW w:type="dxa" w:w="1872"/>
            <w:vAlign w:val="center"/>
            <w:tcMar>
              <w:top w:w="80" w:type="dxa"/>
              <w:start w:w="120" w:type="dxa"/>
              <w:bottom w:w="80" w:type="dxa"/>
              <w:end w:w="120" w:type="dxa"/>
            </w:tcMar>
          </w:tcPr>
          <w:p>
            <w:pPr>
              <w:spacing w:after="0"/>
            </w:pPr>
            <w:r>
              <w:rPr>
                <w:rFonts w:ascii="Calibri" w:hAnsi="Calibri"/>
                <w:sz w:val="18"/>
              </w:rPr>
              <w:t>0.700</w:t>
            </w:r>
          </w:p>
        </w:tc>
        <w:tc>
          <w:tcPr>
            <w:tcW w:type="dxa" w:w="1872"/>
            <w:vAlign w:val="center"/>
            <w:tcMar>
              <w:top w:w="80" w:type="dxa"/>
              <w:start w:w="120" w:type="dxa"/>
              <w:bottom w:w="80" w:type="dxa"/>
              <w:end w:w="120" w:type="dxa"/>
            </w:tcMar>
          </w:tcPr>
          <w:p>
            <w:pPr>
              <w:spacing w:after="0"/>
            </w:pPr>
            <w:r>
              <w:rPr>
                <w:rFonts w:ascii="Calibri" w:hAnsi="Calibri"/>
                <w:sz w:val="18"/>
              </w:rPr>
              <w:t>0.810</w:t>
            </w:r>
          </w:p>
        </w:tc>
        <w:tc>
          <w:tcPr>
            <w:tcW w:type="dxa" w:w="1872"/>
            <w:vAlign w:val="center"/>
            <w:tcMar>
              <w:top w:w="80" w:type="dxa"/>
              <w:start w:w="120" w:type="dxa"/>
              <w:bottom w:w="80" w:type="dxa"/>
              <w:end w:w="120" w:type="dxa"/>
            </w:tcMar>
          </w:tcPr>
          <w:p>
            <w:pPr>
              <w:spacing w:after="0"/>
            </w:pPr>
            <w:r>
              <w:rPr>
                <w:rFonts w:ascii="Calibri" w:hAnsi="Calibri"/>
                <w:sz w:val="18"/>
              </w:rPr>
              <w:t>0.550</w:t>
            </w:r>
          </w:p>
        </w:tc>
        <w:tc>
          <w:tcPr>
            <w:tcW w:type="dxa" w:w="1872"/>
            <w:vAlign w:val="center"/>
            <w:tcMar>
              <w:top w:w="80" w:type="dxa"/>
              <w:start w:w="120" w:type="dxa"/>
              <w:bottom w:w="80" w:type="dxa"/>
              <w:end w:w="120" w:type="dxa"/>
            </w:tcMar>
          </w:tcPr>
          <w:p>
            <w:pPr>
              <w:spacing w:after="0"/>
            </w:pPr>
            <w:r>
              <w:rPr>
                <w:rFonts w:ascii="Calibri" w:hAnsi="Calibri"/>
                <w:sz w:val="18"/>
              </w:rPr>
              <w:t>0.612</w:t>
            </w:r>
          </w:p>
        </w:tc>
      </w:tr>
    </w:tbl>
    <w:p/>
    <w:p>
      <w:r>
        <w:t>The pretrained reranker hurts performance. This indicates domain mismatch: the reranker was trained for general passage ranking, not Turkish legal ranking. This result supports the requirement for cross-encoder fine-tuning using `reranker.jsonl`.</w:t>
      </w:r>
    </w:p>
    <w:p>
      <w:r>
        <w:t>A full CPU fine-tuning run was then performed on all 6,752 rows of `reranker.jsonl` using one epoch, batch size 4, and max sequence length 128. Training took 3,047 seconds and reached training loss 0.358.</w:t>
      </w:r>
    </w:p>
    <w:p>
      <w:r>
        <w:t>Full benchmark evaluation: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Queries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560"/>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560"/>
            <w:vAlign w:val="center"/>
            <w:tcMar>
              <w:top w:w="80" w:type="dxa"/>
              <w:start w:w="120" w:type="dxa"/>
              <w:bottom w:w="80" w:type="dxa"/>
              <w:end w:w="120" w:type="dxa"/>
            </w:tcMar>
            <w:shd w:fill="F2F4F7"/>
          </w:tcPr>
          <w:p>
            <w:pPr>
              <w:spacing w:after="0"/>
            </w:pPr>
            <w:r>
              <w:rPr>
                <w:rFonts w:ascii="Calibri" w:hAnsi="Calibri"/>
                <w:b/>
                <w:sz w:val="18"/>
              </w:rPr>
              <w:t>MRR</w:t>
            </w:r>
          </w:p>
        </w:tc>
        <w:tc>
          <w:tcPr>
            <w:tcW w:type="dxa" w:w="1560"/>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560"/>
            <w:vAlign w:val="center"/>
            <w:tcMar>
              <w:top w:w="80" w:type="dxa"/>
              <w:start w:w="120" w:type="dxa"/>
              <w:bottom w:w="80" w:type="dxa"/>
              <w:end w:w="120" w:type="dxa"/>
            </w:tcMar>
          </w:tcPr>
          <w:p>
            <w:pPr>
              <w:spacing w:after="0"/>
            </w:pPr>
            <w:r>
              <w:rPr>
                <w:rFonts w:ascii="Calibri" w:hAnsi="Calibri"/>
                <w:sz w:val="18"/>
              </w:rPr>
              <w:t>BM25 first stage</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0.947</w:t>
            </w:r>
          </w:p>
        </w:tc>
        <w:tc>
          <w:tcPr>
            <w:tcW w:type="dxa" w:w="1560"/>
            <w:vAlign w:val="center"/>
            <w:tcMar>
              <w:top w:w="80" w:type="dxa"/>
              <w:start w:w="120" w:type="dxa"/>
              <w:bottom w:w="80" w:type="dxa"/>
              <w:end w:w="120" w:type="dxa"/>
            </w:tcMar>
          </w:tcPr>
          <w:p>
            <w:pPr>
              <w:spacing w:after="0"/>
            </w:pPr>
            <w:r>
              <w:rPr>
                <w:rFonts w:ascii="Calibri" w:hAnsi="Calibri"/>
                <w:sz w:val="18"/>
              </w:rPr>
              <w:t>0.975</w:t>
            </w:r>
          </w:p>
        </w:tc>
        <w:tc>
          <w:tcPr>
            <w:tcW w:type="dxa" w:w="1560"/>
            <w:vAlign w:val="center"/>
            <w:tcMar>
              <w:top w:w="80" w:type="dxa"/>
              <w:start w:w="120" w:type="dxa"/>
              <w:bottom w:w="80" w:type="dxa"/>
              <w:end w:w="120" w:type="dxa"/>
            </w:tcMar>
          </w:tcPr>
          <w:p>
            <w:pPr>
              <w:spacing w:after="0"/>
            </w:pPr>
            <w:r>
              <w:rPr>
                <w:rFonts w:ascii="Calibri" w:hAnsi="Calibri"/>
                <w:sz w:val="18"/>
              </w:rPr>
              <w:t>0.864</w:t>
            </w:r>
          </w:p>
        </w:tc>
        <w:tc>
          <w:tcPr>
            <w:tcW w:type="dxa" w:w="1560"/>
            <w:vAlign w:val="center"/>
            <w:tcMar>
              <w:top w:w="80" w:type="dxa"/>
              <w:start w:w="120" w:type="dxa"/>
              <w:bottom w:w="80" w:type="dxa"/>
              <w:end w:w="120" w:type="dxa"/>
            </w:tcMar>
          </w:tcPr>
          <w:p>
            <w:pPr>
              <w:spacing w:after="0"/>
            </w:pPr>
            <w:r>
              <w:rPr>
                <w:rFonts w:ascii="Calibri" w:hAnsi="Calibri"/>
                <w:sz w:val="18"/>
              </w:rPr>
              <w:t>0.890</w:t>
            </w:r>
          </w:p>
        </w:tc>
      </w:tr>
      <w:tr>
        <w:tc>
          <w:tcPr>
            <w:tcW w:type="dxa" w:w="1560"/>
            <w:vAlign w:val="center"/>
            <w:tcMar>
              <w:top w:w="80" w:type="dxa"/>
              <w:start w:w="120" w:type="dxa"/>
              <w:bottom w:w="80" w:type="dxa"/>
              <w:end w:w="120" w:type="dxa"/>
            </w:tcMar>
          </w:tcPr>
          <w:p>
            <w:pPr>
              <w:spacing w:after="0"/>
            </w:pPr>
            <w:r>
              <w:rPr>
                <w:rFonts w:ascii="Calibri" w:hAnsi="Calibri"/>
                <w:sz w:val="18"/>
              </w:rPr>
              <w:t>Fine-tuned reranker</w:t>
            </w:r>
          </w:p>
        </w:tc>
        <w:tc>
          <w:tcPr>
            <w:tcW w:type="dxa" w:w="1560"/>
            <w:vAlign w:val="center"/>
            <w:tcMar>
              <w:top w:w="80" w:type="dxa"/>
              <w:start w:w="120" w:type="dxa"/>
              <w:bottom w:w="80" w:type="dxa"/>
              <w:end w:w="120" w:type="dxa"/>
            </w:tcMar>
          </w:tcPr>
          <w:p>
            <w:pPr>
              <w:spacing w:after="0"/>
            </w:pPr>
            <w:r>
              <w:rPr>
                <w:rFonts w:ascii="Calibri" w:hAnsi="Calibri"/>
                <w:sz w:val="18"/>
              </w:rPr>
              <w:t>1,000</w:t>
            </w:r>
          </w:p>
        </w:tc>
        <w:tc>
          <w:tcPr>
            <w:tcW w:type="dxa" w:w="1560"/>
            <w:vAlign w:val="center"/>
            <w:tcMar>
              <w:top w:w="80" w:type="dxa"/>
              <w:start w:w="120" w:type="dxa"/>
              <w:bottom w:w="80" w:type="dxa"/>
              <w:end w:w="120" w:type="dxa"/>
            </w:tcMar>
          </w:tcPr>
          <w:p>
            <w:pPr>
              <w:spacing w:after="0"/>
            </w:pPr>
            <w:r>
              <w:rPr>
                <w:rFonts w:ascii="Calibri" w:hAnsi="Calibri"/>
                <w:sz w:val="18"/>
              </w:rPr>
              <w:t>0.882</w:t>
            </w:r>
          </w:p>
        </w:tc>
        <w:tc>
          <w:tcPr>
            <w:tcW w:type="dxa" w:w="1560"/>
            <w:vAlign w:val="center"/>
            <w:tcMar>
              <w:top w:w="80" w:type="dxa"/>
              <w:start w:w="120" w:type="dxa"/>
              <w:bottom w:w="80" w:type="dxa"/>
              <w:end w:w="120" w:type="dxa"/>
            </w:tcMar>
          </w:tcPr>
          <w:p>
            <w:pPr>
              <w:spacing w:after="0"/>
            </w:pPr>
            <w:r>
              <w:rPr>
                <w:rFonts w:ascii="Calibri" w:hAnsi="Calibri"/>
                <w:sz w:val="18"/>
              </w:rPr>
              <w:t>0.915</w:t>
            </w:r>
          </w:p>
        </w:tc>
        <w:tc>
          <w:tcPr>
            <w:tcW w:type="dxa" w:w="1560"/>
            <w:vAlign w:val="center"/>
            <w:tcMar>
              <w:top w:w="80" w:type="dxa"/>
              <w:start w:w="120" w:type="dxa"/>
              <w:bottom w:w="80" w:type="dxa"/>
              <w:end w:w="120" w:type="dxa"/>
            </w:tcMar>
          </w:tcPr>
          <w:p>
            <w:pPr>
              <w:spacing w:after="0"/>
            </w:pPr>
            <w:r>
              <w:rPr>
                <w:rFonts w:ascii="Calibri" w:hAnsi="Calibri"/>
                <w:sz w:val="18"/>
              </w:rPr>
              <w:t>0.789</w:t>
            </w:r>
          </w:p>
        </w:tc>
        <w:tc>
          <w:tcPr>
            <w:tcW w:type="dxa" w:w="1560"/>
            <w:vAlign w:val="center"/>
            <w:tcMar>
              <w:top w:w="80" w:type="dxa"/>
              <w:start w:w="120" w:type="dxa"/>
              <w:bottom w:w="80" w:type="dxa"/>
              <w:end w:w="120" w:type="dxa"/>
            </w:tcMar>
          </w:tcPr>
          <w:p>
            <w:pPr>
              <w:spacing w:after="0"/>
            </w:pPr>
            <w:r>
              <w:rPr>
                <w:rFonts w:ascii="Calibri" w:hAnsi="Calibri"/>
                <w:sz w:val="18"/>
              </w:rPr>
              <w:t>0.820</w:t>
            </w:r>
          </w:p>
        </w:tc>
      </w:tr>
    </w:tbl>
    <w:p/>
    <w:p>
      <w:r>
        <w:t>The fine-tuned reranker substantially improves over the pretrained reranker, but it still does not beat the raw BM25 ranking. Therefore, the final demo uses BM25 directly while reporting reranker fine-tuning as an ablation.</w:t>
      </w:r>
    </w:p>
    <w:p>
      <w:pPr>
        <w:pStyle w:val="Heading2"/>
      </w:pPr>
      <w:r>
        <w:t>6.3 Embedding Tuning Experiment</w:t>
      </w:r>
    </w:p>
    <w:p>
      <w:r>
        <w:t>A triplet-loss embedding fine-tuning script was implemented using `embedding.jsonl`.</w:t>
      </w:r>
    </w:p>
    <w:p>
      <w:r>
        <w:t>Training triple:</w:t>
      </w:r>
    </w:p>
    <w:p>
      <w:pPr>
        <w:pStyle w:val="NoSpacing"/>
      </w:pPr>
      <w:r>
        <w:rPr>
          <w:rFonts w:ascii="Consolas" w:hAnsi="Consolas"/>
          <w:sz w:val="18"/>
        </w:rPr>
        <w:t>query, positive_passage, hard_negative_passage</w:t>
      </w:r>
    </w:p>
    <w:p>
      <w:r>
        <w:t>First, a small CPU smoke test used only 64 triples to verify the training and evaluation workflow.</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dense model, first 50 queries</w:t>
            </w:r>
          </w:p>
        </w:tc>
        <w:tc>
          <w:tcPr>
            <w:tcW w:type="dxa" w:w="1872"/>
            <w:vAlign w:val="center"/>
            <w:tcMar>
              <w:top w:w="80" w:type="dxa"/>
              <w:start w:w="120" w:type="dxa"/>
              <w:bottom w:w="80" w:type="dxa"/>
              <w:end w:w="120" w:type="dxa"/>
            </w:tcMar>
          </w:tcPr>
          <w:p>
            <w:pPr>
              <w:spacing w:after="0"/>
            </w:pPr>
            <w:r>
              <w:rPr>
                <w:rFonts w:ascii="Calibri" w:hAnsi="Calibri"/>
                <w:sz w:val="18"/>
              </w:rPr>
              <w:t>0.820</w:t>
            </w:r>
          </w:p>
        </w:tc>
        <w:tc>
          <w:tcPr>
            <w:tcW w:type="dxa" w:w="1872"/>
            <w:vAlign w:val="center"/>
            <w:tcMar>
              <w:top w:w="80" w:type="dxa"/>
              <w:start w:w="120" w:type="dxa"/>
              <w:bottom w:w="80" w:type="dxa"/>
              <w:end w:w="120" w:type="dxa"/>
            </w:tcMar>
          </w:tcPr>
          <w:p>
            <w:pPr>
              <w:spacing w:after="0"/>
            </w:pPr>
            <w:r>
              <w:rPr>
                <w:rFonts w:ascii="Calibri" w:hAnsi="Calibri"/>
                <w:sz w:val="18"/>
              </w:rPr>
              <w:t>0.900</w:t>
            </w:r>
          </w:p>
        </w:tc>
        <w:tc>
          <w:tcPr>
            <w:tcW w:type="dxa" w:w="1872"/>
            <w:vAlign w:val="center"/>
            <w:tcMar>
              <w:top w:w="80" w:type="dxa"/>
              <w:start w:w="120" w:type="dxa"/>
              <w:bottom w:w="80" w:type="dxa"/>
              <w:end w:w="120" w:type="dxa"/>
            </w:tcMar>
          </w:tcPr>
          <w:p>
            <w:pPr>
              <w:spacing w:after="0"/>
            </w:pPr>
            <w:r>
              <w:rPr>
                <w:rFonts w:ascii="Calibri" w:hAnsi="Calibri"/>
                <w:sz w:val="18"/>
              </w:rPr>
              <w:t>0.738</w:t>
            </w:r>
          </w:p>
        </w:tc>
        <w:tc>
          <w:tcPr>
            <w:tcW w:type="dxa" w:w="1872"/>
            <w:vAlign w:val="center"/>
            <w:tcMar>
              <w:top w:w="80" w:type="dxa"/>
              <w:start w:w="120" w:type="dxa"/>
              <w:bottom w:w="80" w:type="dxa"/>
              <w:end w:w="120" w:type="dxa"/>
            </w:tcMar>
          </w:tcPr>
          <w:p>
            <w:pPr>
              <w:spacing w:after="0"/>
            </w:pPr>
            <w:r>
              <w:rPr>
                <w:rFonts w:ascii="Calibri" w:hAnsi="Calibri"/>
                <w:sz w:val="18"/>
              </w:rPr>
              <w:t>0.776</w:t>
            </w:r>
          </w:p>
        </w:tc>
      </w:tr>
      <w:tr>
        <w:tc>
          <w:tcPr>
            <w:tcW w:type="dxa" w:w="1872"/>
            <w:vAlign w:val="center"/>
            <w:tcMar>
              <w:top w:w="80" w:type="dxa"/>
              <w:start w:w="120" w:type="dxa"/>
              <w:bottom w:w="80" w:type="dxa"/>
              <w:end w:w="120" w:type="dxa"/>
            </w:tcMar>
          </w:tcPr>
          <w:p>
            <w:pPr>
              <w:spacing w:after="0"/>
            </w:pPr>
            <w:r>
              <w:rPr>
                <w:rFonts w:ascii="Calibri" w:hAnsi="Calibri"/>
                <w:sz w:val="18"/>
              </w:rPr>
              <w:t>Smoke fine-tuned model, 64 triples</w:t>
            </w:r>
          </w:p>
        </w:tc>
        <w:tc>
          <w:tcPr>
            <w:tcW w:type="dxa" w:w="1872"/>
            <w:vAlign w:val="center"/>
            <w:tcMar>
              <w:top w:w="80" w:type="dxa"/>
              <w:start w:w="120" w:type="dxa"/>
              <w:bottom w:w="80" w:type="dxa"/>
              <w:end w:w="120" w:type="dxa"/>
            </w:tcMar>
          </w:tcPr>
          <w:p>
            <w:pPr>
              <w:spacing w:after="0"/>
            </w:pPr>
            <w:r>
              <w:rPr>
                <w:rFonts w:ascii="Calibri" w:hAnsi="Calibri"/>
                <w:sz w:val="18"/>
              </w:rPr>
              <w:t>0.840</w:t>
            </w:r>
          </w:p>
        </w:tc>
        <w:tc>
          <w:tcPr>
            <w:tcW w:type="dxa" w:w="1872"/>
            <w:vAlign w:val="center"/>
            <w:tcMar>
              <w:top w:w="80" w:type="dxa"/>
              <w:start w:w="120" w:type="dxa"/>
              <w:bottom w:w="80" w:type="dxa"/>
              <w:end w:w="120" w:type="dxa"/>
            </w:tcMar>
          </w:tcPr>
          <w:p>
            <w:pPr>
              <w:spacing w:after="0"/>
            </w:pPr>
            <w:r>
              <w:rPr>
                <w:rFonts w:ascii="Calibri" w:hAnsi="Calibri"/>
                <w:sz w:val="18"/>
              </w:rPr>
              <w:t>0.880</w:t>
            </w:r>
          </w:p>
        </w:tc>
        <w:tc>
          <w:tcPr>
            <w:tcW w:type="dxa" w:w="1872"/>
            <w:vAlign w:val="center"/>
            <w:tcMar>
              <w:top w:w="80" w:type="dxa"/>
              <w:start w:w="120" w:type="dxa"/>
              <w:bottom w:w="80" w:type="dxa"/>
              <w:end w:w="120" w:type="dxa"/>
            </w:tcMar>
          </w:tcPr>
          <w:p>
            <w:pPr>
              <w:spacing w:after="0"/>
            </w:pPr>
            <w:r>
              <w:rPr>
                <w:rFonts w:ascii="Calibri" w:hAnsi="Calibri"/>
                <w:sz w:val="18"/>
              </w:rPr>
              <w:t>0.725</w:t>
            </w:r>
          </w:p>
        </w:tc>
        <w:tc>
          <w:tcPr>
            <w:tcW w:type="dxa" w:w="1872"/>
            <w:vAlign w:val="center"/>
            <w:tcMar>
              <w:top w:w="80" w:type="dxa"/>
              <w:start w:w="120" w:type="dxa"/>
              <w:bottom w:w="80" w:type="dxa"/>
              <w:end w:w="120" w:type="dxa"/>
            </w:tcMar>
          </w:tcPr>
          <w:p>
            <w:pPr>
              <w:spacing w:after="0"/>
            </w:pPr>
            <w:r>
              <w:rPr>
                <w:rFonts w:ascii="Calibri" w:hAnsi="Calibri"/>
                <w:sz w:val="18"/>
              </w:rPr>
              <w:t>0.762</w:t>
            </w:r>
          </w:p>
        </w:tc>
      </w:tr>
    </w:tbl>
    <w:p/>
    <w:p>
      <w:r>
        <w:t>The smoke run confirmed that the training pipeline works end to end.</w:t>
      </w:r>
    </w:p>
    <w:p>
      <w:r>
        <w:t>A full CPU fine-tuning run was then executed using all 2,059 embedding triples. The local PyTorch installation did not expose a CUDA device, so the run used `batch_size=4`, `max_seq_length=256`, and one epoch. Training took 2,471 seconds and reached training loss 3.257.</w:t>
      </w:r>
    </w:p>
    <w:p>
      <w:r>
        <w:t>Full benchmark evaluation: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Dense model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Recall@5</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Recall@10</w:t>
            </w:r>
          </w:p>
        </w:tc>
        <w:tc>
          <w:tcPr>
            <w:tcW w:type="dxa" w:w="1872"/>
            <w:vAlign w:val="center"/>
            <w:tcMar>
              <w:top w:w="80" w:type="dxa"/>
              <w:start w:w="120" w:type="dxa"/>
              <w:bottom w:w="80" w:type="dxa"/>
              <w:end w:w="120" w:type="dxa"/>
            </w:tcMar>
            <w:shd w:fill="F2F4F7"/>
          </w:tcPr>
          <w:p>
            <w:pPr>
              <w:spacing w:after="0"/>
            </w:pPr>
            <w:r>
              <w:rPr>
                <w:rFonts w:ascii="Calibri" w:hAnsi="Calibri"/>
                <w:b/>
                <w:sz w:val="18"/>
              </w:rPr>
              <w:t>MRR</w:t>
            </w:r>
          </w:p>
        </w:tc>
        <w:tc>
          <w:tcPr>
            <w:tcW w:type="dxa" w:w="1872"/>
            <w:vAlign w:val="center"/>
            <w:tcMar>
              <w:top w:w="80" w:type="dxa"/>
              <w:start w:w="120" w:type="dxa"/>
              <w:bottom w:w="80" w:type="dxa"/>
              <w:end w:w="120" w:type="dxa"/>
            </w:tcMar>
            <w:shd w:fill="F2F4F7"/>
          </w:tcPr>
          <w:p>
            <w:pPr>
              <w:spacing w:after="0"/>
            </w:pPr>
            <w:r>
              <w:rPr>
                <w:rFonts w:ascii="Calibri" w:hAnsi="Calibri"/>
                <w:b/>
                <w:sz w:val="18"/>
              </w:rPr>
              <w:t>nDCG@10</w:t>
            </w:r>
          </w:p>
        </w:tc>
      </w:tr>
      <w:tr>
        <w:tc>
          <w:tcPr>
            <w:tcW w:type="dxa" w:w="1872"/>
            <w:vAlign w:val="center"/>
            <w:tcMar>
              <w:top w:w="80" w:type="dxa"/>
              <w:start w:w="120" w:type="dxa"/>
              <w:bottom w:w="80" w:type="dxa"/>
              <w:end w:w="120" w:type="dxa"/>
            </w:tcMar>
          </w:tcPr>
          <w:p>
            <w:pPr>
              <w:spacing w:after="0"/>
            </w:pPr>
            <w:r>
              <w:rPr>
                <w:rFonts w:ascii="Calibri" w:hAnsi="Calibri"/>
                <w:sz w:val="18"/>
              </w:rPr>
              <w:t>Base multilingual MiniLM</w:t>
            </w:r>
          </w:p>
        </w:tc>
        <w:tc>
          <w:tcPr>
            <w:tcW w:type="dxa" w:w="1872"/>
            <w:vAlign w:val="center"/>
            <w:tcMar>
              <w:top w:w="80" w:type="dxa"/>
              <w:start w:w="120" w:type="dxa"/>
              <w:bottom w:w="80" w:type="dxa"/>
              <w:end w:w="120" w:type="dxa"/>
            </w:tcMar>
          </w:tcPr>
          <w:p>
            <w:pPr>
              <w:spacing w:after="0"/>
            </w:pPr>
            <w:r>
              <w:rPr>
                <w:rFonts w:ascii="Calibri" w:hAnsi="Calibri"/>
                <w:sz w:val="18"/>
              </w:rPr>
              <w:t>0.613</w:t>
            </w:r>
          </w:p>
        </w:tc>
        <w:tc>
          <w:tcPr>
            <w:tcW w:type="dxa" w:w="1872"/>
            <w:vAlign w:val="center"/>
            <w:tcMar>
              <w:top w:w="80" w:type="dxa"/>
              <w:start w:w="120" w:type="dxa"/>
              <w:bottom w:w="80" w:type="dxa"/>
              <w:end w:w="120" w:type="dxa"/>
            </w:tcMar>
          </w:tcPr>
          <w:p>
            <w:pPr>
              <w:spacing w:after="0"/>
            </w:pPr>
            <w:r>
              <w:rPr>
                <w:rFonts w:ascii="Calibri" w:hAnsi="Calibri"/>
                <w:sz w:val="18"/>
              </w:rPr>
              <w:t>0.676</w:t>
            </w:r>
          </w:p>
        </w:tc>
        <w:tc>
          <w:tcPr>
            <w:tcW w:type="dxa" w:w="1872"/>
            <w:vAlign w:val="center"/>
            <w:tcMar>
              <w:top w:w="80" w:type="dxa"/>
              <w:start w:w="120" w:type="dxa"/>
              <w:bottom w:w="80" w:type="dxa"/>
              <w:end w:w="120" w:type="dxa"/>
            </w:tcMar>
          </w:tcPr>
          <w:p>
            <w:pPr>
              <w:spacing w:after="0"/>
            </w:pPr>
            <w:r>
              <w:rPr>
                <w:rFonts w:ascii="Calibri" w:hAnsi="Calibri"/>
                <w:sz w:val="18"/>
              </w:rPr>
              <w:t>0.518</w:t>
            </w:r>
          </w:p>
        </w:tc>
        <w:tc>
          <w:tcPr>
            <w:tcW w:type="dxa" w:w="1872"/>
            <w:vAlign w:val="center"/>
            <w:tcMar>
              <w:top w:w="80" w:type="dxa"/>
              <w:start w:w="120" w:type="dxa"/>
              <w:bottom w:w="80" w:type="dxa"/>
              <w:end w:w="120" w:type="dxa"/>
            </w:tcMar>
          </w:tcPr>
          <w:p>
            <w:pPr>
              <w:spacing w:after="0"/>
            </w:pPr>
            <w:r>
              <w:rPr>
                <w:rFonts w:ascii="Calibri" w:hAnsi="Calibri"/>
                <w:sz w:val="18"/>
              </w:rPr>
              <w:t>0.556</w:t>
            </w:r>
          </w:p>
        </w:tc>
      </w:tr>
      <w:tr>
        <w:tc>
          <w:tcPr>
            <w:tcW w:type="dxa" w:w="1872"/>
            <w:vAlign w:val="center"/>
            <w:tcMar>
              <w:top w:w="80" w:type="dxa"/>
              <w:start w:w="120" w:type="dxa"/>
              <w:bottom w:w="80" w:type="dxa"/>
              <w:end w:w="120" w:type="dxa"/>
            </w:tcMar>
          </w:tcPr>
          <w:p>
            <w:pPr>
              <w:spacing w:after="0"/>
            </w:pPr>
            <w:r>
              <w:rPr>
                <w:rFonts w:ascii="Calibri" w:hAnsi="Calibri"/>
                <w:sz w:val="18"/>
              </w:rPr>
              <w:t>CPU triplet fine-tuned model</w:t>
            </w:r>
          </w:p>
        </w:tc>
        <w:tc>
          <w:tcPr>
            <w:tcW w:type="dxa" w:w="1872"/>
            <w:vAlign w:val="center"/>
            <w:tcMar>
              <w:top w:w="80" w:type="dxa"/>
              <w:start w:w="120" w:type="dxa"/>
              <w:bottom w:w="80" w:type="dxa"/>
              <w:end w:w="120" w:type="dxa"/>
            </w:tcMar>
          </w:tcPr>
          <w:p>
            <w:pPr>
              <w:spacing w:after="0"/>
            </w:pPr>
            <w:r>
              <w:rPr>
                <w:rFonts w:ascii="Calibri" w:hAnsi="Calibri"/>
                <w:sz w:val="18"/>
              </w:rPr>
              <w:t>0.539</w:t>
            </w:r>
          </w:p>
        </w:tc>
        <w:tc>
          <w:tcPr>
            <w:tcW w:type="dxa" w:w="1872"/>
            <w:vAlign w:val="center"/>
            <w:tcMar>
              <w:top w:w="80" w:type="dxa"/>
              <w:start w:w="120" w:type="dxa"/>
              <w:bottom w:w="80" w:type="dxa"/>
              <w:end w:w="120" w:type="dxa"/>
            </w:tcMar>
          </w:tcPr>
          <w:p>
            <w:pPr>
              <w:spacing w:after="0"/>
            </w:pPr>
            <w:r>
              <w:rPr>
                <w:rFonts w:ascii="Calibri" w:hAnsi="Calibri"/>
                <w:sz w:val="18"/>
              </w:rPr>
              <w:t>0.591</w:t>
            </w:r>
          </w:p>
        </w:tc>
        <w:tc>
          <w:tcPr>
            <w:tcW w:type="dxa" w:w="1872"/>
            <w:vAlign w:val="center"/>
            <w:tcMar>
              <w:top w:w="80" w:type="dxa"/>
              <w:start w:w="120" w:type="dxa"/>
              <w:bottom w:w="80" w:type="dxa"/>
              <w:end w:w="120" w:type="dxa"/>
            </w:tcMar>
          </w:tcPr>
          <w:p>
            <w:pPr>
              <w:spacing w:after="0"/>
            </w:pPr>
            <w:r>
              <w:rPr>
                <w:rFonts w:ascii="Calibri" w:hAnsi="Calibri"/>
                <w:sz w:val="18"/>
              </w:rPr>
              <w:t>0.456</w:t>
            </w:r>
          </w:p>
        </w:tc>
        <w:tc>
          <w:tcPr>
            <w:tcW w:type="dxa" w:w="1872"/>
            <w:vAlign w:val="center"/>
            <w:tcMar>
              <w:top w:w="80" w:type="dxa"/>
              <w:start w:w="120" w:type="dxa"/>
              <w:bottom w:w="80" w:type="dxa"/>
              <w:end w:w="120" w:type="dxa"/>
            </w:tcMar>
          </w:tcPr>
          <w:p>
            <w:pPr>
              <w:spacing w:after="0"/>
            </w:pPr>
            <w:r>
              <w:rPr>
                <w:rFonts w:ascii="Calibri" w:hAnsi="Calibri"/>
                <w:sz w:val="18"/>
              </w:rPr>
              <w:t>0.488</w:t>
            </w:r>
          </w:p>
        </w:tc>
      </w:tr>
    </w:tbl>
    <w:p/>
    <w:p>
      <w:r>
        <w:t>The full CPU fine-tuning run degraded dense retrieval quality. This is an important ablation result: fine-tuning is not automatically beneficial, especially when the base model, negative sampling, objective, sequence length, and validation strategy are not tuned for Turkish legal retrieval. Therefore, the final demo system keeps BM25 as the primary retriever.</w:t>
      </w:r>
    </w:p>
    <w:p>
      <w:pPr>
        <w:pStyle w:val="Heading2"/>
      </w:pPr>
      <w:r>
        <w:t>6.4 QA and Grounding Evaluation</w:t>
      </w:r>
    </w:p>
    <w:p>
      <w:r>
        <w:t>The current QA baseline retrieves top-5 chunks with BM25 and returns an extractive source-grounded answer from the top-1 chunk.</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F2F4F7"/>
          </w:tcPr>
          <w:p>
            <w:pPr>
              <w:spacing w:after="0"/>
            </w:pPr>
            <w:r>
              <w:rPr>
                <w:rFonts w:ascii="Calibri" w:hAnsi="Calibri"/>
                <w:b/>
                <w:sz w:val="18"/>
              </w:rPr>
              <w:t>System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EM</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17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Top-1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Top-5 Source Hit</w:t>
            </w:r>
          </w:p>
        </w:tc>
        <w:tc>
          <w:tcPr>
            <w:tcW w:type="dxa" w:w="117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17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170"/>
            <w:vAlign w:val="center"/>
            <w:tcMar>
              <w:top w:w="80" w:type="dxa"/>
              <w:start w:w="120" w:type="dxa"/>
              <w:bottom w:w="80" w:type="dxa"/>
              <w:end w:w="120" w:type="dxa"/>
            </w:tcMar>
          </w:tcPr>
          <w:p>
            <w:pPr>
              <w:spacing w:after="0"/>
            </w:pPr>
            <w:r>
              <w:rPr>
                <w:rFonts w:ascii="Calibri" w:hAnsi="Calibri"/>
                <w:sz w:val="18"/>
              </w:rPr>
              <w:t>BM25 + extractive answer</w:t>
            </w:r>
          </w:p>
        </w:tc>
        <w:tc>
          <w:tcPr>
            <w:tcW w:type="dxa" w:w="1170"/>
            <w:vAlign w:val="center"/>
            <w:tcMar>
              <w:top w:w="80" w:type="dxa"/>
              <w:start w:w="120" w:type="dxa"/>
              <w:bottom w:w="80" w:type="dxa"/>
              <w:end w:w="120" w:type="dxa"/>
            </w:tcMar>
          </w:tcPr>
          <w:p>
            <w:pPr>
              <w:spacing w:after="0"/>
            </w:pPr>
            <w:r>
              <w:rPr>
                <w:rFonts w:ascii="Calibri" w:hAnsi="Calibri"/>
                <w:sz w:val="18"/>
              </w:rPr>
              <w:t>0.363</w:t>
            </w:r>
          </w:p>
        </w:tc>
        <w:tc>
          <w:tcPr>
            <w:tcW w:type="dxa" w:w="1170"/>
            <w:vAlign w:val="center"/>
            <w:tcMar>
              <w:top w:w="80" w:type="dxa"/>
              <w:start w:w="120" w:type="dxa"/>
              <w:bottom w:w="80" w:type="dxa"/>
              <w:end w:w="120" w:type="dxa"/>
            </w:tcMar>
          </w:tcPr>
          <w:p>
            <w:pPr>
              <w:spacing w:after="0"/>
            </w:pPr>
            <w:r>
              <w:rPr>
                <w:rFonts w:ascii="Calibri" w:hAnsi="Calibri"/>
                <w:sz w:val="18"/>
              </w:rPr>
              <w:t>0.799</w:t>
            </w:r>
          </w:p>
        </w:tc>
        <w:tc>
          <w:tcPr>
            <w:tcW w:type="dxa" w:w="1170"/>
            <w:vAlign w:val="center"/>
            <w:tcMar>
              <w:top w:w="80" w:type="dxa"/>
              <w:start w:w="120" w:type="dxa"/>
              <w:bottom w:w="80" w:type="dxa"/>
              <w:end w:w="120" w:type="dxa"/>
            </w:tcMar>
          </w:tcPr>
          <w:p>
            <w:pPr>
              <w:spacing w:after="0"/>
            </w:pPr>
            <w:r>
              <w:rPr>
                <w:rFonts w:ascii="Calibri" w:hAnsi="Calibri"/>
                <w:sz w:val="18"/>
              </w:rPr>
              <w:t>0.793</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0.908</w:t>
            </w:r>
          </w:p>
        </w:tc>
        <w:tc>
          <w:tcPr>
            <w:tcW w:type="dxa" w:w="1170"/>
            <w:vAlign w:val="center"/>
            <w:tcMar>
              <w:top w:w="80" w:type="dxa"/>
              <w:start w:w="120" w:type="dxa"/>
              <w:bottom w:w="80" w:type="dxa"/>
              <w:end w:w="120" w:type="dxa"/>
            </w:tcMar>
          </w:tcPr>
          <w:p>
            <w:pPr>
              <w:spacing w:after="0"/>
            </w:pPr>
            <w:r>
              <w:rPr>
                <w:rFonts w:ascii="Calibri" w:hAnsi="Calibri"/>
                <w:sz w:val="18"/>
              </w:rPr>
              <w:t>0.813</w:t>
            </w:r>
          </w:p>
        </w:tc>
        <w:tc>
          <w:tcPr>
            <w:tcW w:type="dxa" w:w="1170"/>
            <w:vAlign w:val="center"/>
            <w:tcMar>
              <w:top w:w="80" w:type="dxa"/>
              <w:start w:w="120" w:type="dxa"/>
              <w:bottom w:w="80" w:type="dxa"/>
              <w:end w:w="120" w:type="dxa"/>
            </w:tcMar>
          </w:tcPr>
          <w:p>
            <w:pPr>
              <w:spacing w:after="0"/>
            </w:pPr>
            <w:r>
              <w:rPr>
                <w:rFonts w:ascii="Calibri" w:hAnsi="Calibri"/>
                <w:sz w:val="18"/>
              </w:rPr>
              <w:t>0.961</w:t>
            </w:r>
          </w:p>
        </w:tc>
      </w:tr>
    </w:tbl>
    <w:p/>
    <w:p>
      <w:r>
        <w:t>The faithfulness proxy is high because the baseline answer is extractive and directly uses retrieved source text. However, answer quality and citation accuracy are limited by whether the correct source is ranked first.</w:t>
      </w:r>
    </w:p>
    <w:p>
      <w:pPr>
        <w:pStyle w:val="Heading2"/>
      </w:pPr>
      <w:r>
        <w:t>6.5 LLM/NLI Judge Faithfulness</w:t>
      </w:r>
    </w:p>
    <w:p>
      <w:r>
        <w:t>To add a semantic grounding check beyond token overlap, a judge-based faithfulness evaluator was implemented in `scripts/evaluate_llm_judge.py`. The script supports an optional API-based LLM judge, a local FLAN-T5 judge, and a local multilingual NLI judge. Because no API key was available and FLAN-T5-small was unreliable for Turkish legal text, the final run used:</w:t>
      </w:r>
    </w:p>
    <w:p>
      <w:pPr>
        <w:pStyle w:val="NoSpacing"/>
      </w:pPr>
      <w:r>
        <w:rPr>
          <w:rFonts w:ascii="Consolas" w:hAnsi="Consolas"/>
          <w:sz w:val="18"/>
        </w:rPr>
        <w:t>MoritzLaurer/multilingual-MiniLMv2-L6-mnli-xnli</w:t>
      </w:r>
    </w:p>
    <w:p>
      <w:r>
        <w:t>The judge compares each generated answer against the top retrieved source text and predicts whether the answer is entailed by that source.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Judge</w:t>
            </w:r>
          </w:p>
        </w:tc>
        <w:tc>
          <w:tcPr>
            <w:tcW w:type="dxa" w:w="1872"/>
            <w:vAlign w:val="center"/>
            <w:tcMar>
              <w:top w:w="80" w:type="dxa"/>
              <w:start w:w="120" w:type="dxa"/>
              <w:bottom w:w="80" w:type="dxa"/>
              <w:end w:w="120" w:type="dxa"/>
            </w:tcMar>
            <w:shd w:fill="F2F4F7"/>
          </w:tcPr>
          <w:p>
            <w:pPr>
              <w:spacing w:after="0"/>
            </w:pPr>
            <w:r>
              <w:rPr>
                <w:rFonts w:ascii="Calibri" w:hAnsi="Calibri"/>
                <w:b/>
                <w:sz w:val="18"/>
              </w:rPr>
              <w:t>Examples</w:t>
            </w:r>
          </w:p>
        </w:tc>
        <w:tc>
          <w:tcPr>
            <w:tcW w:type="dxa" w:w="1872"/>
            <w:vAlign w:val="center"/>
            <w:tcMar>
              <w:top w:w="80" w:type="dxa"/>
              <w:start w:w="120" w:type="dxa"/>
              <w:bottom w:w="80" w:type="dxa"/>
              <w:end w:w="120" w:type="dxa"/>
            </w:tcMar>
            <w:shd w:fill="F2F4F7"/>
          </w:tcPr>
          <w:p>
            <w:pPr>
              <w:spacing w:after="0"/>
            </w:pPr>
            <w:r>
              <w:rPr>
                <w:rFonts w:ascii="Calibri" w:hAnsi="Calibri"/>
                <w:b/>
                <w:sz w:val="18"/>
              </w:rPr>
              <w:t>Supported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Rejected</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w:t>
            </w:r>
          </w:p>
        </w:tc>
      </w:tr>
      <w:tr>
        <w:tc>
          <w:tcPr>
            <w:tcW w:type="dxa" w:w="1872"/>
            <w:vAlign w:val="center"/>
            <w:tcMar>
              <w:top w:w="80" w:type="dxa"/>
              <w:start w:w="120" w:type="dxa"/>
              <w:bottom w:w="80" w:type="dxa"/>
              <w:end w:w="120" w:type="dxa"/>
            </w:tcMar>
          </w:tcPr>
          <w:p>
            <w:pPr>
              <w:spacing w:after="0"/>
            </w:pPr>
            <w:r>
              <w:rPr>
                <w:rFonts w:ascii="Calibri" w:hAnsi="Calibri"/>
                <w:sz w:val="18"/>
              </w:rPr>
              <w:t>Multilingual NLI judge</w:t>
            </w:r>
          </w:p>
        </w:tc>
        <w:tc>
          <w:tcPr>
            <w:tcW w:type="dxa" w:w="1872"/>
            <w:vAlign w:val="center"/>
            <w:tcMar>
              <w:top w:w="80" w:type="dxa"/>
              <w:start w:w="120" w:type="dxa"/>
              <w:bottom w:w="80" w:type="dxa"/>
              <w:end w:w="120" w:type="dxa"/>
            </w:tcMar>
          </w:tcPr>
          <w:p>
            <w:pPr>
              <w:spacing w:after="0"/>
            </w:pPr>
            <w:r>
              <w:rPr>
                <w:rFonts w:ascii="Calibri" w:hAnsi="Calibri"/>
                <w:sz w:val="18"/>
              </w:rPr>
              <w:t>240</w:t>
            </w:r>
          </w:p>
        </w:tc>
        <w:tc>
          <w:tcPr>
            <w:tcW w:type="dxa" w:w="1872"/>
            <w:vAlign w:val="center"/>
            <w:tcMar>
              <w:top w:w="80" w:type="dxa"/>
              <w:start w:w="120" w:type="dxa"/>
              <w:bottom w:w="80" w:type="dxa"/>
              <w:end w:w="120" w:type="dxa"/>
            </w:tcMar>
          </w:tcPr>
          <w:p>
            <w:pPr>
              <w:spacing w:after="0"/>
            </w:pPr>
            <w:r>
              <w:rPr>
                <w:rFonts w:ascii="Calibri" w:hAnsi="Calibri"/>
                <w:sz w:val="18"/>
              </w:rPr>
              <w:t>206</w:t>
            </w:r>
          </w:p>
        </w:tc>
        <w:tc>
          <w:tcPr>
            <w:tcW w:type="dxa" w:w="1872"/>
            <w:vAlign w:val="center"/>
            <w:tcMar>
              <w:top w:w="80" w:type="dxa"/>
              <w:start w:w="120" w:type="dxa"/>
              <w:bottom w:w="80" w:type="dxa"/>
              <w:end w:w="120" w:type="dxa"/>
            </w:tcMar>
          </w:tcPr>
          <w:p>
            <w:pPr>
              <w:spacing w:after="0"/>
            </w:pPr>
            <w:r>
              <w:rPr>
                <w:rFonts w:ascii="Calibri" w:hAnsi="Calibri"/>
                <w:sz w:val="18"/>
              </w:rPr>
              <w:t>34</w:t>
            </w:r>
          </w:p>
        </w:tc>
        <w:tc>
          <w:tcPr>
            <w:tcW w:type="dxa" w:w="1872"/>
            <w:vAlign w:val="center"/>
            <w:tcMar>
              <w:top w:w="80" w:type="dxa"/>
              <w:start w:w="120" w:type="dxa"/>
              <w:bottom w:w="80" w:type="dxa"/>
              <w:end w:w="120" w:type="dxa"/>
            </w:tcMar>
          </w:tcPr>
          <w:p>
            <w:pPr>
              <w:spacing w:after="0"/>
            </w:pPr>
            <w:r>
              <w:rPr>
                <w:rFonts w:ascii="Calibri" w:hAnsi="Calibri"/>
                <w:sz w:val="18"/>
              </w:rPr>
              <w:t>0.858</w:t>
            </w:r>
          </w:p>
        </w:tc>
      </w:tr>
    </w:tbl>
    <w:p/>
    <w:p>
      <w:r>
        <w:t>The judge score is lower than the lexical proxy, which is expected because semantic entailment is stricter than token overlap. It still indicates that most generated answers are grounded in the retrieved source.</w:t>
      </w:r>
    </w:p>
    <w:p>
      <w:pPr>
        <w:pStyle w:val="Heading2"/>
      </w:pPr>
      <w:r>
        <w:t>6.6 LLM/SFT Smoke Experiment</w:t>
      </w:r>
    </w:p>
    <w:p>
      <w:r>
        <w:t>The dataset includes 13,758 source-grounded instruction-tuning examples in `llm.jsonl`. A CPU-safe seq2seq fine-tuning script was added in `scripts/train_seq2seq_generator.py` to verify that the LLM training path works end to end.</w:t>
      </w:r>
    </w:p>
    <w:p>
      <w:r>
        <w:t>The smoke run used `google/flan-t5-small` with 512 examples, one epoch, batch size 2, gradient accumulation 8, max input length 512, and max target length 160. It trained 448 examples and evaluated on 64 examples.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Model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examples</w:t>
            </w:r>
          </w:p>
        </w:tc>
        <w:tc>
          <w:tcPr>
            <w:tcW w:type="dxa" w:w="1560"/>
            <w:vAlign w:val="center"/>
            <w:tcMar>
              <w:top w:w="80" w:type="dxa"/>
              <w:start w:w="120" w:type="dxa"/>
              <w:bottom w:w="80" w:type="dxa"/>
              <w:end w:w="120" w:type="dxa"/>
            </w:tcMar>
            <w:shd w:fill="F2F4F7"/>
          </w:tcPr>
          <w:p>
            <w:pPr>
              <w:spacing w:after="0"/>
            </w:pPr>
            <w:r>
              <w:rPr>
                <w:rFonts w:ascii="Calibri" w:hAnsi="Calibri"/>
                <w:b/>
                <w:sz w:val="18"/>
              </w:rPr>
              <w:t>Runtime</w:t>
            </w:r>
          </w:p>
        </w:tc>
        <w:tc>
          <w:tcPr>
            <w:tcW w:type="dxa" w:w="1560"/>
            <w:vAlign w:val="center"/>
            <w:tcMar>
              <w:top w:w="80" w:type="dxa"/>
              <w:start w:w="120" w:type="dxa"/>
              <w:bottom w:w="80" w:type="dxa"/>
              <w:end w:w="120" w:type="dxa"/>
            </w:tcMar>
            <w:shd w:fill="F2F4F7"/>
          </w:tcPr>
          <w:p>
            <w:pPr>
              <w:spacing w:after="0"/>
            </w:pPr>
            <w:r>
              <w:rPr>
                <w:rFonts w:ascii="Calibri" w:hAnsi="Calibri"/>
                <w:b/>
                <w:sz w:val="18"/>
              </w:rPr>
              <w:t>Train loss</w:t>
            </w:r>
          </w:p>
        </w:tc>
        <w:tc>
          <w:tcPr>
            <w:tcW w:type="dxa" w:w="1560"/>
            <w:vAlign w:val="center"/>
            <w:tcMar>
              <w:top w:w="80" w:type="dxa"/>
              <w:start w:w="120" w:type="dxa"/>
              <w:bottom w:w="80" w:type="dxa"/>
              <w:end w:w="120" w:type="dxa"/>
            </w:tcMar>
            <w:shd w:fill="F2F4F7"/>
          </w:tcPr>
          <w:p>
            <w:pPr>
              <w:spacing w:after="0"/>
            </w:pPr>
            <w:r>
              <w:rPr>
                <w:rFonts w:ascii="Calibri" w:hAnsi="Calibri"/>
                <w:b/>
                <w:sz w:val="18"/>
              </w:rPr>
              <w:t>Eval loss</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448</w:t>
            </w:r>
          </w:p>
        </w:tc>
        <w:tc>
          <w:tcPr>
            <w:tcW w:type="dxa" w:w="1560"/>
            <w:vAlign w:val="center"/>
            <w:tcMar>
              <w:top w:w="80" w:type="dxa"/>
              <w:start w:w="120" w:type="dxa"/>
              <w:bottom w:w="80" w:type="dxa"/>
              <w:end w:w="120" w:type="dxa"/>
            </w:tcMar>
          </w:tcPr>
          <w:p>
            <w:pPr>
              <w:spacing w:after="0"/>
            </w:pPr>
            <w:r>
              <w:rPr>
                <w:rFonts w:ascii="Calibri" w:hAnsi="Calibri"/>
                <w:sz w:val="18"/>
              </w:rPr>
              <w:t>64</w:t>
            </w:r>
          </w:p>
        </w:tc>
        <w:tc>
          <w:tcPr>
            <w:tcW w:type="dxa" w:w="1560"/>
            <w:vAlign w:val="center"/>
            <w:tcMar>
              <w:top w:w="80" w:type="dxa"/>
              <w:start w:w="120" w:type="dxa"/>
              <w:bottom w:w="80" w:type="dxa"/>
              <w:end w:w="120" w:type="dxa"/>
            </w:tcMar>
          </w:tcPr>
          <w:p>
            <w:pPr>
              <w:spacing w:after="0"/>
            </w:pPr>
            <w:r>
              <w:rPr>
                <w:rFonts w:ascii="Calibri" w:hAnsi="Calibri"/>
                <w:sz w:val="18"/>
              </w:rPr>
              <w:t>629 sec</w:t>
            </w:r>
          </w:p>
        </w:tc>
        <w:tc>
          <w:tcPr>
            <w:tcW w:type="dxa" w:w="1560"/>
            <w:vAlign w:val="center"/>
            <w:tcMar>
              <w:top w:w="80" w:type="dxa"/>
              <w:start w:w="120" w:type="dxa"/>
              <w:bottom w:w="80" w:type="dxa"/>
              <w:end w:w="120" w:type="dxa"/>
            </w:tcMar>
          </w:tcPr>
          <w:p>
            <w:pPr>
              <w:spacing w:after="0"/>
            </w:pPr>
            <w:r>
              <w:rPr>
                <w:rFonts w:ascii="Calibri" w:hAnsi="Calibri"/>
                <w:sz w:val="18"/>
              </w:rPr>
              <w:t>7.368</w:t>
            </w:r>
          </w:p>
        </w:tc>
        <w:tc>
          <w:tcPr>
            <w:tcW w:type="dxa" w:w="1560"/>
            <w:vAlign w:val="center"/>
            <w:tcMar>
              <w:top w:w="80" w:type="dxa"/>
              <w:start w:w="120" w:type="dxa"/>
              <w:bottom w:w="80" w:type="dxa"/>
              <w:end w:w="120" w:type="dxa"/>
            </w:tcMar>
          </w:tcPr>
          <w:p>
            <w:pPr>
              <w:spacing w:after="0"/>
            </w:pPr>
            <w:r>
              <w:rPr>
                <w:rFonts w:ascii="Calibri" w:hAnsi="Calibri"/>
                <w:sz w:val="18"/>
              </w:rPr>
              <w:t>0.514</w:t>
            </w:r>
          </w:p>
        </w:tc>
      </w:tr>
    </w:tbl>
    <w:p/>
    <w:p>
      <w:r>
        <w:t>The fine-tuned smoke generator was then evaluated on 20 gold QA examples with BM25 retrieval:</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F2F4F7"/>
          </w:tcPr>
          <w:p>
            <w:pPr>
              <w:spacing w:after="0"/>
            </w:pPr>
            <w:r>
              <w:rPr>
                <w:rFonts w:ascii="Calibri" w:hAnsi="Calibri"/>
                <w:b/>
                <w:sz w:val="18"/>
              </w:rPr>
              <w:t>Generator</w:t>
            </w:r>
          </w:p>
        </w:tc>
        <w:tc>
          <w:tcPr>
            <w:tcW w:type="dxa" w:w="1560"/>
            <w:vAlign w:val="center"/>
            <w:tcMar>
              <w:top w:w="80" w:type="dxa"/>
              <w:start w:w="120" w:type="dxa"/>
              <w:bottom w:w="80" w:type="dxa"/>
              <w:end w:w="120" w:type="dxa"/>
            </w:tcMar>
            <w:shd w:fill="F2F4F7"/>
          </w:tcPr>
          <w:p>
            <w:pPr>
              <w:spacing w:after="0"/>
            </w:pPr>
            <w:r>
              <w:rPr>
                <w:rFonts w:ascii="Calibri" w:hAnsi="Calibri"/>
                <w:b/>
                <w:sz w:val="18"/>
              </w:rPr>
              <w:t>EM</w:t>
            </w:r>
          </w:p>
        </w:tc>
        <w:tc>
          <w:tcPr>
            <w:tcW w:type="dxa" w:w="1560"/>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560"/>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560"/>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560"/>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560"/>
            <w:vAlign w:val="center"/>
            <w:tcMar>
              <w:top w:w="80" w:type="dxa"/>
              <w:start w:w="120" w:type="dxa"/>
              <w:bottom w:w="80" w:type="dxa"/>
              <w:end w:w="120" w:type="dxa"/>
            </w:tcMar>
          </w:tcPr>
          <w:p>
            <w:pPr>
              <w:spacing w:after="0"/>
            </w:pPr>
            <w:r>
              <w:rPr>
                <w:rFonts w:ascii="Calibri" w:hAnsi="Calibri"/>
                <w:sz w:val="18"/>
              </w:rPr>
              <w:t>Base FLAN-T5-small</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0.076</w:t>
            </w:r>
          </w:p>
        </w:tc>
        <w:tc>
          <w:tcPr>
            <w:tcW w:type="dxa" w:w="1560"/>
            <w:vAlign w:val="center"/>
            <w:tcMar>
              <w:top w:w="80" w:type="dxa"/>
              <w:start w:w="120" w:type="dxa"/>
              <w:bottom w:w="80" w:type="dxa"/>
              <w:end w:w="120" w:type="dxa"/>
            </w:tcMar>
          </w:tcPr>
          <w:p>
            <w:pPr>
              <w:spacing w:after="0"/>
            </w:pPr>
            <w:r>
              <w:rPr>
                <w:rFonts w:ascii="Calibri" w:hAnsi="Calibri"/>
                <w:sz w:val="18"/>
              </w:rPr>
              <w:t>0.056</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0.452</w:t>
            </w:r>
          </w:p>
        </w:tc>
      </w:tr>
      <w:tr>
        <w:tc>
          <w:tcPr>
            <w:tcW w:type="dxa" w:w="1560"/>
            <w:vAlign w:val="center"/>
            <w:tcMar>
              <w:top w:w="80" w:type="dxa"/>
              <w:start w:w="120" w:type="dxa"/>
              <w:bottom w:w="80" w:type="dxa"/>
              <w:end w:w="120" w:type="dxa"/>
            </w:tcMar>
          </w:tcPr>
          <w:p>
            <w:pPr>
              <w:spacing w:after="0"/>
            </w:pPr>
            <w:r>
              <w:rPr>
                <w:rFonts w:ascii="Calibri" w:hAnsi="Calibri"/>
                <w:sz w:val="18"/>
              </w:rPr>
              <w:t>FLAN-T5-small SFT smoke</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0.103</w:t>
            </w:r>
          </w:p>
        </w:tc>
        <w:tc>
          <w:tcPr>
            <w:tcW w:type="dxa" w:w="1560"/>
            <w:vAlign w:val="center"/>
            <w:tcMar>
              <w:top w:w="80" w:type="dxa"/>
              <w:start w:w="120" w:type="dxa"/>
              <w:bottom w:w="80" w:type="dxa"/>
              <w:end w:w="120" w:type="dxa"/>
            </w:tcMar>
          </w:tcPr>
          <w:p>
            <w:pPr>
              <w:spacing w:after="0"/>
            </w:pPr>
            <w:r>
              <w:rPr>
                <w:rFonts w:ascii="Calibri" w:hAnsi="Calibri"/>
                <w:sz w:val="18"/>
              </w:rPr>
              <w:t>0.075</w:t>
            </w:r>
          </w:p>
        </w:tc>
        <w:tc>
          <w:tcPr>
            <w:tcW w:type="dxa" w:w="1560"/>
            <w:vAlign w:val="center"/>
            <w:tcMar>
              <w:top w:w="80" w:type="dxa"/>
              <w:start w:w="120" w:type="dxa"/>
              <w:bottom w:w="80" w:type="dxa"/>
              <w:end w:w="120" w:type="dxa"/>
            </w:tcMar>
          </w:tcPr>
          <w:p>
            <w:pPr>
              <w:spacing w:after="0"/>
            </w:pPr>
            <w:r>
              <w:rPr>
                <w:rFonts w:ascii="Calibri" w:hAnsi="Calibri"/>
                <w:sz w:val="18"/>
              </w:rPr>
              <w:t>0.000</w:t>
            </w:r>
          </w:p>
        </w:tc>
        <w:tc>
          <w:tcPr>
            <w:tcW w:type="dxa" w:w="1560"/>
            <w:vAlign w:val="center"/>
            <w:tcMar>
              <w:top w:w="80" w:type="dxa"/>
              <w:start w:w="120" w:type="dxa"/>
              <w:bottom w:w="80" w:type="dxa"/>
              <w:end w:w="120" w:type="dxa"/>
            </w:tcMar>
          </w:tcPr>
          <w:p>
            <w:pPr>
              <w:spacing w:after="0"/>
            </w:pPr>
            <w:r>
              <w:rPr>
                <w:rFonts w:ascii="Calibri" w:hAnsi="Calibri"/>
                <w:sz w:val="18"/>
              </w:rPr>
              <w:t>0.616</w:t>
            </w:r>
          </w:p>
        </w:tc>
      </w:tr>
    </w:tbl>
    <w:p/>
    <w:p>
      <w:r>
        <w:t>This confirms that the LLM/SFT pipeline works and that fine-tuning improves the same base model under the same generation pipeline. However, the small CPU-trained model is still not strong enough for the final demo. The final system therefore keeps the extractive grounded generator for reliability and citation correctness.</w:t>
      </w:r>
    </w:p>
    <w:p>
      <w:pPr>
        <w:pStyle w:val="Heading1"/>
      </w:pPr>
      <w:r>
        <w:t>7. Error Analysis</w:t>
      </w:r>
    </w:p>
    <w:p>
      <w:r>
        <w:t>Error analysis on the 240-question gold benchmark found:</w:t>
      </w:r>
    </w:p>
    <w:p>
      <w:pPr>
        <w:pStyle w:val="ListBullet"/>
      </w:pPr>
      <w:r>
        <w:t>Top-5 retrieval failures: 22</w:t>
      </w:r>
    </w:p>
    <w:p>
      <w:pPr>
        <w:pStyle w:val="ListBullet"/>
      </w:pPr>
      <w:r>
        <w:t>Ranking failures: 23</w:t>
      </w:r>
    </w:p>
    <w:p>
      <w:r>
        <w:t>Failure definitions:</w:t>
      </w:r>
    </w:p>
    <w:p>
      <w:pPr>
        <w:pStyle w:val="ListBullet"/>
      </w:pPr>
      <w:r>
        <w:t>Retrieval failure: the gold source is not present in top-5.</w:t>
      </w:r>
    </w:p>
    <w:p>
      <w:pPr>
        <w:pStyle w:val="ListBullet"/>
      </w:pPr>
      <w:r>
        <w:t>Ranking failure: the gold source is in top-5 but not top-1.</w:t>
      </w:r>
    </w:p>
    <w:p>
      <w:pPr>
        <w:pStyle w:val="ListBullet"/>
      </w:pPr>
      <w:r>
        <w:t>Formatting mismatch: the correct source is retrieved but answer wording differs from the verified answer.</w:t>
      </w:r>
    </w:p>
    <w:p>
      <w:r>
        <w:t>These results show that future improvements should target two different parts of the pipeline:</w:t>
      </w:r>
    </w:p>
    <w:p>
      <w:pPr>
        <w:pStyle w:val="ListBullet"/>
      </w:pPr>
      <w:r>
        <w:t>Better first-stage retrieval for the 22 retrieval failures</w:t>
      </w:r>
    </w:p>
    <w:p>
      <w:pPr>
        <w:pStyle w:val="ListBullet"/>
      </w:pPr>
      <w:r>
        <w:t>Domain-tuned reranking for the 23 ranking failures</w:t>
      </w:r>
    </w:p>
    <w:p>
      <w:pPr>
        <w:pStyle w:val="Heading1"/>
      </w:pPr>
      <w:r>
        <w:t>8. Submission Compatibility Checks</w:t>
      </w:r>
    </w:p>
    <w:p>
      <w:r>
        <w:t>The final repository includes explicit support for instructor-provided custom document collections and benchmark files. A custom corpus can be supplied as `corpus.jsonl`, `corpus_index.jsonl`, or `real_corpus.jsonl`, and each document must include at least an `id` and `text`. A custom benchmark can be supplied as `eval_qa.jsonl`, `custom_benchmark.jsonl`, or `benchmark.jsonl`, with question, gold answer, and relevant document fields.</w:t>
      </w:r>
    </w:p>
    <w:p>
      <w:r>
        <w:t>The custom data path was validated with:</w:t>
      </w:r>
    </w:p>
    <w:p>
      <w:pPr>
        <w:pStyle w:val="NoSpacing"/>
      </w:pPr>
      <w:r>
        <w:rPr>
          <w:rFonts w:ascii="Consolas" w:hAnsi="Consolas"/>
          <w:sz w:val="18"/>
        </w:rPr>
        <w:t>python scripts/validate_custom_data.py --data-dir sample_custom_data --require-benchmark</w:t>
      </w:r>
    </w:p>
    <w:p>
      <w:r>
        <w:t>Base RAG and fine-tuned RAG can be evaluated on the same corpus, same benchmark, and same answer generator with:</w:t>
      </w:r>
    </w:p>
    <w:p>
      <w:pPr>
        <w:pStyle w:val="NoSpacing"/>
      </w:pPr>
      <w:r>
        <w:rPr>
          <w:rFonts w:ascii="Consolas" w:hAnsi="Consolas"/>
          <w:sz w:val="18"/>
        </w:rPr>
        <w:t>python scripts/run_base_vs_finetuned_eval.py --data-dir sample_custom_data --output-dir outputs/sample_submission_eval</w:t>
      </w:r>
    </w:p>
    <w:p>
      <w:r>
        <w:t>On the 150-question local benchmark, a same-generator comparison was run between BM25 base RAG and BM25 plus the fine-tuned cross-encoder reranker:</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F2F4F7"/>
          </w:tcPr>
          <w:p>
            <w:pPr>
              <w:spacing w:after="0"/>
            </w:pPr>
            <w:r>
              <w:rPr>
                <w:rFonts w:ascii="Calibri" w:hAnsi="Calibri"/>
                <w:b/>
                <w:sz w:val="18"/>
              </w:rPr>
              <w:t>Metric</w:t>
            </w:r>
          </w:p>
        </w:tc>
        <w:tc>
          <w:tcPr>
            <w:tcW w:type="dxa" w:w="3120"/>
            <w:vAlign w:val="center"/>
            <w:tcMar>
              <w:top w:w="80" w:type="dxa"/>
              <w:start w:w="120" w:type="dxa"/>
              <w:bottom w:w="80" w:type="dxa"/>
              <w:end w:w="120" w:type="dxa"/>
            </w:tcMar>
            <w:shd w:fill="F2F4F7"/>
          </w:tcPr>
          <w:p>
            <w:pPr>
              <w:spacing w:after="0"/>
            </w:pPr>
            <w:r>
              <w:rPr>
                <w:rFonts w:ascii="Calibri" w:hAnsi="Calibri"/>
                <w:b/>
                <w:sz w:val="18"/>
              </w:rPr>
              <w:t>Base BM25 RAG</w:t>
            </w:r>
          </w:p>
        </w:tc>
        <w:tc>
          <w:tcPr>
            <w:tcW w:type="dxa" w:w="3120"/>
            <w:vAlign w:val="center"/>
            <w:tcMar>
              <w:top w:w="80" w:type="dxa"/>
              <w:start w:w="120" w:type="dxa"/>
              <w:bottom w:w="80" w:type="dxa"/>
              <w:end w:w="120" w:type="dxa"/>
            </w:tcMar>
            <w:shd w:fill="F2F4F7"/>
          </w:tcPr>
          <w:p>
            <w:pPr>
              <w:spacing w:after="0"/>
            </w:pPr>
            <w:r>
              <w:rPr>
                <w:rFonts w:ascii="Calibri" w:hAnsi="Calibri"/>
                <w:b/>
                <w:sz w:val="18"/>
              </w:rPr>
              <w:t>Fine-tuned reranker RAG</w:t>
            </w:r>
          </w:p>
        </w:tc>
      </w:tr>
      <w:tr>
        <w:tc>
          <w:tcPr>
            <w:tcW w:type="dxa" w:w="3120"/>
            <w:vAlign w:val="center"/>
            <w:tcMar>
              <w:top w:w="80" w:type="dxa"/>
              <w:start w:w="120" w:type="dxa"/>
              <w:bottom w:w="80" w:type="dxa"/>
              <w:end w:w="120" w:type="dxa"/>
            </w:tcMar>
          </w:tcPr>
          <w:p>
            <w:pPr>
              <w:spacing w:after="0"/>
            </w:pPr>
            <w:r>
              <w:rPr>
                <w:rFonts w:ascii="Calibri" w:hAnsi="Calibri"/>
                <w:sz w:val="18"/>
              </w:rPr>
              <w:t>Token F1</w:t>
            </w:r>
          </w:p>
        </w:tc>
        <w:tc>
          <w:tcPr>
            <w:tcW w:type="dxa" w:w="3120"/>
            <w:vAlign w:val="center"/>
            <w:tcMar>
              <w:top w:w="80" w:type="dxa"/>
              <w:start w:w="120" w:type="dxa"/>
              <w:bottom w:w="80" w:type="dxa"/>
              <w:end w:w="120" w:type="dxa"/>
            </w:tcMar>
          </w:tcPr>
          <w:p>
            <w:pPr>
              <w:spacing w:after="0"/>
            </w:pPr>
            <w:r>
              <w:rPr>
                <w:rFonts w:ascii="Calibri" w:hAnsi="Calibri"/>
                <w:sz w:val="18"/>
              </w:rPr>
              <w:t>0.703</w:t>
            </w:r>
          </w:p>
        </w:tc>
        <w:tc>
          <w:tcPr>
            <w:tcW w:type="dxa" w:w="3120"/>
            <w:vAlign w:val="center"/>
            <w:tcMar>
              <w:top w:w="80" w:type="dxa"/>
              <w:start w:w="120" w:type="dxa"/>
              <w:bottom w:w="80" w:type="dxa"/>
              <w:end w:w="120" w:type="dxa"/>
            </w:tcMar>
          </w:tcPr>
          <w:p>
            <w:pPr>
              <w:spacing w:after="0"/>
            </w:pPr>
            <w:r>
              <w:rPr>
                <w:rFonts w:ascii="Calibri" w:hAnsi="Calibri"/>
                <w:sz w:val="18"/>
              </w:rPr>
              <w:t>0.631</w:t>
            </w:r>
          </w:p>
        </w:tc>
      </w:tr>
      <w:tr>
        <w:tc>
          <w:tcPr>
            <w:tcW w:type="dxa" w:w="3120"/>
            <w:vAlign w:val="center"/>
            <w:tcMar>
              <w:top w:w="80" w:type="dxa"/>
              <w:start w:w="120" w:type="dxa"/>
              <w:bottom w:w="80" w:type="dxa"/>
              <w:end w:w="120" w:type="dxa"/>
            </w:tcMar>
          </w:tcPr>
          <w:p>
            <w:pPr>
              <w:spacing w:after="0"/>
            </w:pPr>
            <w:r>
              <w:rPr>
                <w:rFonts w:ascii="Calibri" w:hAnsi="Calibri"/>
                <w:sz w:val="18"/>
              </w:rPr>
              <w:t>ROUGE-L</w:t>
            </w:r>
          </w:p>
        </w:tc>
        <w:tc>
          <w:tcPr>
            <w:tcW w:type="dxa" w:w="3120"/>
            <w:vAlign w:val="center"/>
            <w:tcMar>
              <w:top w:w="80" w:type="dxa"/>
              <w:start w:w="120" w:type="dxa"/>
              <w:bottom w:w="80" w:type="dxa"/>
              <w:end w:w="120" w:type="dxa"/>
            </w:tcMar>
          </w:tcPr>
          <w:p>
            <w:pPr>
              <w:spacing w:after="0"/>
            </w:pPr>
            <w:r>
              <w:rPr>
                <w:rFonts w:ascii="Calibri" w:hAnsi="Calibri"/>
                <w:sz w:val="18"/>
              </w:rPr>
              <w:t>0.702</w:t>
            </w:r>
          </w:p>
        </w:tc>
        <w:tc>
          <w:tcPr>
            <w:tcW w:type="dxa" w:w="3120"/>
            <w:vAlign w:val="center"/>
            <w:tcMar>
              <w:top w:w="80" w:type="dxa"/>
              <w:start w:w="120" w:type="dxa"/>
              <w:bottom w:w="80" w:type="dxa"/>
              <w:end w:w="120" w:type="dxa"/>
            </w:tcMar>
          </w:tcPr>
          <w:p>
            <w:pPr>
              <w:spacing w:after="0"/>
            </w:pPr>
            <w:r>
              <w:rPr>
                <w:rFonts w:ascii="Calibri" w:hAnsi="Calibri"/>
                <w:sz w:val="18"/>
              </w:rPr>
              <w:t>0.621</w:t>
            </w:r>
          </w:p>
        </w:tc>
      </w:tr>
      <w:tr>
        <w:tc>
          <w:tcPr>
            <w:tcW w:type="dxa" w:w="3120"/>
            <w:vAlign w:val="center"/>
            <w:tcMar>
              <w:top w:w="80" w:type="dxa"/>
              <w:start w:w="120" w:type="dxa"/>
              <w:bottom w:w="80" w:type="dxa"/>
              <w:end w:w="120" w:type="dxa"/>
            </w:tcMar>
          </w:tcPr>
          <w:p>
            <w:pPr>
              <w:spacing w:after="0"/>
            </w:pPr>
            <w:r>
              <w:rPr>
                <w:rFonts w:ascii="Calibri" w:hAnsi="Calibri"/>
                <w:sz w:val="18"/>
              </w:rPr>
              <w:t>Top-1 source hit</w:t>
            </w:r>
          </w:p>
        </w:tc>
        <w:tc>
          <w:tcPr>
            <w:tcW w:type="dxa" w:w="3120"/>
            <w:vAlign w:val="center"/>
            <w:tcMar>
              <w:top w:w="80" w:type="dxa"/>
              <w:start w:w="120" w:type="dxa"/>
              <w:bottom w:w="80" w:type="dxa"/>
              <w:end w:w="120" w:type="dxa"/>
            </w:tcMar>
          </w:tcPr>
          <w:p>
            <w:pPr>
              <w:spacing w:after="0"/>
            </w:pPr>
            <w:r>
              <w:rPr>
                <w:rFonts w:ascii="Calibri" w:hAnsi="Calibri"/>
                <w:sz w:val="18"/>
              </w:rPr>
              <w:t>0.960</w:t>
            </w:r>
          </w:p>
        </w:tc>
        <w:tc>
          <w:tcPr>
            <w:tcW w:type="dxa" w:w="3120"/>
            <w:vAlign w:val="center"/>
            <w:tcMar>
              <w:top w:w="80" w:type="dxa"/>
              <w:start w:w="120" w:type="dxa"/>
              <w:bottom w:w="80" w:type="dxa"/>
              <w:end w:w="120" w:type="dxa"/>
            </w:tcMar>
          </w:tcPr>
          <w:p>
            <w:pPr>
              <w:spacing w:after="0"/>
            </w:pPr>
            <w:r>
              <w:rPr>
                <w:rFonts w:ascii="Calibri" w:hAnsi="Calibri"/>
                <w:sz w:val="18"/>
              </w:rPr>
              <w:t>0.620</w:t>
            </w:r>
          </w:p>
        </w:tc>
      </w:tr>
      <w:tr>
        <w:tc>
          <w:tcPr>
            <w:tcW w:type="dxa" w:w="3120"/>
            <w:vAlign w:val="center"/>
            <w:tcMar>
              <w:top w:w="80" w:type="dxa"/>
              <w:start w:w="120" w:type="dxa"/>
              <w:bottom w:w="80" w:type="dxa"/>
              <w:end w:w="120" w:type="dxa"/>
            </w:tcMar>
          </w:tcPr>
          <w:p>
            <w:pPr>
              <w:spacing w:after="0"/>
            </w:pPr>
            <w:r>
              <w:rPr>
                <w:rFonts w:ascii="Calibri" w:hAnsi="Calibri"/>
                <w:sz w:val="18"/>
              </w:rPr>
              <w:t>Top-5 source hit</w:t>
            </w:r>
          </w:p>
        </w:tc>
        <w:tc>
          <w:tcPr>
            <w:tcW w:type="dxa" w:w="3120"/>
            <w:vAlign w:val="center"/>
            <w:tcMar>
              <w:top w:w="80" w:type="dxa"/>
              <w:start w:w="120" w:type="dxa"/>
              <w:bottom w:w="80" w:type="dxa"/>
              <w:end w:w="120" w:type="dxa"/>
            </w:tcMar>
          </w:tcPr>
          <w:p>
            <w:pPr>
              <w:spacing w:after="0"/>
            </w:pPr>
            <w:r>
              <w:rPr>
                <w:rFonts w:ascii="Calibri" w:hAnsi="Calibri"/>
                <w:sz w:val="18"/>
              </w:rPr>
              <w:t>0.993</w:t>
            </w:r>
          </w:p>
        </w:tc>
        <w:tc>
          <w:tcPr>
            <w:tcW w:type="dxa" w:w="3120"/>
            <w:vAlign w:val="center"/>
            <w:tcMar>
              <w:top w:w="80" w:type="dxa"/>
              <w:start w:w="120" w:type="dxa"/>
              <w:bottom w:w="80" w:type="dxa"/>
              <w:end w:w="120" w:type="dxa"/>
            </w:tcMar>
          </w:tcPr>
          <w:p>
            <w:pPr>
              <w:spacing w:after="0"/>
            </w:pPr>
            <w:r>
              <w:rPr>
                <w:rFonts w:ascii="Calibri" w:hAnsi="Calibri"/>
                <w:sz w:val="18"/>
              </w:rPr>
              <w:t>0.900</w:t>
            </w:r>
          </w:p>
        </w:tc>
      </w:tr>
      <w:tr>
        <w:tc>
          <w:tcPr>
            <w:tcW w:type="dxa" w:w="3120"/>
            <w:vAlign w:val="center"/>
            <w:tcMar>
              <w:top w:w="80" w:type="dxa"/>
              <w:start w:w="120" w:type="dxa"/>
              <w:bottom w:w="80" w:type="dxa"/>
              <w:end w:w="120" w:type="dxa"/>
            </w:tcMar>
          </w:tcPr>
          <w:p>
            <w:pPr>
              <w:spacing w:after="0"/>
            </w:pPr>
            <w:r>
              <w:rPr>
                <w:rFonts w:ascii="Calibri" w:hAnsi="Calibri"/>
                <w:sz w:val="18"/>
              </w:rPr>
              <w:t>Citation accuracy</w:t>
            </w:r>
          </w:p>
        </w:tc>
        <w:tc>
          <w:tcPr>
            <w:tcW w:type="dxa" w:w="3120"/>
            <w:vAlign w:val="center"/>
            <w:tcMar>
              <w:top w:w="80" w:type="dxa"/>
              <w:start w:w="120" w:type="dxa"/>
              <w:bottom w:w="80" w:type="dxa"/>
              <w:end w:w="120" w:type="dxa"/>
            </w:tcMar>
          </w:tcPr>
          <w:p>
            <w:pPr>
              <w:spacing w:after="0"/>
            </w:pPr>
            <w:r>
              <w:rPr>
                <w:rFonts w:ascii="Calibri" w:hAnsi="Calibri"/>
                <w:sz w:val="18"/>
              </w:rPr>
              <w:t>0.960</w:t>
            </w:r>
          </w:p>
        </w:tc>
        <w:tc>
          <w:tcPr>
            <w:tcW w:type="dxa" w:w="3120"/>
            <w:vAlign w:val="center"/>
            <w:tcMar>
              <w:top w:w="80" w:type="dxa"/>
              <w:start w:w="120" w:type="dxa"/>
              <w:bottom w:w="80" w:type="dxa"/>
              <w:end w:w="120" w:type="dxa"/>
            </w:tcMar>
          </w:tcPr>
          <w:p>
            <w:pPr>
              <w:spacing w:after="0"/>
            </w:pPr>
            <w:r>
              <w:rPr>
                <w:rFonts w:ascii="Calibri" w:hAnsi="Calibri"/>
                <w:sz w:val="18"/>
              </w:rPr>
              <w:t>0.620</w:t>
            </w:r>
          </w:p>
        </w:tc>
      </w:tr>
      <w:tr>
        <w:tc>
          <w:tcPr>
            <w:tcW w:type="dxa" w:w="3120"/>
            <w:vAlign w:val="center"/>
            <w:tcMar>
              <w:top w:w="80" w:type="dxa"/>
              <w:start w:w="120" w:type="dxa"/>
              <w:bottom w:w="80" w:type="dxa"/>
              <w:end w:w="120" w:type="dxa"/>
            </w:tcMar>
          </w:tcPr>
          <w:p>
            <w:pPr>
              <w:spacing w:after="0"/>
            </w:pPr>
            <w:r>
              <w:rPr>
                <w:rFonts w:ascii="Calibri" w:hAnsi="Calibri"/>
                <w:sz w:val="18"/>
              </w:rPr>
              <w:t>NLI faithfulness</w:t>
            </w:r>
          </w:p>
        </w:tc>
        <w:tc>
          <w:tcPr>
            <w:tcW w:type="dxa" w:w="3120"/>
            <w:vAlign w:val="center"/>
            <w:tcMar>
              <w:top w:w="80" w:type="dxa"/>
              <w:start w:w="120" w:type="dxa"/>
              <w:bottom w:w="80" w:type="dxa"/>
              <w:end w:w="120" w:type="dxa"/>
            </w:tcMar>
          </w:tcPr>
          <w:p>
            <w:pPr>
              <w:spacing w:after="0"/>
            </w:pPr>
            <w:r>
              <w:rPr>
                <w:rFonts w:ascii="Calibri" w:hAnsi="Calibri"/>
                <w:sz w:val="18"/>
              </w:rPr>
              <w:t>0.807</w:t>
            </w:r>
          </w:p>
        </w:tc>
        <w:tc>
          <w:tcPr>
            <w:tcW w:type="dxa" w:w="3120"/>
            <w:vAlign w:val="center"/>
            <w:tcMar>
              <w:top w:w="80" w:type="dxa"/>
              <w:start w:w="120" w:type="dxa"/>
              <w:bottom w:w="80" w:type="dxa"/>
              <w:end w:w="120" w:type="dxa"/>
            </w:tcMar>
          </w:tcPr>
          <w:p>
            <w:pPr>
              <w:spacing w:after="0"/>
            </w:pPr>
            <w:r>
              <w:rPr>
                <w:rFonts w:ascii="Calibri" w:hAnsi="Calibri"/>
                <w:sz w:val="18"/>
              </w:rPr>
              <w:t>0.792</w:t>
            </w:r>
          </w:p>
        </w:tc>
      </w:tr>
    </w:tbl>
    <w:p/>
    <w:p>
      <w:r>
        <w:t>This submission check reinforces the final design choice: the fine-tuned reranker does not improve the current benchmark, so the live demo keeps BM25 as the default retrieval strategy.</w:t>
      </w:r>
    </w:p>
    <w:p>
      <w:r>
        <w:t>A same-pipeline LLM smoke comparison was also run on 20 questions: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80" w:type="dxa"/>
              <w:start w:w="120" w:type="dxa"/>
              <w:bottom w:w="80" w:type="dxa"/>
              <w:end w:w="120" w:type="dxa"/>
            </w:tcMar>
            <w:shd w:fill="F2F4F7"/>
          </w:tcPr>
          <w:p>
            <w:pPr>
              <w:spacing w:after="0"/>
            </w:pPr>
            <w:r>
              <w:rPr>
                <w:rFonts w:ascii="Calibri" w:hAnsi="Calibri"/>
                <w:b/>
                <w:sz w:val="18"/>
              </w:rPr>
              <w:t>Generator</w:t>
            </w:r>
          </w:p>
        </w:tc>
        <w:tc>
          <w:tcPr>
            <w:tcW w:type="dxa" w:w="1872"/>
            <w:vAlign w:val="center"/>
            <w:tcMar>
              <w:top w:w="80" w:type="dxa"/>
              <w:start w:w="120" w:type="dxa"/>
              <w:bottom w:w="80" w:type="dxa"/>
              <w:end w:w="120" w:type="dxa"/>
            </w:tcMar>
            <w:shd w:fill="F2F4F7"/>
          </w:tcPr>
          <w:p>
            <w:pPr>
              <w:spacing w:after="0"/>
            </w:pPr>
            <w:r>
              <w:rPr>
                <w:rFonts w:ascii="Calibri" w:hAnsi="Calibri"/>
                <w:b/>
                <w:sz w:val="18"/>
              </w:rPr>
              <w:t>Token F1</w:t>
            </w:r>
          </w:p>
        </w:tc>
        <w:tc>
          <w:tcPr>
            <w:tcW w:type="dxa" w:w="1872"/>
            <w:vAlign w:val="center"/>
            <w:tcMar>
              <w:top w:w="80" w:type="dxa"/>
              <w:start w:w="120" w:type="dxa"/>
              <w:bottom w:w="80" w:type="dxa"/>
              <w:end w:w="120" w:type="dxa"/>
            </w:tcMar>
            <w:shd w:fill="F2F4F7"/>
          </w:tcPr>
          <w:p>
            <w:pPr>
              <w:spacing w:after="0"/>
            </w:pPr>
            <w:r>
              <w:rPr>
                <w:rFonts w:ascii="Calibri" w:hAnsi="Calibri"/>
                <w:b/>
                <w:sz w:val="18"/>
              </w:rPr>
              <w:t>ROUGE-L</w:t>
            </w:r>
          </w:p>
        </w:tc>
        <w:tc>
          <w:tcPr>
            <w:tcW w:type="dxa" w:w="1872"/>
            <w:vAlign w:val="center"/>
            <w:tcMar>
              <w:top w:w="80" w:type="dxa"/>
              <w:start w:w="120" w:type="dxa"/>
              <w:bottom w:w="80" w:type="dxa"/>
              <w:end w:w="120" w:type="dxa"/>
            </w:tcMar>
            <w:shd w:fill="F2F4F7"/>
          </w:tcPr>
          <w:p>
            <w:pPr>
              <w:spacing w:after="0"/>
            </w:pPr>
            <w:r>
              <w:rPr>
                <w:rFonts w:ascii="Calibri" w:hAnsi="Calibri"/>
                <w:b/>
                <w:sz w:val="18"/>
              </w:rPr>
              <w:t>Citation Accuracy</w:t>
            </w:r>
          </w:p>
        </w:tc>
        <w:tc>
          <w:tcPr>
            <w:tcW w:type="dxa" w:w="1872"/>
            <w:vAlign w:val="center"/>
            <w:tcMar>
              <w:top w:w="80" w:type="dxa"/>
              <w:start w:w="120" w:type="dxa"/>
              <w:bottom w:w="80" w:type="dxa"/>
              <w:end w:w="120" w:type="dxa"/>
            </w:tcMar>
            <w:shd w:fill="F2F4F7"/>
          </w:tcPr>
          <w:p>
            <w:pPr>
              <w:spacing w:after="0"/>
            </w:pPr>
            <w:r>
              <w:rPr>
                <w:rFonts w:ascii="Calibri" w:hAnsi="Calibri"/>
                <w:b/>
                <w:sz w:val="18"/>
              </w:rPr>
              <w:t>Faithfulness Proxy</w:t>
            </w:r>
          </w:p>
        </w:tc>
      </w:tr>
      <w:tr>
        <w:tc>
          <w:tcPr>
            <w:tcW w:type="dxa" w:w="1872"/>
            <w:vAlign w:val="center"/>
            <w:tcMar>
              <w:top w:w="80" w:type="dxa"/>
              <w:start w:w="120" w:type="dxa"/>
              <w:bottom w:w="80" w:type="dxa"/>
              <w:end w:w="120" w:type="dxa"/>
            </w:tcMar>
          </w:tcPr>
          <w:p>
            <w:pPr>
              <w:spacing w:after="0"/>
            </w:pPr>
            <w:r>
              <w:rPr>
                <w:rFonts w:ascii="Calibri" w:hAnsi="Calibri"/>
                <w:sz w:val="18"/>
              </w:rPr>
              <w:t>Base FLAN-T5-small</w:t>
            </w:r>
          </w:p>
        </w:tc>
        <w:tc>
          <w:tcPr>
            <w:tcW w:type="dxa" w:w="1872"/>
            <w:vAlign w:val="center"/>
            <w:tcMar>
              <w:top w:w="80" w:type="dxa"/>
              <w:start w:w="120" w:type="dxa"/>
              <w:bottom w:w="80" w:type="dxa"/>
              <w:end w:w="120" w:type="dxa"/>
            </w:tcMar>
          </w:tcPr>
          <w:p>
            <w:pPr>
              <w:spacing w:after="0"/>
            </w:pPr>
            <w:r>
              <w:rPr>
                <w:rFonts w:ascii="Calibri" w:hAnsi="Calibri"/>
                <w:sz w:val="18"/>
              </w:rPr>
              <w:t>0.195</w:t>
            </w:r>
          </w:p>
        </w:tc>
        <w:tc>
          <w:tcPr>
            <w:tcW w:type="dxa" w:w="1872"/>
            <w:vAlign w:val="center"/>
            <w:tcMar>
              <w:top w:w="80" w:type="dxa"/>
              <w:start w:w="120" w:type="dxa"/>
              <w:bottom w:w="80" w:type="dxa"/>
              <w:end w:w="120" w:type="dxa"/>
            </w:tcMar>
          </w:tcPr>
          <w:p>
            <w:pPr>
              <w:spacing w:after="0"/>
            </w:pPr>
            <w:r>
              <w:rPr>
                <w:rFonts w:ascii="Calibri" w:hAnsi="Calibri"/>
                <w:sz w:val="18"/>
              </w:rPr>
              <w:t>0.187</w:t>
            </w:r>
          </w:p>
        </w:tc>
        <w:tc>
          <w:tcPr>
            <w:tcW w:type="dxa" w:w="1872"/>
            <w:vAlign w:val="center"/>
            <w:tcMar>
              <w:top w:w="80" w:type="dxa"/>
              <w:start w:w="120" w:type="dxa"/>
              <w:bottom w:w="80" w:type="dxa"/>
              <w:end w:w="120" w:type="dxa"/>
            </w:tcMar>
          </w:tcPr>
          <w:p>
            <w:pPr>
              <w:spacing w:after="0"/>
            </w:pPr>
            <w:r>
              <w:rPr>
                <w:rFonts w:ascii="Calibri" w:hAnsi="Calibri"/>
                <w:sz w:val="18"/>
              </w:rPr>
              <w:t>0.200</w:t>
            </w:r>
          </w:p>
        </w:tc>
        <w:tc>
          <w:tcPr>
            <w:tcW w:type="dxa" w:w="1872"/>
            <w:vAlign w:val="center"/>
            <w:tcMar>
              <w:top w:w="80" w:type="dxa"/>
              <w:start w:w="120" w:type="dxa"/>
              <w:bottom w:w="80" w:type="dxa"/>
              <w:end w:w="120" w:type="dxa"/>
            </w:tcMar>
          </w:tcPr>
          <w:p>
            <w:pPr>
              <w:spacing w:after="0"/>
            </w:pPr>
            <w:r>
              <w:rPr>
                <w:rFonts w:ascii="Calibri" w:hAnsi="Calibri"/>
                <w:sz w:val="18"/>
              </w:rPr>
              <w:t>0.486</w:t>
            </w:r>
          </w:p>
        </w:tc>
      </w:tr>
      <w:tr>
        <w:tc>
          <w:tcPr>
            <w:tcW w:type="dxa" w:w="1872"/>
            <w:vAlign w:val="center"/>
            <w:tcMar>
              <w:top w:w="80" w:type="dxa"/>
              <w:start w:w="120" w:type="dxa"/>
              <w:bottom w:w="80" w:type="dxa"/>
              <w:end w:w="120" w:type="dxa"/>
            </w:tcMar>
          </w:tcPr>
          <w:p>
            <w:pPr>
              <w:spacing w:after="0"/>
            </w:pPr>
            <w:r>
              <w:rPr>
                <w:rFonts w:ascii="Calibri" w:hAnsi="Calibri"/>
                <w:sz w:val="18"/>
              </w:rPr>
              <w:t>Fine-tuned FLAN-T5-small</w:t>
            </w:r>
          </w:p>
        </w:tc>
        <w:tc>
          <w:tcPr>
            <w:tcW w:type="dxa" w:w="1872"/>
            <w:vAlign w:val="center"/>
            <w:tcMar>
              <w:top w:w="80" w:type="dxa"/>
              <w:start w:w="120" w:type="dxa"/>
              <w:bottom w:w="80" w:type="dxa"/>
              <w:end w:w="120" w:type="dxa"/>
            </w:tcMar>
          </w:tcPr>
          <w:p>
            <w:pPr>
              <w:spacing w:after="0"/>
            </w:pPr>
            <w:r>
              <w:rPr>
                <w:rFonts w:ascii="Calibri" w:hAnsi="Calibri"/>
                <w:sz w:val="18"/>
              </w:rPr>
              <w:t>0.232</w:t>
            </w:r>
          </w:p>
        </w:tc>
        <w:tc>
          <w:tcPr>
            <w:tcW w:type="dxa" w:w="1872"/>
            <w:vAlign w:val="center"/>
            <w:tcMar>
              <w:top w:w="80" w:type="dxa"/>
              <w:start w:w="120" w:type="dxa"/>
              <w:bottom w:w="80" w:type="dxa"/>
              <w:end w:w="120" w:type="dxa"/>
            </w:tcMar>
          </w:tcPr>
          <w:p>
            <w:pPr>
              <w:spacing w:after="0"/>
            </w:pPr>
            <w:r>
              <w:rPr>
                <w:rFonts w:ascii="Calibri" w:hAnsi="Calibri"/>
                <w:sz w:val="18"/>
              </w:rPr>
              <w:t>0.210</w:t>
            </w:r>
          </w:p>
        </w:tc>
        <w:tc>
          <w:tcPr>
            <w:tcW w:type="dxa" w:w="1872"/>
            <w:vAlign w:val="center"/>
            <w:tcMar>
              <w:top w:w="80" w:type="dxa"/>
              <w:start w:w="120" w:type="dxa"/>
              <w:bottom w:w="80" w:type="dxa"/>
              <w:end w:w="120" w:type="dxa"/>
            </w:tcMar>
          </w:tcPr>
          <w:p>
            <w:pPr>
              <w:spacing w:after="0"/>
            </w:pPr>
            <w:r>
              <w:rPr>
                <w:rFonts w:ascii="Calibri" w:hAnsi="Calibri"/>
                <w:sz w:val="18"/>
              </w:rPr>
              <w:t>0.350</w:t>
            </w:r>
          </w:p>
        </w:tc>
        <w:tc>
          <w:tcPr>
            <w:tcW w:type="dxa" w:w="1872"/>
            <w:vAlign w:val="center"/>
            <w:tcMar>
              <w:top w:w="80" w:type="dxa"/>
              <w:start w:w="120" w:type="dxa"/>
              <w:bottom w:w="80" w:type="dxa"/>
              <w:end w:w="120" w:type="dxa"/>
            </w:tcMar>
          </w:tcPr>
          <w:p>
            <w:pPr>
              <w:spacing w:after="0"/>
            </w:pPr>
            <w:r>
              <w:rPr>
                <w:rFonts w:ascii="Calibri" w:hAnsi="Calibri"/>
                <w:sz w:val="18"/>
              </w:rPr>
              <w:t>0.593</w:t>
            </w:r>
          </w:p>
        </w:tc>
      </w:tr>
    </w:tbl>
    <w:p/>
    <w:p>
      <w:r>
        <w:t>Fine-tuning improves the small FLAN-T5 model, but its citation quality remains weaker than the extractive answer mode.</w:t>
      </w:r>
    </w:p>
    <w:p>
      <w:pPr>
        <w:pStyle w:val="Heading1"/>
      </w:pPr>
      <w:r>
        <w:t>9. Reproducibility</w:t>
      </w:r>
    </w:p>
    <w:p>
      <w:r>
        <w:t>Main commands:</w:t>
      </w:r>
    </w:p>
    <w:p>
      <w:pPr>
        <w:pStyle w:val="NoSpacing"/>
      </w:pPr>
      <w:r>
        <w:rPr>
          <w:rFonts w:ascii="Consolas" w:hAnsi="Consolas"/>
          <w:sz w:val="18"/>
        </w:rPr>
        <w:t>python scripts/evaluate_retrieval.py --retriever bm25 --top-k 10 --output outputs/retrieval_eval_bm25_full.json</w:t>
        <w:br/>
        <w:t>python scripts/evaluate_retrieval.py --retriever dense --top-k 10 --output outputs/retrieval_eval_dense_full.json</w:t>
        <w:br/>
        <w:t>python scripts/evaluate_retrieval.py --retriever hybrid --dense-weight 0.35 --top-k 10 --output outputs/retrieval_eval_hybrid_full.json</w:t>
        <w:br/>
        <w:t>python scripts/evaluate_qa.py --retriever bm25 --generation-mode extractive --top-k 5 --output outputs/qa_eval_extractive_bm25_full.json</w:t>
        <w:br/>
        <w:t>python scripts/evaluate_llm_judge.py --input outputs/qa_eval_extractive_bm25_full.json --provider nli --output outputs/nli_judge_faithfulness_full.json</w:t>
        <w:br/>
        <w:t>python scripts/evaluate_reranker.py --reranker-model outputs/models/legal_cross_encoder_reranker_full_cpu_128 --candidate-k 50 --top-k 10 --batch-size 16 --max-length 128 --output outputs/reranker_eval_finetuned_full_cpu_128_full.json</w:t>
        <w:br/>
        <w:t>python scripts/train_seq2seq_generator.py --limit 512 --eval-size 64 --epochs 1 --batch-size 2 --grad-accum 8 --max-input-length 512 --max-target-length 160 --output-dir outputs/models/flan_t5_legal_sft_smoke_512 --metrics-output outputs/llm_sft_smoke_512_metrics.json</w:t>
        <w:br/>
        <w:t>python scripts/analyze_qa_errors.py --input outputs/qa_eval_extractive_bm25_full.json --output outputs/qa_error_analysis.md</w:t>
      </w:r>
    </w:p>
    <w:p>
      <w:r>
        <w:t>Training commands:</w:t>
      </w:r>
    </w:p>
    <w:p>
      <w:pPr>
        <w:pStyle w:val="NoSpacing"/>
      </w:pPr>
      <w:r>
        <w:rPr>
          <w:rFonts w:ascii="Consolas" w:hAnsi="Consolas"/>
          <w:sz w:val="18"/>
        </w:rPr>
        <w:t>python scripts/train_embedding_model.py --epochs 1 --batch-size 16 --max-seq-length 384</w:t>
        <w:br/>
        <w:t>python scripts/train_cross_encoder_reranker.py --epochs 1 --batch-size 8</w:t>
      </w:r>
    </w:p>
    <w:p>
      <w:pPr>
        <w:pStyle w:val="Heading1"/>
      </w:pPr>
      <w:r>
        <w:t>10. Hardware and Limitations</w:t>
      </w:r>
    </w:p>
    <w:p>
      <w:r>
        <w:t>The local environment used for these experiments is CPU-only. CUDA is not available. Because of this, full embedding and cross-encoder reranker fine-tuning were run with smaller CPU configurations, while large LLM fine-tuning was prepared as reproducible data and scripts but not fully executed locally.</w:t>
      </w:r>
    </w:p>
    <w:p>
      <w:r>
        <w:t>Limitations:</w:t>
      </w:r>
    </w:p>
    <w:p>
      <w:pPr>
        <w:pStyle w:val="ListBullet"/>
      </w:pPr>
      <w:r>
        <w:t>The current answer generator is extractive, not a final fine-tuned LLM.</w:t>
      </w:r>
    </w:p>
    <w:p>
      <w:pPr>
        <w:pStyle w:val="ListBullet"/>
      </w:pPr>
      <w:r>
        <w:t>CPU embedding fine-tuning degraded dense retrieval, so the final demo uses BM25.</w:t>
      </w:r>
    </w:p>
    <w:p>
      <w:pPr>
        <w:pStyle w:val="ListBullet"/>
      </w:pPr>
      <w:r>
        <w:t>CPU reranker fine-tuning improved over the pretrained reranker but still did not beat BM25.</w:t>
      </w:r>
    </w:p>
    <w:p>
      <w:pPr>
        <w:pStyle w:val="ListBullet"/>
      </w:pPr>
      <w:r>
        <w:t>CPU FLAN-T5 SFT smoke training worked, but the generated answers were too weak for the final demo.</w:t>
      </w:r>
    </w:p>
    <w:p>
      <w:pPr>
        <w:pStyle w:val="ListBullet"/>
      </w:pPr>
      <w:r>
        <w:t>Full LLM fine-tuning should be run on GPU with a stronger Turkish-capable instruction model.</w:t>
      </w:r>
    </w:p>
    <w:p>
      <w:pPr>
        <w:pStyle w:val="Heading1"/>
      </w:pPr>
      <w:r>
        <w:t>11. Conclusion</w:t>
      </w:r>
    </w:p>
    <w:p>
      <w:r>
        <w:t>The project establishes a reproducible Turkish legal RAG pipeline with retrieval, QA evaluation, reranker testing, embedding fine-tuning infrastructure, and error analysis.</w:t>
      </w:r>
    </w:p>
    <w:p>
      <w:r>
        <w:t>The strongest current system is BM25-based retrieval with extractive grounded answers. BM25 achieves 0.975 Recall@10 on the retrieval benchmark and 0.908 Top-5 source hit on the gold QA benchmark.</w:t>
      </w:r>
    </w:p>
    <w:p>
      <w:r>
        <w:t>The experiments also reveal clear optimization directions. Generic dense embeddings underperform lexical retrieval, a naive CPU triplet fine-tuning run further degrades dense retrieval, and a pretrained general-domain reranker hurts performance. Fine-tuning the reranker improves it substantially, but the direct BM25 ranking remains strongest on this benchmark. A small CPU LLM SFT smoke run verifies the generator training path but is not reliable enough for live use. Therefore, future optimized systems should use carefully validated domain adaptation rather than assuming that fine-tuning alone will improve the pipeline.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Turkish Legal RAG - CENG493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