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Pretrained Reranker Experiment</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pPr>
        <w:pStyle w:val="Heading2"/>
      </w:pPr>
      <w:r>
        <w:t>6.3 Embedding Tuning Smoke Test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A small CPU smoke test used only 64 triples to verify the training and evaluation workflow. It is not a final optimized embedding result.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confirms that the training pipeline works end to end. Full training should be run on all 2,059 triples with GPU support.</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9. Hardware and Limitations</w:t>
      </w:r>
    </w:p>
    <w:p>
      <w:r>
        <w:t>The local environment used for these experiments is CPU-only. CUDA is not available. Because of this, full cross-encoder fine-tuning and large LLM fine-tuning were prepared as reproducible scripts but not fully executed locally.</w:t>
      </w:r>
    </w:p>
    <w:p>
      <w:r>
        <w:t>Limitations:</w:t>
      </w:r>
    </w:p>
    <w:p>
      <w:pPr>
        <w:pStyle w:val="ListBullet"/>
      </w:pPr>
      <w:r>
        <w:t>The current answer generator is extractive, not a final fine-tuned LLM.</w:t>
      </w:r>
    </w:p>
    <w:p>
      <w:pPr>
        <w:pStyle w:val="ListBullet"/>
      </w:pPr>
      <w:r>
        <w:t>Pretrained reranking was evaluated on 100 queries due to CPU inference cost.</w:t>
      </w:r>
    </w:p>
    <w:p>
      <w:pPr>
        <w:pStyle w:val="ListBullet"/>
      </w:pPr>
      <w:r>
        <w:t>Full embedding and reranker fine-tuning should be run on GPU.</w:t>
      </w:r>
    </w:p>
    <w:p>
      <w:pPr>
        <w:pStyle w:val="ListBullet"/>
      </w:pPr>
      <w:r>
        <w:t>LLM-based faithfulness judging is not yet included; the current faithfulness score is a lexical proxy.</w:t>
      </w:r>
    </w:p>
    <w:p>
      <w:pPr>
        <w:pStyle w:val="Heading1"/>
      </w:pPr>
      <w:r>
        <w:t>10.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and a pretrained general-domain reranker hurts performance. Therefore, domain adaptation through embedding fine-tuning and reranker fine-tuning is necessary for the optimized final system.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