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Turkish Legal RAG: Base vs Fine-Tuned RAG Evaluation</w:t>
      </w:r>
    </w:p>
    <w:p>
      <w:pPr>
        <w:jc w:val="center"/>
      </w:pPr>
      <w:r>
        <w:rPr>
          <w:i/>
          <w:color w:val="555555"/>
        </w:rPr>
        <w:t>CENG493 Term Project - Final Technical Report</w:t>
      </w:r>
    </w:p>
    <w:p/>
    <w:p>
      <w:pPr>
        <w:pStyle w:val="Heading1"/>
      </w:pPr>
      <w:r>
        <w:t>1. Objective</w:t>
      </w:r>
    </w:p>
    <w:p>
      <w:r>
        <w:t>This project implements and evaluates a Retrieval-Augmented Generation (RAG) system for Turkish legal question answering. The goal is not only to produce fluent answers, but to produce answers that are grounded in legal sources, cite the supporting document, and can be evaluated on a gold benchmark.</w:t>
      </w:r>
    </w:p>
    <w:p>
      <w:r>
        <w:t>The instructor submission note defines four important requirements:</w:t>
      </w:r>
    </w:p>
    <w:p>
      <w:pPr>
        <w:pStyle w:val="ListNumber"/>
      </w:pPr>
      <w:r>
        <w:t>Compare Base RAG and Fine-tuned RAG systems using the same benchmark and, where applicable, the same LLM.</w:t>
      </w:r>
    </w:p>
    <w:p>
      <w:pPr>
        <w:pStyle w:val="ListNumber"/>
      </w:pPr>
      <w:r>
        <w:t>Use meaningful metrics depending on whether a gold benchmark is available.</w:t>
      </w:r>
    </w:p>
    <w:p>
      <w:pPr>
        <w:pStyle w:val="ListNumber"/>
      </w:pPr>
      <w:r>
        <w:t>Show ablation results for fine-tuned embedding, reranker, and LLM components where possible.</w:t>
      </w:r>
    </w:p>
    <w:p>
      <w:pPr>
        <w:pStyle w:val="ListNumber"/>
      </w:pPr>
      <w:r>
        <w:t>Support instructor-provided custom document collections and custom benchmark files.</w:t>
      </w:r>
    </w:p>
    <w:p>
      <w:r>
        <w:t>This report is organized around those requirements.</w:t>
      </w:r>
    </w:p>
    <w:p>
      <w:pPr>
        <w:pStyle w:val="Heading1"/>
      </w:pPr>
      <w:r>
        <w:t>2. Dataset and Evaluation Scenario</w:t>
      </w:r>
    </w:p>
    <w:p>
      <w:r>
        <w:t>The project uses Turkish legal QA data with source documents, questions, verified answers, and relevant document identifiers. This matches Scenario 1 in the project rubric:</w:t>
      </w:r>
    </w:p>
    <w:p>
      <w:pPr>
        <w:pStyle w:val="NoSpacing"/>
      </w:pPr>
      <w:r>
        <w:rPr>
          <w:rFonts w:ascii="Consolas" w:hAnsi="Consolas"/>
          <w:sz w:val="18"/>
        </w:rPr>
        <w:t>Gold Question + Gold Answer + Gold Document</w:t>
      </w:r>
    </w:p>
    <w:p>
      <w:r>
        <w:t>Because gold relevant documents exist, retrieval must be evaluated. Because gold answers exist, answer quality can be evaluated with lexical answer metrics. Because the task is legal QA, grounding and citation quality are also evaluated.</w:t>
      </w:r>
    </w:p>
    <w:p>
      <w:r>
        <w:t>Main assignment dataset files used in the original benchmark:</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Legal 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The latest repository also includes a custom-style local evaluation 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`data/real_corpus.jsonl`</w:t>
            </w:r>
          </w:p>
        </w:tc>
        <w:tc>
          <w:tcPr>
            <w:tcW w:type="dxa" w:w="3120"/>
            <w:vAlign w:val="center"/>
            <w:tcMar>
              <w:top w:w="80" w:type="dxa"/>
              <w:start w:w="120" w:type="dxa"/>
              <w:bottom w:w="80" w:type="dxa"/>
              <w:end w:w="120" w:type="dxa"/>
            </w:tcMar>
          </w:tcPr>
          <w:p>
            <w:pPr>
              <w:spacing w:after="0"/>
            </w:pPr>
            <w:r>
              <w:rPr>
                <w:rFonts w:ascii="Calibri" w:hAnsi="Calibri"/>
                <w:sz w:val="18"/>
              </w:rPr>
              <w:t>15,094 rows</w:t>
            </w:r>
          </w:p>
        </w:tc>
        <w:tc>
          <w:tcPr>
            <w:tcW w:type="dxa" w:w="3120"/>
            <w:vAlign w:val="center"/>
            <w:tcMar>
              <w:top w:w="80" w:type="dxa"/>
              <w:start w:w="120" w:type="dxa"/>
              <w:bottom w:w="80" w:type="dxa"/>
              <w:end w:w="120" w:type="dxa"/>
            </w:tcMar>
          </w:tcPr>
          <w:p>
            <w:pPr>
              <w:spacing w:after="0"/>
            </w:pPr>
            <w:r>
              <w:rPr>
                <w:rFonts w:ascii="Calibri" w:hAnsi="Calibri"/>
                <w:sz w:val="18"/>
              </w:rPr>
              <w:t>Larger local legal corpus</w:t>
            </w:r>
          </w:p>
        </w:tc>
      </w:tr>
      <w:tr>
        <w:tc>
          <w:tcPr>
            <w:tcW w:type="dxa" w:w="3120"/>
            <w:vAlign w:val="center"/>
            <w:tcMar>
              <w:top w:w="80" w:type="dxa"/>
              <w:start w:w="120" w:type="dxa"/>
              <w:bottom w:w="80" w:type="dxa"/>
              <w:end w:w="120" w:type="dxa"/>
            </w:tcMar>
          </w:tcPr>
          <w:p>
            <w:pPr>
              <w:spacing w:after="0"/>
            </w:pPr>
            <w:r>
              <w:rPr>
                <w:rFonts w:ascii="Calibri" w:hAnsi="Calibri"/>
                <w:sz w:val="18"/>
              </w:rPr>
              <w:t>`data/eval_qa_150.jsonl`</w:t>
            </w:r>
          </w:p>
        </w:tc>
        <w:tc>
          <w:tcPr>
            <w:tcW w:type="dxa" w:w="3120"/>
            <w:vAlign w:val="center"/>
            <w:tcMar>
              <w:top w:w="80" w:type="dxa"/>
              <w:start w:w="120" w:type="dxa"/>
              <w:bottom w:w="80" w:type="dxa"/>
              <w:end w:w="120" w:type="dxa"/>
            </w:tcMar>
          </w:tcPr>
          <w:p>
            <w:pPr>
              <w:spacing w:after="0"/>
            </w:pPr>
            <w:r>
              <w:rPr>
                <w:rFonts w:ascii="Calibri" w:hAnsi="Calibri"/>
                <w:sz w:val="18"/>
              </w:rPr>
              <w:t>150 rows</w:t>
            </w:r>
          </w:p>
        </w:tc>
        <w:tc>
          <w:tcPr>
            <w:tcW w:type="dxa" w:w="3120"/>
            <w:vAlign w:val="center"/>
            <w:tcMar>
              <w:top w:w="80" w:type="dxa"/>
              <w:start w:w="120" w:type="dxa"/>
              <w:bottom w:w="80" w:type="dxa"/>
              <w:end w:w="120" w:type="dxa"/>
            </w:tcMar>
          </w:tcPr>
          <w:p>
            <w:pPr>
              <w:spacing w:after="0"/>
            </w:pPr>
            <w:r>
              <w:rPr>
                <w:rFonts w:ascii="Calibri" w:hAnsi="Calibri"/>
                <w:sz w:val="18"/>
              </w:rPr>
              <w:t>Local custom-style QA benchmark</w:t>
            </w:r>
          </w:p>
        </w:tc>
      </w:tr>
      <w:tr>
        <w:tc>
          <w:tcPr>
            <w:tcW w:type="dxa" w:w="3120"/>
            <w:vAlign w:val="center"/>
            <w:tcMar>
              <w:top w:w="80" w:type="dxa"/>
              <w:start w:w="120" w:type="dxa"/>
              <w:bottom w:w="80" w:type="dxa"/>
              <w:end w:w="120" w:type="dxa"/>
            </w:tcMar>
          </w:tcPr>
          <w:p>
            <w:pPr>
              <w:spacing w:after="0"/>
            </w:pPr>
            <w:r>
              <w:rPr>
                <w:rFonts w:ascii="Calibri" w:hAnsi="Calibri"/>
                <w:sz w:val="18"/>
              </w:rPr>
              <w:t>`sample_custom_data/corpus.jsonl`</w:t>
            </w:r>
          </w:p>
        </w:tc>
        <w:tc>
          <w:tcPr>
            <w:tcW w:type="dxa" w:w="3120"/>
            <w:vAlign w:val="center"/>
            <w:tcMar>
              <w:top w:w="80" w:type="dxa"/>
              <w:start w:w="120" w:type="dxa"/>
              <w:bottom w:w="80" w:type="dxa"/>
              <w:end w:w="120" w:type="dxa"/>
            </w:tcMar>
          </w:tcPr>
          <w:p>
            <w:pPr>
              <w:spacing w:after="0"/>
            </w:pPr>
            <w:r>
              <w:rPr>
                <w:rFonts w:ascii="Calibri" w:hAnsi="Calibri"/>
                <w:sz w:val="18"/>
              </w:rPr>
              <w:t>3 rows</w:t>
            </w:r>
          </w:p>
        </w:tc>
        <w:tc>
          <w:tcPr>
            <w:tcW w:type="dxa" w:w="3120"/>
            <w:vAlign w:val="center"/>
            <w:tcMar>
              <w:top w:w="80" w:type="dxa"/>
              <w:start w:w="120" w:type="dxa"/>
              <w:bottom w:w="80" w:type="dxa"/>
              <w:end w:w="120" w:type="dxa"/>
            </w:tcMar>
          </w:tcPr>
          <w:p>
            <w:pPr>
              <w:spacing w:after="0"/>
            </w:pPr>
            <w:r>
              <w:rPr>
                <w:rFonts w:ascii="Calibri" w:hAnsi="Calibri"/>
                <w:sz w:val="18"/>
              </w:rPr>
              <w:t>Minimal custom corpus example</w:t>
            </w:r>
          </w:p>
        </w:tc>
      </w:tr>
      <w:tr>
        <w:tc>
          <w:tcPr>
            <w:tcW w:type="dxa" w:w="3120"/>
            <w:vAlign w:val="center"/>
            <w:tcMar>
              <w:top w:w="80" w:type="dxa"/>
              <w:start w:w="120" w:type="dxa"/>
              <w:bottom w:w="80" w:type="dxa"/>
              <w:end w:w="120" w:type="dxa"/>
            </w:tcMar>
          </w:tcPr>
          <w:p>
            <w:pPr>
              <w:spacing w:after="0"/>
            </w:pPr>
            <w:r>
              <w:rPr>
                <w:rFonts w:ascii="Calibri" w:hAnsi="Calibri"/>
                <w:sz w:val="18"/>
              </w:rPr>
              <w:t>`sample_custom_data/eval_qa.jsonl`</w:t>
            </w:r>
          </w:p>
        </w:tc>
        <w:tc>
          <w:tcPr>
            <w:tcW w:type="dxa" w:w="3120"/>
            <w:vAlign w:val="center"/>
            <w:tcMar>
              <w:top w:w="80" w:type="dxa"/>
              <w:start w:w="120" w:type="dxa"/>
              <w:bottom w:w="80" w:type="dxa"/>
              <w:end w:w="120" w:type="dxa"/>
            </w:tcMar>
          </w:tcPr>
          <w:p>
            <w:pPr>
              <w:spacing w:after="0"/>
            </w:pPr>
            <w:r>
              <w:rPr>
                <w:rFonts w:ascii="Calibri" w:hAnsi="Calibri"/>
                <w:sz w:val="18"/>
              </w:rPr>
              <w:t>3 rows</w:t>
            </w:r>
          </w:p>
        </w:tc>
        <w:tc>
          <w:tcPr>
            <w:tcW w:type="dxa" w:w="3120"/>
            <w:vAlign w:val="center"/>
            <w:tcMar>
              <w:top w:w="80" w:type="dxa"/>
              <w:start w:w="120" w:type="dxa"/>
              <w:bottom w:w="80" w:type="dxa"/>
              <w:end w:w="120" w:type="dxa"/>
            </w:tcMar>
          </w:tcPr>
          <w:p>
            <w:pPr>
              <w:spacing w:after="0"/>
            </w:pPr>
            <w:r>
              <w:rPr>
                <w:rFonts w:ascii="Calibri" w:hAnsi="Calibri"/>
                <w:sz w:val="18"/>
              </w:rPr>
              <w:t>Minimal custom benchmark example</w:t>
            </w:r>
          </w:p>
        </w:tc>
      </w:tr>
    </w:tbl>
    <w:p/>
    <w:p>
      <w:r>
        <w:t>The main point is that the system can operate on a folder containing a custom `corpus.jsonl` and a custom benchmark file, not only on the original dataset.</w:t>
      </w:r>
    </w:p>
    <w:p>
      <w:pPr>
        <w:pStyle w:val="Heading1"/>
      </w:pPr>
      <w:r>
        <w:t>3. System Architecture</w:t>
      </w:r>
    </w:p>
    <w:p>
      <w:r>
        <w:t>The RAG pipeline is:</w:t>
      </w:r>
    </w:p>
    <w:p>
      <w:pPr>
        <w:pStyle w:val="NoSpacing"/>
      </w:pPr>
      <w:r>
        <w:rPr>
          <w:rFonts w:ascii="Consolas" w:hAnsi="Consolas"/>
          <w:sz w:val="18"/>
        </w:rPr>
        <w:t>Question</w:t>
        <w:br/>
        <w:t>-&gt; Retriever</w:t>
        <w:br/>
        <w:t>-&gt; Top-k legal source chunks</w:t>
        <w:br/>
        <w:t>-&gt; Optional reranker</w:t>
        <w:br/>
        <w:t>-&gt; Answer generator</w:t>
        <w:br/>
        <w:t>-&gt; Answer with citation</w:t>
      </w:r>
    </w:p>
    <w:p>
      <w:r>
        <w:t>Implemented retrieval components:</w:t>
      </w:r>
    </w:p>
    <w:p>
      <w:pPr>
        <w:pStyle w:val="ListBullet"/>
      </w:pPr>
      <w:r>
        <w:t>BM25 lexical retrieval</w:t>
      </w:r>
    </w:p>
    <w:p>
      <w:pPr>
        <w:pStyle w:val="ListBullet"/>
      </w:pPr>
      <w:r>
        <w:t>Dense vector retrieval with sentence-transformer embeddings</w:t>
      </w:r>
    </w:p>
    <w:p>
      <w:pPr>
        <w:pStyle w:val="ListBullet"/>
      </w:pPr>
      <w:r>
        <w:t>Hybrid retrieval combining lexical and dense retrieval</w:t>
      </w:r>
    </w:p>
    <w:p>
      <w:pPr>
        <w:pStyle w:val="ListBullet"/>
      </w:pPr>
      <w:r>
        <w:t>RRF-style rank fusion in the latest retrieval implementation</w:t>
      </w:r>
    </w:p>
    <w:p>
      <w:r>
        <w:t>Implemented generation components:</w:t>
      </w:r>
    </w:p>
    <w:p>
      <w:pPr>
        <w:pStyle w:val="ListBullet"/>
      </w:pPr>
      <w:r>
        <w:t>Extractive source-grounded answer generator</w:t>
      </w:r>
    </w:p>
    <w:p>
      <w:pPr>
        <w:pStyle w:val="ListBullet"/>
      </w:pPr>
      <w:r>
        <w:t>Optional local HuggingFace generator using FLAN-T5</w:t>
      </w:r>
    </w:p>
    <w:p>
      <w:pPr>
        <w:pStyle w:val="ListBullet"/>
      </w:pPr>
      <w:r>
        <w:t>Optional Ollama generation path</w:t>
      </w:r>
    </w:p>
    <w:p>
      <w:r>
        <w:t>The default live demo uses:</w:t>
      </w:r>
    </w:p>
    <w:p>
      <w:pPr>
        <w:pStyle w:val="NoSpacing"/>
      </w:pPr>
      <w:r>
        <w:rPr>
          <w:rFonts w:ascii="Consolas" w:hAnsi="Consolas"/>
          <w:sz w:val="18"/>
        </w:rPr>
        <w:t>BM25 retrieval -&gt; extractive source-grounded answer -&gt; citation</w:t>
      </w:r>
    </w:p>
    <w:p>
      <w:r>
        <w:t>This is the most reliable measured live configuration. The Base vs Fine-tuned experiments below are still reported separately, as required by the submission note.</w:t>
      </w:r>
    </w:p>
    <w:p>
      <w:pPr>
        <w:pStyle w:val="Heading1"/>
      </w:pPr>
      <w:r>
        <w:t>4. Metrics</w:t>
      </w:r>
    </w:p>
    <w:p>
      <w:r>
        <w:t>Because this project has gold questions, gold answers, and gold documents, the metrics are selected according to Scenario 1 in the rubric.</w:t>
      </w:r>
    </w:p>
    <w:p>
      <w:r>
        <w:t>Retrieval metrics: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Recall@5 / Recall@10</w:t>
            </w:r>
          </w:p>
        </w:tc>
        <w:tc>
          <w:tcPr>
            <w:tcW w:type="dxa" w:w="4680"/>
            <w:vAlign w:val="center"/>
            <w:tcMar>
              <w:top w:w="80" w:type="dxa"/>
              <w:start w:w="120" w:type="dxa"/>
              <w:bottom w:w="80" w:type="dxa"/>
              <w:end w:w="120" w:type="dxa"/>
            </w:tcMar>
          </w:tcPr>
          <w:p>
            <w:pPr>
              <w:spacing w:after="0"/>
            </w:pPr>
            <w:r>
              <w:rPr>
                <w:rFonts w:ascii="Calibri" w:hAnsi="Calibri"/>
                <w:sz w:val="18"/>
              </w:rPr>
              <w:t>Measures whether the relevant document is retrieved in top-k.</w:t>
            </w:r>
          </w:p>
        </w:tc>
      </w:tr>
      <w:tr>
        <w:tc>
          <w:tcPr>
            <w:tcW w:type="dxa" w:w="4680"/>
            <w:vAlign w:val="center"/>
            <w:tcMar>
              <w:top w:w="80" w:type="dxa"/>
              <w:start w:w="120" w:type="dxa"/>
              <w:bottom w:w="80" w:type="dxa"/>
              <w:end w:w="120" w:type="dxa"/>
            </w:tcMar>
          </w:tcPr>
          <w:p>
            <w:pPr>
              <w:spacing w:after="0"/>
            </w:pPr>
            <w:r>
              <w:rPr>
                <w:rFonts w:ascii="Calibri" w:hAnsi="Calibri"/>
                <w:sz w:val="18"/>
              </w:rPr>
              <w:t>MRR</w:t>
            </w:r>
          </w:p>
        </w:tc>
        <w:tc>
          <w:tcPr>
            <w:tcW w:type="dxa" w:w="4680"/>
            <w:vAlign w:val="center"/>
            <w:tcMar>
              <w:top w:w="80" w:type="dxa"/>
              <w:start w:w="120" w:type="dxa"/>
              <w:bottom w:w="80" w:type="dxa"/>
              <w:end w:w="120" w:type="dxa"/>
            </w:tcMar>
          </w:tcPr>
          <w:p>
            <w:pPr>
              <w:spacing w:after="0"/>
            </w:pPr>
            <w:r>
              <w:rPr>
                <w:rFonts w:ascii="Calibri" w:hAnsi="Calibri"/>
                <w:sz w:val="18"/>
              </w:rPr>
              <w:t>Measures how highly the first relevant document is ranked.</w:t>
            </w:r>
          </w:p>
        </w:tc>
      </w:tr>
      <w:tr>
        <w:tc>
          <w:tcPr>
            <w:tcW w:type="dxa" w:w="4680"/>
            <w:vAlign w:val="center"/>
            <w:tcMar>
              <w:top w:w="80" w:type="dxa"/>
              <w:start w:w="120" w:type="dxa"/>
              <w:bottom w:w="80" w:type="dxa"/>
              <w:end w:w="120" w:type="dxa"/>
            </w:tcMar>
          </w:tcPr>
          <w:p>
            <w:pPr>
              <w:spacing w:after="0"/>
            </w:pPr>
            <w:r>
              <w:rPr>
                <w:rFonts w:ascii="Calibri" w:hAnsi="Calibri"/>
                <w:sz w:val="18"/>
              </w:rPr>
              <w:t>nDCG@10</w:t>
            </w:r>
          </w:p>
        </w:tc>
        <w:tc>
          <w:tcPr>
            <w:tcW w:type="dxa" w:w="4680"/>
            <w:vAlign w:val="center"/>
            <w:tcMar>
              <w:top w:w="80" w:type="dxa"/>
              <w:start w:w="120" w:type="dxa"/>
              <w:bottom w:w="80" w:type="dxa"/>
              <w:end w:w="120" w:type="dxa"/>
            </w:tcMar>
          </w:tcPr>
          <w:p>
            <w:pPr>
              <w:spacing w:after="0"/>
            </w:pPr>
            <w:r>
              <w:rPr>
                <w:rFonts w:ascii="Calibri" w:hAnsi="Calibri"/>
                <w:sz w:val="18"/>
              </w:rPr>
              <w:t>Measures ranking quality with higher reward for relevant documents near the top.</w:t>
            </w:r>
          </w:p>
        </w:tc>
      </w:tr>
    </w:tbl>
    <w:p/>
    <w:p>
      <w:r>
        <w:t>Answer and grounding metrics: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Exact Match</w:t>
            </w:r>
          </w:p>
        </w:tc>
        <w:tc>
          <w:tcPr>
            <w:tcW w:type="dxa" w:w="4680"/>
            <w:vAlign w:val="center"/>
            <w:tcMar>
              <w:top w:w="80" w:type="dxa"/>
              <w:start w:w="120" w:type="dxa"/>
              <w:bottom w:w="80" w:type="dxa"/>
              <w:end w:w="120" w:type="dxa"/>
            </w:tcMar>
          </w:tcPr>
          <w:p>
            <w:pPr>
              <w:spacing w:after="0"/>
            </w:pPr>
            <w:r>
              <w:rPr>
                <w:rFonts w:ascii="Calibri" w:hAnsi="Calibri"/>
                <w:sz w:val="18"/>
              </w:rPr>
              <w:t>Strict string-level answer match.</w:t>
            </w:r>
          </w:p>
        </w:tc>
      </w:tr>
      <w:tr>
        <w:tc>
          <w:tcPr>
            <w:tcW w:type="dxa" w:w="4680"/>
            <w:vAlign w:val="center"/>
            <w:tcMar>
              <w:top w:w="80" w:type="dxa"/>
              <w:start w:w="120" w:type="dxa"/>
              <w:bottom w:w="80" w:type="dxa"/>
              <w:end w:w="120" w:type="dxa"/>
            </w:tcMar>
          </w:tcPr>
          <w:p>
            <w:pPr>
              <w:spacing w:after="0"/>
            </w:pPr>
            <w:r>
              <w:rPr>
                <w:rFonts w:ascii="Calibri" w:hAnsi="Calibri"/>
                <w:sz w:val="18"/>
              </w:rPr>
              <w:t>Token F1</w:t>
            </w:r>
          </w:p>
        </w:tc>
        <w:tc>
          <w:tcPr>
            <w:tcW w:type="dxa" w:w="4680"/>
            <w:vAlign w:val="center"/>
            <w:tcMar>
              <w:top w:w="80" w:type="dxa"/>
              <w:start w:w="120" w:type="dxa"/>
              <w:bottom w:w="80" w:type="dxa"/>
              <w:end w:w="120" w:type="dxa"/>
            </w:tcMar>
          </w:tcPr>
          <w:p>
            <w:pPr>
              <w:spacing w:after="0"/>
            </w:pPr>
            <w:r>
              <w:rPr>
                <w:rFonts w:ascii="Calibri" w:hAnsi="Calibri"/>
                <w:sz w:val="18"/>
              </w:rPr>
              <w:t>Token overlap between generated answer and gold answer.</w:t>
            </w:r>
          </w:p>
        </w:tc>
      </w:tr>
      <w:tr>
        <w:tc>
          <w:tcPr>
            <w:tcW w:type="dxa" w:w="4680"/>
            <w:vAlign w:val="center"/>
            <w:tcMar>
              <w:top w:w="80" w:type="dxa"/>
              <w:start w:w="120" w:type="dxa"/>
              <w:bottom w:w="80" w:type="dxa"/>
              <w:end w:w="120" w:type="dxa"/>
            </w:tcMar>
          </w:tcPr>
          <w:p>
            <w:pPr>
              <w:spacing w:after="0"/>
            </w:pPr>
            <w:r>
              <w:rPr>
                <w:rFonts w:ascii="Calibri" w:hAnsi="Calibri"/>
                <w:sz w:val="18"/>
              </w:rPr>
              <w:t>ROUGE-L</w:t>
            </w:r>
          </w:p>
        </w:tc>
        <w:tc>
          <w:tcPr>
            <w:tcW w:type="dxa" w:w="4680"/>
            <w:vAlign w:val="center"/>
            <w:tcMar>
              <w:top w:w="80" w:type="dxa"/>
              <w:start w:w="120" w:type="dxa"/>
              <w:bottom w:w="80" w:type="dxa"/>
              <w:end w:w="120" w:type="dxa"/>
            </w:tcMar>
          </w:tcPr>
          <w:p>
            <w:pPr>
              <w:spacing w:after="0"/>
            </w:pPr>
            <w:r>
              <w:rPr>
                <w:rFonts w:ascii="Calibri" w:hAnsi="Calibri"/>
                <w:sz w:val="18"/>
              </w:rPr>
              <w:t>Longest common subsequence overlap with gold answer.</w:t>
            </w:r>
          </w:p>
        </w:tc>
      </w:tr>
      <w:tr>
        <w:tc>
          <w:tcPr>
            <w:tcW w:type="dxa" w:w="4680"/>
            <w:vAlign w:val="center"/>
            <w:tcMar>
              <w:top w:w="80" w:type="dxa"/>
              <w:start w:w="120" w:type="dxa"/>
              <w:bottom w:w="80" w:type="dxa"/>
              <w:end w:w="120" w:type="dxa"/>
            </w:tcMar>
          </w:tcPr>
          <w:p>
            <w:pPr>
              <w:spacing w:after="0"/>
            </w:pPr>
            <w:r>
              <w:rPr>
                <w:rFonts w:ascii="Calibri" w:hAnsi="Calibri"/>
                <w:sz w:val="18"/>
              </w:rPr>
              <w:t>Top-1 / Top-5 source hit</w:t>
            </w:r>
          </w:p>
        </w:tc>
        <w:tc>
          <w:tcPr>
            <w:tcW w:type="dxa" w:w="4680"/>
            <w:vAlign w:val="center"/>
            <w:tcMar>
              <w:top w:w="80" w:type="dxa"/>
              <w:start w:w="120" w:type="dxa"/>
              <w:bottom w:w="80" w:type="dxa"/>
              <w:end w:w="120" w:type="dxa"/>
            </w:tcMar>
          </w:tcPr>
          <w:p>
            <w:pPr>
              <w:spacing w:after="0"/>
            </w:pPr>
            <w:r>
              <w:rPr>
                <w:rFonts w:ascii="Calibri" w:hAnsi="Calibri"/>
                <w:sz w:val="18"/>
              </w:rPr>
              <w:t>Whether the retrieved sources contain the gold source.</w:t>
            </w:r>
          </w:p>
        </w:tc>
      </w:tr>
      <w:tr>
        <w:tc>
          <w:tcPr>
            <w:tcW w:type="dxa" w:w="4680"/>
            <w:vAlign w:val="center"/>
            <w:tcMar>
              <w:top w:w="80" w:type="dxa"/>
              <w:start w:w="120" w:type="dxa"/>
              <w:bottom w:w="80" w:type="dxa"/>
              <w:end w:w="120" w:type="dxa"/>
            </w:tcMar>
          </w:tcPr>
          <w:p>
            <w:pPr>
              <w:spacing w:after="0"/>
            </w:pPr>
            <w:r>
              <w:rPr>
                <w:rFonts w:ascii="Calibri" w:hAnsi="Calibri"/>
                <w:sz w:val="18"/>
              </w:rPr>
              <w:t>Citation accuracy</w:t>
            </w:r>
          </w:p>
        </w:tc>
        <w:tc>
          <w:tcPr>
            <w:tcW w:type="dxa" w:w="4680"/>
            <w:vAlign w:val="center"/>
            <w:tcMar>
              <w:top w:w="80" w:type="dxa"/>
              <w:start w:w="120" w:type="dxa"/>
              <w:bottom w:w="80" w:type="dxa"/>
              <w:end w:w="120" w:type="dxa"/>
            </w:tcMar>
          </w:tcPr>
          <w:p>
            <w:pPr>
              <w:spacing w:after="0"/>
            </w:pPr>
            <w:r>
              <w:rPr>
                <w:rFonts w:ascii="Calibri" w:hAnsi="Calibri"/>
                <w:sz w:val="18"/>
              </w:rPr>
              <w:t>Whether the answer cites the expected source label.</w:t>
            </w:r>
          </w:p>
        </w:tc>
      </w:tr>
      <w:tr>
        <w:tc>
          <w:tcPr>
            <w:tcW w:type="dxa" w:w="4680"/>
            <w:vAlign w:val="center"/>
            <w:tcMar>
              <w:top w:w="80" w:type="dxa"/>
              <w:start w:w="120" w:type="dxa"/>
              <w:bottom w:w="80" w:type="dxa"/>
              <w:end w:w="120" w:type="dxa"/>
            </w:tcMar>
          </w:tcPr>
          <w:p>
            <w:pPr>
              <w:spacing w:after="0"/>
            </w:pPr>
            <w:r>
              <w:rPr>
                <w:rFonts w:ascii="Calibri" w:hAnsi="Calibri"/>
                <w:sz w:val="18"/>
              </w:rPr>
              <w:t>Faithfulness proxy</w:t>
            </w:r>
          </w:p>
        </w:tc>
        <w:tc>
          <w:tcPr>
            <w:tcW w:type="dxa" w:w="4680"/>
            <w:vAlign w:val="center"/>
            <w:tcMar>
              <w:top w:w="80" w:type="dxa"/>
              <w:start w:w="120" w:type="dxa"/>
              <w:bottom w:w="80" w:type="dxa"/>
              <w:end w:w="120" w:type="dxa"/>
            </w:tcMar>
          </w:tcPr>
          <w:p>
            <w:pPr>
              <w:spacing w:after="0"/>
            </w:pPr>
            <w:r>
              <w:rPr>
                <w:rFonts w:ascii="Calibri" w:hAnsi="Calibri"/>
                <w:sz w:val="18"/>
              </w:rPr>
              <w:t>Whether answer tokens are supported by retrieved context tokens.</w:t>
            </w:r>
          </w:p>
        </w:tc>
      </w:tr>
      <w:tr>
        <w:tc>
          <w:tcPr>
            <w:tcW w:type="dxa" w:w="4680"/>
            <w:vAlign w:val="center"/>
            <w:tcMar>
              <w:top w:w="80" w:type="dxa"/>
              <w:start w:w="120" w:type="dxa"/>
              <w:bottom w:w="80" w:type="dxa"/>
              <w:end w:w="120" w:type="dxa"/>
            </w:tcMar>
          </w:tcPr>
          <w:p>
            <w:pPr>
              <w:spacing w:after="0"/>
            </w:pPr>
            <w:r>
              <w:rPr>
                <w:rFonts w:ascii="Calibri" w:hAnsi="Calibri"/>
                <w:sz w:val="18"/>
              </w:rPr>
              <w:t>NLI faithfulness judge</w:t>
            </w:r>
          </w:p>
        </w:tc>
        <w:tc>
          <w:tcPr>
            <w:tcW w:type="dxa" w:w="4680"/>
            <w:vAlign w:val="center"/>
            <w:tcMar>
              <w:top w:w="80" w:type="dxa"/>
              <w:start w:w="120" w:type="dxa"/>
              <w:bottom w:w="80" w:type="dxa"/>
              <w:end w:w="120" w:type="dxa"/>
            </w:tcMar>
          </w:tcPr>
          <w:p>
            <w:pPr>
              <w:spacing w:after="0"/>
            </w:pPr>
            <w:r>
              <w:rPr>
                <w:rFonts w:ascii="Calibri" w:hAnsi="Calibri"/>
                <w:sz w:val="18"/>
              </w:rPr>
              <w:t>A local multilingual NLI model checks semantic support from context.</w:t>
            </w:r>
          </w:p>
        </w:tc>
      </w:tr>
    </w:tbl>
    <w:p/>
    <w:p>
      <w:r>
        <w:t>For legal QA, source hit, citation accuracy, and faithfulness are especially important because a fluent answer is not enough if it is not grounded in a legal document.</w:t>
      </w:r>
    </w:p>
    <w:p>
      <w:pPr>
        <w:pStyle w:val="Heading1"/>
      </w:pPr>
      <w:r>
        <w:t>5. Base RAG System</w:t>
      </w:r>
    </w:p>
    <w:p>
      <w:r>
        <w:t>The Base RAG system is:</w:t>
      </w:r>
    </w:p>
    <w:p>
      <w:pPr>
        <w:pStyle w:val="NoSpacing"/>
      </w:pPr>
      <w:r>
        <w:rPr>
          <w:rFonts w:ascii="Consolas" w:hAnsi="Consolas"/>
          <w:sz w:val="18"/>
        </w:rPr>
        <w:t>BM25 retrieval -&gt; answer generator -&gt; citation</w:t>
      </w:r>
    </w:p>
    <w:p>
      <w:r>
        <w:t>BM25 is a lexical retrieval method. It is a strong baseline for legal data because legal questions often contain exact legal terms, article names, and source-specific wording.</w:t>
      </w:r>
    </w:p>
    <w:p>
      <w:r>
        <w:t>Original 1,000-query retrieval benchmark: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in this benchmark.</w:t>
      </w:r>
    </w:p>
    <w:p>
      <w:r>
        <w:t>QA evaluation with BM25 and extractive source-grounded answers on the 240-question gold benchmark: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This establishes the main reliable baseline.</w:t>
      </w:r>
    </w:p>
    <w:p>
      <w:pPr>
        <w:pStyle w:val="Heading1"/>
      </w:pPr>
      <w:r>
        <w:t>6. Fine-Tuned RAG Variants</w:t>
      </w:r>
    </w:p>
    <w:p>
      <w:r>
        <w:t>Three fine-tuning directions were implemented and evaluated:</w:t>
      </w:r>
    </w:p>
    <w:p>
      <w:pPr>
        <w:pStyle w:val="ListNumber"/>
      </w:pPr>
      <w:r>
        <w:t>Fine-tuned embedding model</w:t>
      </w:r>
    </w:p>
    <w:p>
      <w:pPr>
        <w:pStyle w:val="ListNumber"/>
      </w:pPr>
      <w:r>
        <w:t>Fine-tuned cross-encoder reranker</w:t>
      </w:r>
    </w:p>
    <w:p>
      <w:pPr>
        <w:pStyle w:val="ListNumber"/>
      </w:pPr>
      <w:r>
        <w:t>Fine-tuned FLAN-T5 generator</w:t>
      </w:r>
    </w:p>
    <w:p>
      <w:r>
        <w:t>The goal was not to assume fine-tuning always improves the system. The goal was to measure whether each fine-tuned component improves the same pipeline or the relevant ablation.</w:t>
      </w:r>
    </w:p>
    <w:p>
      <w:pPr>
        <w:pStyle w:val="Heading2"/>
      </w:pPr>
      <w:r>
        <w:t>6.1 Fine-Tuned Embedding Model</w:t>
      </w:r>
    </w:p>
    <w:p>
      <w:r>
        <w:t>The embedding model was fine-tuned with query-positive-negative triples:</w:t>
      </w:r>
    </w:p>
    <w:p>
      <w:pPr>
        <w:pStyle w:val="NoSpacing"/>
      </w:pPr>
      <w:r>
        <w:rPr>
          <w:rFonts w:ascii="Consolas" w:hAnsi="Consolas"/>
          <w:sz w:val="18"/>
        </w:rPr>
        <w:t>query, positive_passage, negative_passage</w:t>
      </w:r>
    </w:p>
    <w:p>
      <w:r>
        <w:t>The intended effect is to move a legal question closer to its relevant legal passage in vector space and farther from irrelevant passages.</w:t>
      </w:r>
    </w:p>
    <w:p>
      <w:r>
        <w:t>Full CPU fine-tuning used all 2,059 triples with one epoch, batch size 4, and max sequence length 256. Training took 2,471 seconds.</w:t>
      </w:r>
    </w:p>
    <w:p>
      <w:r>
        <w:t>Dense retrieval before and after fine-tuning: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Fine-tuned embedding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Result: embedding fine-tuning did not improve dense retrieval on this benchmark. This is reported as a negative ablation result.</w:t>
      </w:r>
    </w:p>
    <w:p>
      <w:pPr>
        <w:pStyle w:val="Heading2"/>
      </w:pPr>
      <w:r>
        <w:t>6.2 Fine-Tuned Reranker</w:t>
      </w:r>
    </w:p>
    <w:p>
      <w:r>
        <w:t>The reranker pipeline is:</w:t>
      </w:r>
    </w:p>
    <w:p>
      <w:pPr>
        <w:pStyle w:val="NoSpacing"/>
      </w:pPr>
      <w:r>
        <w:rPr>
          <w:rFonts w:ascii="Consolas" w:hAnsi="Consolas"/>
          <w:sz w:val="18"/>
        </w:rPr>
        <w:t>Question -&gt; BM25 candidates -&gt; cross-encoder reranker -&gt; top-k sources</w:t>
      </w:r>
    </w:p>
    <w:p>
      <w:r>
        <w:t>A pretrained multilingual cross-encoder reranker was first tested, then fine-tuned using the reranker training data.</w:t>
      </w:r>
    </w:p>
    <w:p>
      <w:r>
        <w:t>100-query subset: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r>
        <w:tc>
          <w:tcPr>
            <w:tcW w:type="dxa" w:w="1872"/>
            <w:vAlign w:val="center"/>
            <w:tcMar>
              <w:top w:w="80" w:type="dxa"/>
              <w:start w:w="120" w:type="dxa"/>
              <w:bottom w:w="80" w:type="dxa"/>
              <w:end w:w="120" w:type="dxa"/>
            </w:tcMar>
          </w:tcPr>
          <w:p>
            <w:pPr>
              <w:spacing w:after="0"/>
            </w:pPr>
            <w:r>
              <w:rPr>
                <w:rFonts w:ascii="Calibri" w:hAnsi="Calibri"/>
                <w:sz w:val="18"/>
              </w:rPr>
              <w:t>Fine-tuned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0.950</w:t>
            </w:r>
          </w:p>
        </w:tc>
        <w:tc>
          <w:tcPr>
            <w:tcW w:type="dxa" w:w="1872"/>
            <w:vAlign w:val="center"/>
            <w:tcMar>
              <w:top w:w="80" w:type="dxa"/>
              <w:start w:w="120" w:type="dxa"/>
              <w:bottom w:w="80" w:type="dxa"/>
              <w:end w:w="120" w:type="dxa"/>
            </w:tcMar>
          </w:tcPr>
          <w:p>
            <w:pPr>
              <w:spacing w:after="0"/>
            </w:pPr>
            <w:r>
              <w:rPr>
                <w:rFonts w:ascii="Calibri" w:hAnsi="Calibri"/>
                <w:sz w:val="18"/>
              </w:rPr>
              <w:t>0.970</w:t>
            </w:r>
          </w:p>
        </w:tc>
        <w:tc>
          <w:tcPr>
            <w:tcW w:type="dxa" w:w="1872"/>
            <w:vAlign w:val="center"/>
            <w:tcMar>
              <w:top w:w="80" w:type="dxa"/>
              <w:start w:w="120" w:type="dxa"/>
              <w:bottom w:w="80" w:type="dxa"/>
              <w:end w:w="120" w:type="dxa"/>
            </w:tcMar>
          </w:tcPr>
          <w:p>
            <w:pPr>
              <w:spacing w:after="0"/>
            </w:pPr>
            <w:r>
              <w:rPr>
                <w:rFonts w:ascii="Calibri" w:hAnsi="Calibri"/>
                <w:sz w:val="18"/>
              </w:rPr>
              <w:t>0.898</w:t>
            </w:r>
          </w:p>
        </w:tc>
        <w:tc>
          <w:tcPr>
            <w:tcW w:type="dxa" w:w="1872"/>
            <w:vAlign w:val="center"/>
            <w:tcMar>
              <w:top w:w="80" w:type="dxa"/>
              <w:start w:w="120" w:type="dxa"/>
              <w:bottom w:w="80" w:type="dxa"/>
              <w:end w:w="120" w:type="dxa"/>
            </w:tcMar>
          </w:tcPr>
          <w:p>
            <w:pPr>
              <w:spacing w:after="0"/>
            </w:pPr>
            <w:r>
              <w:rPr>
                <w:rFonts w:ascii="Calibri" w:hAnsi="Calibri"/>
                <w:sz w:val="18"/>
              </w:rPr>
              <w:t>0.916</w:t>
            </w:r>
          </w:p>
        </w:tc>
      </w:tr>
    </w:tbl>
    <w:p/>
    <w:p>
      <w:r>
        <w:t>The fine-tuned reranker improves substantially over the pretrained reranker.</w:t>
      </w:r>
    </w:p>
    <w:p>
      <w:r>
        <w:t>Full 1,000-query benchmark:</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Queries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560"/>
            <w:vAlign w:val="center"/>
            <w:tcMar>
              <w:top w:w="80" w:type="dxa"/>
              <w:start w:w="120" w:type="dxa"/>
              <w:bottom w:w="80" w:type="dxa"/>
              <w:end w:w="120" w:type="dxa"/>
            </w:tcMar>
            <w:shd w:fill="F2F4F7"/>
          </w:tcPr>
          <w:p>
            <w:pPr>
              <w:spacing w:after="0"/>
            </w:pPr>
            <w:r>
              <w:rPr>
                <w:rFonts w:ascii="Calibri" w:hAnsi="Calibri"/>
                <w:b/>
                <w:sz w:val="18"/>
              </w:rPr>
              <w:t>MRR</w:t>
            </w:r>
          </w:p>
        </w:tc>
        <w:tc>
          <w:tcPr>
            <w:tcW w:type="dxa" w:w="1560"/>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560"/>
            <w:vAlign w:val="center"/>
            <w:tcMar>
              <w:top w:w="80" w:type="dxa"/>
              <w:start w:w="120" w:type="dxa"/>
              <w:bottom w:w="80" w:type="dxa"/>
              <w:end w:w="120" w:type="dxa"/>
            </w:tcMar>
          </w:tcPr>
          <w:p>
            <w:pPr>
              <w:spacing w:after="0"/>
            </w:pPr>
            <w:r>
              <w:rPr>
                <w:rFonts w:ascii="Calibri" w:hAnsi="Calibri"/>
                <w:sz w:val="18"/>
              </w:rPr>
              <w:t>BM25 first-stage ranking</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0.947</w:t>
            </w:r>
          </w:p>
        </w:tc>
        <w:tc>
          <w:tcPr>
            <w:tcW w:type="dxa" w:w="1560"/>
            <w:vAlign w:val="center"/>
            <w:tcMar>
              <w:top w:w="80" w:type="dxa"/>
              <w:start w:w="120" w:type="dxa"/>
              <w:bottom w:w="80" w:type="dxa"/>
              <w:end w:w="120" w:type="dxa"/>
            </w:tcMar>
          </w:tcPr>
          <w:p>
            <w:pPr>
              <w:spacing w:after="0"/>
            </w:pPr>
            <w:r>
              <w:rPr>
                <w:rFonts w:ascii="Calibri" w:hAnsi="Calibri"/>
                <w:sz w:val="18"/>
              </w:rPr>
              <w:t>0.975</w:t>
            </w:r>
          </w:p>
        </w:tc>
        <w:tc>
          <w:tcPr>
            <w:tcW w:type="dxa" w:w="1560"/>
            <w:vAlign w:val="center"/>
            <w:tcMar>
              <w:top w:w="80" w:type="dxa"/>
              <w:start w:w="120" w:type="dxa"/>
              <w:bottom w:w="80" w:type="dxa"/>
              <w:end w:w="120" w:type="dxa"/>
            </w:tcMar>
          </w:tcPr>
          <w:p>
            <w:pPr>
              <w:spacing w:after="0"/>
            </w:pPr>
            <w:r>
              <w:rPr>
                <w:rFonts w:ascii="Calibri" w:hAnsi="Calibri"/>
                <w:sz w:val="18"/>
              </w:rPr>
              <w:t>0.864</w:t>
            </w:r>
          </w:p>
        </w:tc>
        <w:tc>
          <w:tcPr>
            <w:tcW w:type="dxa" w:w="1560"/>
            <w:vAlign w:val="center"/>
            <w:tcMar>
              <w:top w:w="80" w:type="dxa"/>
              <w:start w:w="120" w:type="dxa"/>
              <w:bottom w:w="80" w:type="dxa"/>
              <w:end w:w="120" w:type="dxa"/>
            </w:tcMar>
          </w:tcPr>
          <w:p>
            <w:pPr>
              <w:spacing w:after="0"/>
            </w:pPr>
            <w:r>
              <w:rPr>
                <w:rFonts w:ascii="Calibri" w:hAnsi="Calibri"/>
                <w:sz w:val="18"/>
              </w:rPr>
              <w:t>0.890</w:t>
            </w:r>
          </w:p>
        </w:tc>
      </w:tr>
      <w:tr>
        <w:tc>
          <w:tcPr>
            <w:tcW w:type="dxa" w:w="1560"/>
            <w:vAlign w:val="center"/>
            <w:tcMar>
              <w:top w:w="80" w:type="dxa"/>
              <w:start w:w="120" w:type="dxa"/>
              <w:bottom w:w="80" w:type="dxa"/>
              <w:end w:w="120" w:type="dxa"/>
            </w:tcMar>
          </w:tcPr>
          <w:p>
            <w:pPr>
              <w:spacing w:after="0"/>
            </w:pPr>
            <w:r>
              <w:rPr>
                <w:rFonts w:ascii="Calibri" w:hAnsi="Calibri"/>
                <w:sz w:val="18"/>
              </w:rPr>
              <w:t>Fine-tuned reranker</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0.882</w:t>
            </w:r>
          </w:p>
        </w:tc>
        <w:tc>
          <w:tcPr>
            <w:tcW w:type="dxa" w:w="1560"/>
            <w:vAlign w:val="center"/>
            <w:tcMar>
              <w:top w:w="80" w:type="dxa"/>
              <w:start w:w="120" w:type="dxa"/>
              <w:bottom w:w="80" w:type="dxa"/>
              <w:end w:w="120" w:type="dxa"/>
            </w:tcMar>
          </w:tcPr>
          <w:p>
            <w:pPr>
              <w:spacing w:after="0"/>
            </w:pPr>
            <w:r>
              <w:rPr>
                <w:rFonts w:ascii="Calibri" w:hAnsi="Calibri"/>
                <w:sz w:val="18"/>
              </w:rPr>
              <w:t>0.915</w:t>
            </w:r>
          </w:p>
        </w:tc>
        <w:tc>
          <w:tcPr>
            <w:tcW w:type="dxa" w:w="1560"/>
            <w:vAlign w:val="center"/>
            <w:tcMar>
              <w:top w:w="80" w:type="dxa"/>
              <w:start w:w="120" w:type="dxa"/>
              <w:bottom w:w="80" w:type="dxa"/>
              <w:end w:w="120" w:type="dxa"/>
            </w:tcMar>
          </w:tcPr>
          <w:p>
            <w:pPr>
              <w:spacing w:after="0"/>
            </w:pPr>
            <w:r>
              <w:rPr>
                <w:rFonts w:ascii="Calibri" w:hAnsi="Calibri"/>
                <w:sz w:val="18"/>
              </w:rPr>
              <w:t>0.789</w:t>
            </w:r>
          </w:p>
        </w:tc>
        <w:tc>
          <w:tcPr>
            <w:tcW w:type="dxa" w:w="1560"/>
            <w:vAlign w:val="center"/>
            <w:tcMar>
              <w:top w:w="80" w:type="dxa"/>
              <w:start w:w="120" w:type="dxa"/>
              <w:bottom w:w="80" w:type="dxa"/>
              <w:end w:w="120" w:type="dxa"/>
            </w:tcMar>
          </w:tcPr>
          <w:p>
            <w:pPr>
              <w:spacing w:after="0"/>
            </w:pPr>
            <w:r>
              <w:rPr>
                <w:rFonts w:ascii="Calibri" w:hAnsi="Calibri"/>
                <w:sz w:val="18"/>
              </w:rPr>
              <w:t>0.820</w:t>
            </w:r>
          </w:p>
        </w:tc>
      </w:tr>
    </w:tbl>
    <w:p/>
    <w:p>
      <w:r>
        <w:t>Result: the fine-tuned reranker improves over the pretrained reranker, but BM25 remains stronger on the full benchmark.</w:t>
      </w:r>
    </w:p>
    <w:p>
      <w:pPr>
        <w:pStyle w:val="Heading2"/>
      </w:pPr>
      <w:r>
        <w:t>6.3 Fine-Tuned FLAN-T5 Generator</w:t>
      </w:r>
    </w:p>
    <w:p>
      <w:r>
        <w:t>For the LLM component, `google/flan-t5-small` was used because it is an open-source seq2seq model that can be fine-tuned and run locally on CPU for a small smoke experiment.</w:t>
      </w:r>
    </w:p>
    <w:p>
      <w:r>
        <w:t>Training setup:</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Runtime</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loss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loss</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448</w:t>
            </w:r>
          </w:p>
        </w:tc>
        <w:tc>
          <w:tcPr>
            <w:tcW w:type="dxa" w:w="1560"/>
            <w:vAlign w:val="center"/>
            <w:tcMar>
              <w:top w:w="80" w:type="dxa"/>
              <w:start w:w="120" w:type="dxa"/>
              <w:bottom w:w="80" w:type="dxa"/>
              <w:end w:w="120" w:type="dxa"/>
            </w:tcMar>
          </w:tcPr>
          <w:p>
            <w:pPr>
              <w:spacing w:after="0"/>
            </w:pPr>
            <w:r>
              <w:rPr>
                <w:rFonts w:ascii="Calibri" w:hAnsi="Calibri"/>
                <w:sz w:val="18"/>
              </w:rPr>
              <w:t>64</w:t>
            </w:r>
          </w:p>
        </w:tc>
        <w:tc>
          <w:tcPr>
            <w:tcW w:type="dxa" w:w="1560"/>
            <w:vAlign w:val="center"/>
            <w:tcMar>
              <w:top w:w="80" w:type="dxa"/>
              <w:start w:w="120" w:type="dxa"/>
              <w:bottom w:w="80" w:type="dxa"/>
              <w:end w:w="120" w:type="dxa"/>
            </w:tcMar>
          </w:tcPr>
          <w:p>
            <w:pPr>
              <w:spacing w:after="0"/>
            </w:pPr>
            <w:r>
              <w:rPr>
                <w:rFonts w:ascii="Calibri" w:hAnsi="Calibri"/>
                <w:sz w:val="18"/>
              </w:rPr>
              <w:t>629 sec</w:t>
            </w:r>
          </w:p>
        </w:tc>
        <w:tc>
          <w:tcPr>
            <w:tcW w:type="dxa" w:w="1560"/>
            <w:vAlign w:val="center"/>
            <w:tcMar>
              <w:top w:w="80" w:type="dxa"/>
              <w:start w:w="120" w:type="dxa"/>
              <w:bottom w:w="80" w:type="dxa"/>
              <w:end w:w="120" w:type="dxa"/>
            </w:tcMar>
          </w:tcPr>
          <w:p>
            <w:pPr>
              <w:spacing w:after="0"/>
            </w:pPr>
            <w:r>
              <w:rPr>
                <w:rFonts w:ascii="Calibri" w:hAnsi="Calibri"/>
                <w:sz w:val="18"/>
              </w:rPr>
              <w:t>7.368</w:t>
            </w:r>
          </w:p>
        </w:tc>
        <w:tc>
          <w:tcPr>
            <w:tcW w:type="dxa" w:w="1560"/>
            <w:vAlign w:val="center"/>
            <w:tcMar>
              <w:top w:w="80" w:type="dxa"/>
              <w:start w:w="120" w:type="dxa"/>
              <w:bottom w:w="80" w:type="dxa"/>
              <w:end w:w="120" w:type="dxa"/>
            </w:tcMar>
          </w:tcPr>
          <w:p>
            <w:pPr>
              <w:spacing w:after="0"/>
            </w:pPr>
            <w:r>
              <w:rPr>
                <w:rFonts w:ascii="Calibri" w:hAnsi="Calibri"/>
                <w:sz w:val="18"/>
              </w:rPr>
              <w:t>0.514</w:t>
            </w:r>
          </w:p>
        </w:tc>
      </w:tr>
    </w:tbl>
    <w:p/>
    <w:p>
      <w:r>
        <w:t>The input format is source-grounded:</w:t>
      </w:r>
    </w:p>
    <w:p>
      <w:pPr>
        <w:pStyle w:val="NoSpacing"/>
      </w:pPr>
      <w:r>
        <w:rPr>
          <w:rFonts w:ascii="Consolas" w:hAnsi="Consolas"/>
          <w:sz w:val="18"/>
        </w:rPr>
        <w:t>question + retrieved/legal context -&gt; target answer</w:t>
      </w:r>
    </w:p>
    <w:p>
      <w:r>
        <w:t>Same-pipeline LLM comparison on a 20-question benchmark slice: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Generator</w:t>
            </w:r>
          </w:p>
        </w:tc>
        <w:tc>
          <w:tcPr>
            <w:tcW w:type="dxa" w:w="1872"/>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872"/>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872"/>
            <w:vAlign w:val="center"/>
            <w:tcMar>
              <w:top w:w="80" w:type="dxa"/>
              <w:start w:w="120" w:type="dxa"/>
              <w:bottom w:w="80" w:type="dxa"/>
              <w:end w:w="120" w:type="dxa"/>
            </w:tcMar>
          </w:tcPr>
          <w:p>
            <w:pPr>
              <w:spacing w:after="0"/>
            </w:pPr>
            <w:r>
              <w:rPr>
                <w:rFonts w:ascii="Calibri" w:hAnsi="Calibri"/>
                <w:sz w:val="18"/>
              </w:rPr>
              <w:t>Base FLAN-T5-small</w:t>
            </w:r>
          </w:p>
        </w:tc>
        <w:tc>
          <w:tcPr>
            <w:tcW w:type="dxa" w:w="1872"/>
            <w:vAlign w:val="center"/>
            <w:tcMar>
              <w:top w:w="80" w:type="dxa"/>
              <w:start w:w="120" w:type="dxa"/>
              <w:bottom w:w="80" w:type="dxa"/>
              <w:end w:w="120" w:type="dxa"/>
            </w:tcMar>
          </w:tcPr>
          <w:p>
            <w:pPr>
              <w:spacing w:after="0"/>
            </w:pPr>
            <w:r>
              <w:rPr>
                <w:rFonts w:ascii="Calibri" w:hAnsi="Calibri"/>
                <w:sz w:val="18"/>
              </w:rPr>
              <w:t>0.195</w:t>
            </w:r>
          </w:p>
        </w:tc>
        <w:tc>
          <w:tcPr>
            <w:tcW w:type="dxa" w:w="1872"/>
            <w:vAlign w:val="center"/>
            <w:tcMar>
              <w:top w:w="80" w:type="dxa"/>
              <w:start w:w="120" w:type="dxa"/>
              <w:bottom w:w="80" w:type="dxa"/>
              <w:end w:w="120" w:type="dxa"/>
            </w:tcMar>
          </w:tcPr>
          <w:p>
            <w:pPr>
              <w:spacing w:after="0"/>
            </w:pPr>
            <w:r>
              <w:rPr>
                <w:rFonts w:ascii="Calibri" w:hAnsi="Calibri"/>
                <w:sz w:val="18"/>
              </w:rPr>
              <w:t>0.187</w:t>
            </w:r>
          </w:p>
        </w:tc>
        <w:tc>
          <w:tcPr>
            <w:tcW w:type="dxa" w:w="1872"/>
            <w:vAlign w:val="center"/>
            <w:tcMar>
              <w:top w:w="80" w:type="dxa"/>
              <w:start w:w="120" w:type="dxa"/>
              <w:bottom w:w="80" w:type="dxa"/>
              <w:end w:w="120" w:type="dxa"/>
            </w:tcMar>
          </w:tcPr>
          <w:p>
            <w:pPr>
              <w:spacing w:after="0"/>
            </w:pPr>
            <w:r>
              <w:rPr>
                <w:rFonts w:ascii="Calibri" w:hAnsi="Calibri"/>
                <w:sz w:val="18"/>
              </w:rPr>
              <w:t>0.200</w:t>
            </w:r>
          </w:p>
        </w:tc>
        <w:tc>
          <w:tcPr>
            <w:tcW w:type="dxa" w:w="1872"/>
            <w:vAlign w:val="center"/>
            <w:tcMar>
              <w:top w:w="80" w:type="dxa"/>
              <w:start w:w="120" w:type="dxa"/>
              <w:bottom w:w="80" w:type="dxa"/>
              <w:end w:w="120" w:type="dxa"/>
            </w:tcMar>
          </w:tcPr>
          <w:p>
            <w:pPr>
              <w:spacing w:after="0"/>
            </w:pPr>
            <w:r>
              <w:rPr>
                <w:rFonts w:ascii="Calibri" w:hAnsi="Calibri"/>
                <w:sz w:val="18"/>
              </w:rPr>
              <w:t>0.486</w:t>
            </w:r>
          </w:p>
        </w:tc>
      </w:tr>
      <w:tr>
        <w:tc>
          <w:tcPr>
            <w:tcW w:type="dxa" w:w="1872"/>
            <w:vAlign w:val="center"/>
            <w:tcMar>
              <w:top w:w="80" w:type="dxa"/>
              <w:start w:w="120" w:type="dxa"/>
              <w:bottom w:w="80" w:type="dxa"/>
              <w:end w:w="120" w:type="dxa"/>
            </w:tcMar>
          </w:tcPr>
          <w:p>
            <w:pPr>
              <w:spacing w:after="0"/>
            </w:pPr>
            <w:r>
              <w:rPr>
                <w:rFonts w:ascii="Calibri" w:hAnsi="Calibri"/>
                <w:sz w:val="18"/>
              </w:rPr>
              <w:t>Fine-tuned FLAN-T5-small</w:t>
            </w:r>
          </w:p>
        </w:tc>
        <w:tc>
          <w:tcPr>
            <w:tcW w:type="dxa" w:w="1872"/>
            <w:vAlign w:val="center"/>
            <w:tcMar>
              <w:top w:w="80" w:type="dxa"/>
              <w:start w:w="120" w:type="dxa"/>
              <w:bottom w:w="80" w:type="dxa"/>
              <w:end w:w="120" w:type="dxa"/>
            </w:tcMar>
          </w:tcPr>
          <w:p>
            <w:pPr>
              <w:spacing w:after="0"/>
            </w:pPr>
            <w:r>
              <w:rPr>
                <w:rFonts w:ascii="Calibri" w:hAnsi="Calibri"/>
                <w:sz w:val="18"/>
              </w:rPr>
              <w:t>0.232</w:t>
            </w:r>
          </w:p>
        </w:tc>
        <w:tc>
          <w:tcPr>
            <w:tcW w:type="dxa" w:w="1872"/>
            <w:vAlign w:val="center"/>
            <w:tcMar>
              <w:top w:w="80" w:type="dxa"/>
              <w:start w:w="120" w:type="dxa"/>
              <w:bottom w:w="80" w:type="dxa"/>
              <w:end w:w="120" w:type="dxa"/>
            </w:tcMar>
          </w:tcPr>
          <w:p>
            <w:pPr>
              <w:spacing w:after="0"/>
            </w:pPr>
            <w:r>
              <w:rPr>
                <w:rFonts w:ascii="Calibri" w:hAnsi="Calibri"/>
                <w:sz w:val="18"/>
              </w:rPr>
              <w:t>0.210</w:t>
            </w:r>
          </w:p>
        </w:tc>
        <w:tc>
          <w:tcPr>
            <w:tcW w:type="dxa" w:w="1872"/>
            <w:vAlign w:val="center"/>
            <w:tcMar>
              <w:top w:w="80" w:type="dxa"/>
              <w:start w:w="120" w:type="dxa"/>
              <w:bottom w:w="80" w:type="dxa"/>
              <w:end w:w="120" w:type="dxa"/>
            </w:tcMar>
          </w:tcPr>
          <w:p>
            <w:pPr>
              <w:spacing w:after="0"/>
            </w:pPr>
            <w:r>
              <w:rPr>
                <w:rFonts w:ascii="Calibri" w:hAnsi="Calibri"/>
                <w:sz w:val="18"/>
              </w:rPr>
              <w:t>0.350</w:t>
            </w:r>
          </w:p>
        </w:tc>
        <w:tc>
          <w:tcPr>
            <w:tcW w:type="dxa" w:w="1872"/>
            <w:vAlign w:val="center"/>
            <w:tcMar>
              <w:top w:w="80" w:type="dxa"/>
              <w:start w:w="120" w:type="dxa"/>
              <w:bottom w:w="80" w:type="dxa"/>
              <w:end w:w="120" w:type="dxa"/>
            </w:tcMar>
          </w:tcPr>
          <w:p>
            <w:pPr>
              <w:spacing w:after="0"/>
            </w:pPr>
            <w:r>
              <w:rPr>
                <w:rFonts w:ascii="Calibri" w:hAnsi="Calibri"/>
                <w:sz w:val="18"/>
              </w:rPr>
              <w:t>0.593</w:t>
            </w:r>
          </w:p>
        </w:tc>
      </w:tr>
    </w:tbl>
    <w:p/>
    <w:p>
      <w:r>
        <w:t>Result: fine-tuning improves the same FLAN-T5 model under the same retrieval and generation pipeline. However, the fine-tuned model is still weaker than the extractive answer mode for legal citation reliability.</w:t>
      </w:r>
    </w:p>
    <w:p>
      <w:pPr>
        <w:pStyle w:val="Heading1"/>
      </w:pPr>
      <w:r>
        <w:t>7. Base RAG vs Fine-Tuned RAG Comparison</w:t>
      </w:r>
    </w:p>
    <w:p>
      <w:r>
        <w:t>The instructor note asks for Base RAG and Fine-tuned RAG to be compared on the same benchmark. The project includes a runner for this:</w:t>
      </w:r>
    </w:p>
    <w:p>
      <w:pPr>
        <w:pStyle w:val="NoSpacing"/>
      </w:pPr>
      <w:r>
        <w:rPr>
          <w:rFonts w:ascii="Consolas" w:hAnsi="Consolas"/>
          <w:sz w:val="18"/>
        </w:rPr>
        <w:t>python scripts/run_base_vs_finetuned_eval.py --data-dir DATA_DIR --output-dir OUTPUT_DIR</w:t>
      </w:r>
    </w:p>
    <w:p>
      <w:r>
        <w:t>Latest submission-style comparison on the 150-question local benchmark:</w:t>
      </w:r>
    </w:p>
    <w:p>
      <w:r>
        <w:t>Base RAG:</w:t>
      </w:r>
    </w:p>
    <w:p>
      <w:pPr>
        <w:pStyle w:val="NoSpacing"/>
      </w:pPr>
      <w:r>
        <w:rPr>
          <w:rFonts w:ascii="Consolas" w:hAnsi="Consolas"/>
          <w:sz w:val="18"/>
        </w:rPr>
        <w:t>BM25 retrieval -&gt; extractive answer</w:t>
      </w:r>
    </w:p>
    <w:p>
      <w:r>
        <w:t>Fine-tuned RAG:</w:t>
      </w:r>
    </w:p>
    <w:p>
      <w:pPr>
        <w:pStyle w:val="NoSpacing"/>
      </w:pPr>
      <w:r>
        <w:rPr>
          <w:rFonts w:ascii="Consolas" w:hAnsi="Consolas"/>
          <w:sz w:val="18"/>
        </w:rPr>
        <w:t>BM25 top-15 candidates -&gt; fine-tuned cross-encoder reranker -&gt; top-5 -&gt; extractive answer</w:t>
      </w:r>
    </w:p>
    <w:p>
      <w:r>
        <w:t>Both systems use the same corpus, same benchmark, and same extractive answer generator.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2340"/>
            <w:vAlign w:val="center"/>
            <w:tcMar>
              <w:top w:w="80" w:type="dxa"/>
              <w:start w:w="120" w:type="dxa"/>
              <w:bottom w:w="80" w:type="dxa"/>
              <w:end w:w="120" w:type="dxa"/>
            </w:tcMar>
            <w:shd w:fill="F2F4F7"/>
          </w:tcPr>
          <w:p>
            <w:pPr>
              <w:spacing w:after="0"/>
            </w:pPr>
            <w:r>
              <w:rPr>
                <w:rFonts w:ascii="Calibri" w:hAnsi="Calibri"/>
                <w:b/>
                <w:sz w:val="18"/>
              </w:rPr>
              <w:t>Base BM25 RAG</w:t>
            </w:r>
          </w:p>
        </w:tc>
        <w:tc>
          <w:tcPr>
            <w:tcW w:type="dxa" w:w="2340"/>
            <w:vAlign w:val="center"/>
            <w:tcMar>
              <w:top w:w="80" w:type="dxa"/>
              <w:start w:w="120" w:type="dxa"/>
              <w:bottom w:w="80" w:type="dxa"/>
              <w:end w:w="120" w:type="dxa"/>
            </w:tcMar>
            <w:shd w:fill="F2F4F7"/>
          </w:tcPr>
          <w:p>
            <w:pPr>
              <w:spacing w:after="0"/>
            </w:pPr>
            <w:r>
              <w:rPr>
                <w:rFonts w:ascii="Calibri" w:hAnsi="Calibri"/>
                <w:b/>
                <w:sz w:val="18"/>
              </w:rPr>
              <w:t>Fine-tuned reranker RAG</w:t>
            </w:r>
          </w:p>
        </w:tc>
        <w:tc>
          <w:tcPr>
            <w:tcW w:type="dxa" w:w="2340"/>
            <w:vAlign w:val="center"/>
            <w:tcMar>
              <w:top w:w="80" w:type="dxa"/>
              <w:start w:w="120" w:type="dxa"/>
              <w:bottom w:w="80" w:type="dxa"/>
              <w:end w:w="120" w:type="dxa"/>
            </w:tcMar>
            <w:shd w:fill="F2F4F7"/>
          </w:tcPr>
          <w:p>
            <w:pPr>
              <w:spacing w:after="0"/>
            </w:pPr>
            <w:r>
              <w:rPr>
                <w:rFonts w:ascii="Calibri" w:hAnsi="Calibri"/>
                <w:b/>
                <w:sz w:val="18"/>
              </w:rPr>
              <w:t>Delta</w:t>
            </w:r>
          </w:p>
        </w:tc>
      </w:tr>
      <w:tr>
        <w:tc>
          <w:tcPr>
            <w:tcW w:type="dxa" w:w="2340"/>
            <w:vAlign w:val="center"/>
            <w:tcMar>
              <w:top w:w="80" w:type="dxa"/>
              <w:start w:w="120" w:type="dxa"/>
              <w:bottom w:w="80" w:type="dxa"/>
              <w:end w:w="120" w:type="dxa"/>
            </w:tcMar>
          </w:tcPr>
          <w:p>
            <w:pPr>
              <w:spacing w:after="0"/>
            </w:pPr>
            <w:r>
              <w:rPr>
                <w:rFonts w:ascii="Calibri" w:hAnsi="Calibri"/>
                <w:sz w:val="18"/>
              </w:rPr>
              <w:t>Token F1</w:t>
            </w:r>
          </w:p>
        </w:tc>
        <w:tc>
          <w:tcPr>
            <w:tcW w:type="dxa" w:w="2340"/>
            <w:vAlign w:val="center"/>
            <w:tcMar>
              <w:top w:w="80" w:type="dxa"/>
              <w:start w:w="120" w:type="dxa"/>
              <w:bottom w:w="80" w:type="dxa"/>
              <w:end w:w="120" w:type="dxa"/>
            </w:tcMar>
          </w:tcPr>
          <w:p>
            <w:pPr>
              <w:spacing w:after="0"/>
            </w:pPr>
            <w:r>
              <w:rPr>
                <w:rFonts w:ascii="Calibri" w:hAnsi="Calibri"/>
                <w:sz w:val="18"/>
              </w:rPr>
              <w:t>0.703</w:t>
            </w:r>
          </w:p>
        </w:tc>
        <w:tc>
          <w:tcPr>
            <w:tcW w:type="dxa" w:w="2340"/>
            <w:vAlign w:val="center"/>
            <w:tcMar>
              <w:top w:w="80" w:type="dxa"/>
              <w:start w:w="120" w:type="dxa"/>
              <w:bottom w:w="80" w:type="dxa"/>
              <w:end w:w="120" w:type="dxa"/>
            </w:tcMar>
          </w:tcPr>
          <w:p>
            <w:pPr>
              <w:spacing w:after="0"/>
            </w:pPr>
            <w:r>
              <w:rPr>
                <w:rFonts w:ascii="Calibri" w:hAnsi="Calibri"/>
                <w:sz w:val="18"/>
              </w:rPr>
              <w:t>0.631</w:t>
            </w:r>
          </w:p>
        </w:tc>
        <w:tc>
          <w:tcPr>
            <w:tcW w:type="dxa" w:w="2340"/>
            <w:vAlign w:val="center"/>
            <w:tcMar>
              <w:top w:w="80" w:type="dxa"/>
              <w:start w:w="120" w:type="dxa"/>
              <w:bottom w:w="80" w:type="dxa"/>
              <w:end w:w="120" w:type="dxa"/>
            </w:tcMar>
          </w:tcPr>
          <w:p>
            <w:pPr>
              <w:spacing w:after="0"/>
            </w:pPr>
            <w:r>
              <w:rPr>
                <w:rFonts w:ascii="Calibri" w:hAnsi="Calibri"/>
                <w:sz w:val="18"/>
              </w:rPr>
              <w:t>-0.072</w:t>
            </w:r>
          </w:p>
        </w:tc>
      </w:tr>
      <w:tr>
        <w:tc>
          <w:tcPr>
            <w:tcW w:type="dxa" w:w="2340"/>
            <w:vAlign w:val="center"/>
            <w:tcMar>
              <w:top w:w="80" w:type="dxa"/>
              <w:start w:w="120" w:type="dxa"/>
              <w:bottom w:w="80" w:type="dxa"/>
              <w:end w:w="120" w:type="dxa"/>
            </w:tcMar>
          </w:tcPr>
          <w:p>
            <w:pPr>
              <w:spacing w:after="0"/>
            </w:pPr>
            <w:r>
              <w:rPr>
                <w:rFonts w:ascii="Calibri" w:hAnsi="Calibri"/>
                <w:sz w:val="18"/>
              </w:rPr>
              <w:t>ROUGE-L</w:t>
            </w:r>
          </w:p>
        </w:tc>
        <w:tc>
          <w:tcPr>
            <w:tcW w:type="dxa" w:w="2340"/>
            <w:vAlign w:val="center"/>
            <w:tcMar>
              <w:top w:w="80" w:type="dxa"/>
              <w:start w:w="120" w:type="dxa"/>
              <w:bottom w:w="80" w:type="dxa"/>
              <w:end w:w="120" w:type="dxa"/>
            </w:tcMar>
          </w:tcPr>
          <w:p>
            <w:pPr>
              <w:spacing w:after="0"/>
            </w:pPr>
            <w:r>
              <w:rPr>
                <w:rFonts w:ascii="Calibri" w:hAnsi="Calibri"/>
                <w:sz w:val="18"/>
              </w:rPr>
              <w:t>0.702</w:t>
            </w:r>
          </w:p>
        </w:tc>
        <w:tc>
          <w:tcPr>
            <w:tcW w:type="dxa" w:w="2340"/>
            <w:vAlign w:val="center"/>
            <w:tcMar>
              <w:top w:w="80" w:type="dxa"/>
              <w:start w:w="120" w:type="dxa"/>
              <w:bottom w:w="80" w:type="dxa"/>
              <w:end w:w="120" w:type="dxa"/>
            </w:tcMar>
          </w:tcPr>
          <w:p>
            <w:pPr>
              <w:spacing w:after="0"/>
            </w:pPr>
            <w:r>
              <w:rPr>
                <w:rFonts w:ascii="Calibri" w:hAnsi="Calibri"/>
                <w:sz w:val="18"/>
              </w:rPr>
              <w:t>0.621</w:t>
            </w:r>
          </w:p>
        </w:tc>
        <w:tc>
          <w:tcPr>
            <w:tcW w:type="dxa" w:w="2340"/>
            <w:vAlign w:val="center"/>
            <w:tcMar>
              <w:top w:w="80" w:type="dxa"/>
              <w:start w:w="120" w:type="dxa"/>
              <w:bottom w:w="80" w:type="dxa"/>
              <w:end w:w="120" w:type="dxa"/>
            </w:tcMar>
          </w:tcPr>
          <w:p>
            <w:pPr>
              <w:spacing w:after="0"/>
            </w:pPr>
            <w:r>
              <w:rPr>
                <w:rFonts w:ascii="Calibri" w:hAnsi="Calibri"/>
                <w:sz w:val="18"/>
              </w:rPr>
              <w:t>-0.080</w:t>
            </w:r>
          </w:p>
        </w:tc>
      </w:tr>
      <w:tr>
        <w:tc>
          <w:tcPr>
            <w:tcW w:type="dxa" w:w="2340"/>
            <w:vAlign w:val="center"/>
            <w:tcMar>
              <w:top w:w="80" w:type="dxa"/>
              <w:start w:w="120" w:type="dxa"/>
              <w:bottom w:w="80" w:type="dxa"/>
              <w:end w:w="120" w:type="dxa"/>
            </w:tcMar>
          </w:tcPr>
          <w:p>
            <w:pPr>
              <w:spacing w:after="0"/>
            </w:pPr>
            <w:r>
              <w:rPr>
                <w:rFonts w:ascii="Calibri" w:hAnsi="Calibri"/>
                <w:sz w:val="18"/>
              </w:rPr>
              <w:t>Top-1 source hit</w:t>
            </w:r>
          </w:p>
        </w:tc>
        <w:tc>
          <w:tcPr>
            <w:tcW w:type="dxa" w:w="2340"/>
            <w:vAlign w:val="center"/>
            <w:tcMar>
              <w:top w:w="80" w:type="dxa"/>
              <w:start w:w="120" w:type="dxa"/>
              <w:bottom w:w="80" w:type="dxa"/>
              <w:end w:w="120" w:type="dxa"/>
            </w:tcMar>
          </w:tcPr>
          <w:p>
            <w:pPr>
              <w:spacing w:after="0"/>
            </w:pPr>
            <w:r>
              <w:rPr>
                <w:rFonts w:ascii="Calibri" w:hAnsi="Calibri"/>
                <w:sz w:val="18"/>
              </w:rPr>
              <w:t>0.960</w:t>
            </w:r>
          </w:p>
        </w:tc>
        <w:tc>
          <w:tcPr>
            <w:tcW w:type="dxa" w:w="2340"/>
            <w:vAlign w:val="center"/>
            <w:tcMar>
              <w:top w:w="80" w:type="dxa"/>
              <w:start w:w="120" w:type="dxa"/>
              <w:bottom w:w="80" w:type="dxa"/>
              <w:end w:w="120" w:type="dxa"/>
            </w:tcMar>
          </w:tcPr>
          <w:p>
            <w:pPr>
              <w:spacing w:after="0"/>
            </w:pPr>
            <w:r>
              <w:rPr>
                <w:rFonts w:ascii="Calibri" w:hAnsi="Calibri"/>
                <w:sz w:val="18"/>
              </w:rPr>
              <w:t>0.620</w:t>
            </w:r>
          </w:p>
        </w:tc>
        <w:tc>
          <w:tcPr>
            <w:tcW w:type="dxa" w:w="2340"/>
            <w:vAlign w:val="center"/>
            <w:tcMar>
              <w:top w:w="80" w:type="dxa"/>
              <w:start w:w="120" w:type="dxa"/>
              <w:bottom w:w="80" w:type="dxa"/>
              <w:end w:w="120" w:type="dxa"/>
            </w:tcMar>
          </w:tcPr>
          <w:p>
            <w:pPr>
              <w:spacing w:after="0"/>
            </w:pPr>
            <w:r>
              <w:rPr>
                <w:rFonts w:ascii="Calibri" w:hAnsi="Calibri"/>
                <w:sz w:val="18"/>
              </w:rPr>
              <w:t>-0.340</w:t>
            </w:r>
          </w:p>
        </w:tc>
      </w:tr>
      <w:tr>
        <w:tc>
          <w:tcPr>
            <w:tcW w:type="dxa" w:w="2340"/>
            <w:vAlign w:val="center"/>
            <w:tcMar>
              <w:top w:w="80" w:type="dxa"/>
              <w:start w:w="120" w:type="dxa"/>
              <w:bottom w:w="80" w:type="dxa"/>
              <w:end w:w="120" w:type="dxa"/>
            </w:tcMar>
          </w:tcPr>
          <w:p>
            <w:pPr>
              <w:spacing w:after="0"/>
            </w:pPr>
            <w:r>
              <w:rPr>
                <w:rFonts w:ascii="Calibri" w:hAnsi="Calibri"/>
                <w:sz w:val="18"/>
              </w:rPr>
              <w:t>Top-5 source hit</w:t>
            </w:r>
          </w:p>
        </w:tc>
        <w:tc>
          <w:tcPr>
            <w:tcW w:type="dxa" w:w="2340"/>
            <w:vAlign w:val="center"/>
            <w:tcMar>
              <w:top w:w="80" w:type="dxa"/>
              <w:start w:w="120" w:type="dxa"/>
              <w:bottom w:w="80" w:type="dxa"/>
              <w:end w:w="120" w:type="dxa"/>
            </w:tcMar>
          </w:tcPr>
          <w:p>
            <w:pPr>
              <w:spacing w:after="0"/>
            </w:pPr>
            <w:r>
              <w:rPr>
                <w:rFonts w:ascii="Calibri" w:hAnsi="Calibri"/>
                <w:sz w:val="18"/>
              </w:rPr>
              <w:t>0.993</w:t>
            </w:r>
          </w:p>
        </w:tc>
        <w:tc>
          <w:tcPr>
            <w:tcW w:type="dxa" w:w="2340"/>
            <w:vAlign w:val="center"/>
            <w:tcMar>
              <w:top w:w="80" w:type="dxa"/>
              <w:start w:w="120" w:type="dxa"/>
              <w:bottom w:w="80" w:type="dxa"/>
              <w:end w:w="120" w:type="dxa"/>
            </w:tcMar>
          </w:tcPr>
          <w:p>
            <w:pPr>
              <w:spacing w:after="0"/>
            </w:pPr>
            <w:r>
              <w:rPr>
                <w:rFonts w:ascii="Calibri" w:hAnsi="Calibri"/>
                <w:sz w:val="18"/>
              </w:rPr>
              <w:t>0.900</w:t>
            </w:r>
          </w:p>
        </w:tc>
        <w:tc>
          <w:tcPr>
            <w:tcW w:type="dxa" w:w="2340"/>
            <w:vAlign w:val="center"/>
            <w:tcMar>
              <w:top w:w="80" w:type="dxa"/>
              <w:start w:w="120" w:type="dxa"/>
              <w:bottom w:w="80" w:type="dxa"/>
              <w:end w:w="120" w:type="dxa"/>
            </w:tcMar>
          </w:tcPr>
          <w:p>
            <w:pPr>
              <w:spacing w:after="0"/>
            </w:pPr>
            <w:r>
              <w:rPr>
                <w:rFonts w:ascii="Calibri" w:hAnsi="Calibri"/>
                <w:sz w:val="18"/>
              </w:rPr>
              <w:t>-0.093</w:t>
            </w:r>
          </w:p>
        </w:tc>
      </w:tr>
      <w:tr>
        <w:tc>
          <w:tcPr>
            <w:tcW w:type="dxa" w:w="2340"/>
            <w:vAlign w:val="center"/>
            <w:tcMar>
              <w:top w:w="80" w:type="dxa"/>
              <w:start w:w="120" w:type="dxa"/>
              <w:bottom w:w="80" w:type="dxa"/>
              <w:end w:w="120" w:type="dxa"/>
            </w:tcMar>
          </w:tcPr>
          <w:p>
            <w:pPr>
              <w:spacing w:after="0"/>
            </w:pPr>
            <w:r>
              <w:rPr>
                <w:rFonts w:ascii="Calibri" w:hAnsi="Calibri"/>
                <w:sz w:val="18"/>
              </w:rPr>
              <w:t>Citation accuracy</w:t>
            </w:r>
          </w:p>
        </w:tc>
        <w:tc>
          <w:tcPr>
            <w:tcW w:type="dxa" w:w="2340"/>
            <w:vAlign w:val="center"/>
            <w:tcMar>
              <w:top w:w="80" w:type="dxa"/>
              <w:start w:w="120" w:type="dxa"/>
              <w:bottom w:w="80" w:type="dxa"/>
              <w:end w:w="120" w:type="dxa"/>
            </w:tcMar>
          </w:tcPr>
          <w:p>
            <w:pPr>
              <w:spacing w:after="0"/>
            </w:pPr>
            <w:r>
              <w:rPr>
                <w:rFonts w:ascii="Calibri" w:hAnsi="Calibri"/>
                <w:sz w:val="18"/>
              </w:rPr>
              <w:t>0.960</w:t>
            </w:r>
          </w:p>
        </w:tc>
        <w:tc>
          <w:tcPr>
            <w:tcW w:type="dxa" w:w="2340"/>
            <w:vAlign w:val="center"/>
            <w:tcMar>
              <w:top w:w="80" w:type="dxa"/>
              <w:start w:w="120" w:type="dxa"/>
              <w:bottom w:w="80" w:type="dxa"/>
              <w:end w:w="120" w:type="dxa"/>
            </w:tcMar>
          </w:tcPr>
          <w:p>
            <w:pPr>
              <w:spacing w:after="0"/>
            </w:pPr>
            <w:r>
              <w:rPr>
                <w:rFonts w:ascii="Calibri" w:hAnsi="Calibri"/>
                <w:sz w:val="18"/>
              </w:rPr>
              <w:t>0.620</w:t>
            </w:r>
          </w:p>
        </w:tc>
        <w:tc>
          <w:tcPr>
            <w:tcW w:type="dxa" w:w="2340"/>
            <w:vAlign w:val="center"/>
            <w:tcMar>
              <w:top w:w="80" w:type="dxa"/>
              <w:start w:w="120" w:type="dxa"/>
              <w:bottom w:w="80" w:type="dxa"/>
              <w:end w:w="120" w:type="dxa"/>
            </w:tcMar>
          </w:tcPr>
          <w:p>
            <w:pPr>
              <w:spacing w:after="0"/>
            </w:pPr>
            <w:r>
              <w:rPr>
                <w:rFonts w:ascii="Calibri" w:hAnsi="Calibri"/>
                <w:sz w:val="18"/>
              </w:rPr>
              <w:t>-0.340</w:t>
            </w:r>
          </w:p>
        </w:tc>
      </w:tr>
      <w:tr>
        <w:tc>
          <w:tcPr>
            <w:tcW w:type="dxa" w:w="2340"/>
            <w:vAlign w:val="center"/>
            <w:tcMar>
              <w:top w:w="80" w:type="dxa"/>
              <w:start w:w="120" w:type="dxa"/>
              <w:bottom w:w="80" w:type="dxa"/>
              <w:end w:w="120" w:type="dxa"/>
            </w:tcMar>
          </w:tcPr>
          <w:p>
            <w:pPr>
              <w:spacing w:after="0"/>
            </w:pPr>
            <w:r>
              <w:rPr>
                <w:rFonts w:ascii="Calibri" w:hAnsi="Calibri"/>
                <w:sz w:val="18"/>
              </w:rPr>
              <w:t>Faithfulness proxy</w:t>
            </w:r>
          </w:p>
        </w:tc>
        <w:tc>
          <w:tcPr>
            <w:tcW w:type="dxa" w:w="2340"/>
            <w:vAlign w:val="center"/>
            <w:tcMar>
              <w:top w:w="80" w:type="dxa"/>
              <w:start w:w="120" w:type="dxa"/>
              <w:bottom w:w="80" w:type="dxa"/>
              <w:end w:w="120" w:type="dxa"/>
            </w:tcMar>
          </w:tcPr>
          <w:p>
            <w:pPr>
              <w:spacing w:after="0"/>
            </w:pPr>
            <w:r>
              <w:rPr>
                <w:rFonts w:ascii="Calibri" w:hAnsi="Calibri"/>
                <w:sz w:val="18"/>
              </w:rPr>
              <w:t>0.928</w:t>
            </w:r>
          </w:p>
        </w:tc>
        <w:tc>
          <w:tcPr>
            <w:tcW w:type="dxa" w:w="2340"/>
            <w:vAlign w:val="center"/>
            <w:tcMar>
              <w:top w:w="80" w:type="dxa"/>
              <w:start w:w="120" w:type="dxa"/>
              <w:bottom w:w="80" w:type="dxa"/>
              <w:end w:w="120" w:type="dxa"/>
            </w:tcMar>
          </w:tcPr>
          <w:p>
            <w:pPr>
              <w:spacing w:after="0"/>
            </w:pPr>
            <w:r>
              <w:rPr>
                <w:rFonts w:ascii="Calibri" w:hAnsi="Calibri"/>
                <w:sz w:val="18"/>
              </w:rPr>
              <w:t>0.934</w:t>
            </w:r>
          </w:p>
        </w:tc>
        <w:tc>
          <w:tcPr>
            <w:tcW w:type="dxa" w:w="2340"/>
            <w:vAlign w:val="center"/>
            <w:tcMar>
              <w:top w:w="80" w:type="dxa"/>
              <w:start w:w="120" w:type="dxa"/>
              <w:bottom w:w="80" w:type="dxa"/>
              <w:end w:w="120" w:type="dxa"/>
            </w:tcMar>
          </w:tcPr>
          <w:p>
            <w:pPr>
              <w:spacing w:after="0"/>
            </w:pPr>
            <w:r>
              <w:rPr>
                <w:rFonts w:ascii="Calibri" w:hAnsi="Calibri"/>
                <w:sz w:val="18"/>
              </w:rPr>
              <w:t>+0.006</w:t>
            </w:r>
          </w:p>
        </w:tc>
      </w:tr>
      <w:tr>
        <w:tc>
          <w:tcPr>
            <w:tcW w:type="dxa" w:w="2340"/>
            <w:vAlign w:val="center"/>
            <w:tcMar>
              <w:top w:w="80" w:type="dxa"/>
              <w:start w:w="120" w:type="dxa"/>
              <w:bottom w:w="80" w:type="dxa"/>
              <w:end w:w="120" w:type="dxa"/>
            </w:tcMar>
          </w:tcPr>
          <w:p>
            <w:pPr>
              <w:spacing w:after="0"/>
            </w:pPr>
            <w:r>
              <w:rPr>
                <w:rFonts w:ascii="Calibri" w:hAnsi="Calibri"/>
                <w:sz w:val="18"/>
              </w:rPr>
              <w:t>NLI faithfulness</w:t>
            </w:r>
          </w:p>
        </w:tc>
        <w:tc>
          <w:tcPr>
            <w:tcW w:type="dxa" w:w="2340"/>
            <w:vAlign w:val="center"/>
            <w:tcMar>
              <w:top w:w="80" w:type="dxa"/>
              <w:start w:w="120" w:type="dxa"/>
              <w:bottom w:w="80" w:type="dxa"/>
              <w:end w:w="120" w:type="dxa"/>
            </w:tcMar>
          </w:tcPr>
          <w:p>
            <w:pPr>
              <w:spacing w:after="0"/>
            </w:pPr>
            <w:r>
              <w:rPr>
                <w:rFonts w:ascii="Calibri" w:hAnsi="Calibri"/>
                <w:sz w:val="18"/>
              </w:rPr>
              <w:t>0.807</w:t>
            </w:r>
          </w:p>
        </w:tc>
        <w:tc>
          <w:tcPr>
            <w:tcW w:type="dxa" w:w="2340"/>
            <w:vAlign w:val="center"/>
            <w:tcMar>
              <w:top w:w="80" w:type="dxa"/>
              <w:start w:w="120" w:type="dxa"/>
              <w:bottom w:w="80" w:type="dxa"/>
              <w:end w:w="120" w:type="dxa"/>
            </w:tcMar>
          </w:tcPr>
          <w:p>
            <w:pPr>
              <w:spacing w:after="0"/>
            </w:pPr>
            <w:r>
              <w:rPr>
                <w:rFonts w:ascii="Calibri" w:hAnsi="Calibri"/>
                <w:sz w:val="18"/>
              </w:rPr>
              <w:t>0.792</w:t>
            </w:r>
          </w:p>
        </w:tc>
        <w:tc>
          <w:tcPr>
            <w:tcW w:type="dxa" w:w="2340"/>
            <w:vAlign w:val="center"/>
            <w:tcMar>
              <w:top w:w="80" w:type="dxa"/>
              <w:start w:w="120" w:type="dxa"/>
              <w:bottom w:w="80" w:type="dxa"/>
              <w:end w:w="120" w:type="dxa"/>
            </w:tcMar>
          </w:tcPr>
          <w:p>
            <w:pPr>
              <w:spacing w:after="0"/>
            </w:pPr>
            <w:r>
              <w:rPr>
                <w:rFonts w:ascii="Calibri" w:hAnsi="Calibri"/>
                <w:sz w:val="18"/>
              </w:rPr>
              <w:t>-0.015</w:t>
            </w:r>
          </w:p>
        </w:tc>
      </w:tr>
    </w:tbl>
    <w:p/>
    <w:p>
      <w:r>
        <w:t>Interpretation: on this benchmark, the fine-tuned reranker variant does not improve the final RAG performance. It slightly increases lexical faithfulness, but it hurts source ranking and citation accuracy. Therefore, the final live demo keeps BM25 as the default retriever.</w:t>
      </w:r>
    </w:p>
    <w:p>
      <w:r>
        <w:t>This result is important: the project does not hide negative fine-tuning results. It reports them and selects the final system based on measured performance.</w:t>
      </w:r>
    </w:p>
    <w:p>
      <w:pPr>
        <w:pStyle w:val="Heading1"/>
      </w:pPr>
      <w:r>
        <w:t>8. Ablation Study</w:t>
      </w:r>
    </w:p>
    <w:p>
      <w:r>
        <w:t>The contribution of each fine-tuned component is summarized below.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Component</w:t>
            </w:r>
          </w:p>
        </w:tc>
        <w:tc>
          <w:tcPr>
            <w:tcW w:type="dxa" w:w="1872"/>
            <w:vAlign w:val="center"/>
            <w:tcMar>
              <w:top w:w="80" w:type="dxa"/>
              <w:start w:w="120" w:type="dxa"/>
              <w:bottom w:w="80" w:type="dxa"/>
              <w:end w:w="120" w:type="dxa"/>
            </w:tcMar>
            <w:shd w:fill="F2F4F7"/>
          </w:tcPr>
          <w:p>
            <w:pPr>
              <w:spacing w:after="0"/>
            </w:pPr>
            <w:r>
              <w:rPr>
                <w:rFonts w:ascii="Calibri" w:hAnsi="Calibri"/>
                <w:b/>
                <w:sz w:val="18"/>
              </w:rPr>
              <w:t>Base 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Fine-Tuned Variant</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Result</w:t>
            </w:r>
          </w:p>
        </w:tc>
        <w:tc>
          <w:tcPr>
            <w:tcW w:type="dxa" w:w="1872"/>
            <w:vAlign w:val="center"/>
            <w:tcMar>
              <w:top w:w="80" w:type="dxa"/>
              <w:start w:w="120" w:type="dxa"/>
              <w:bottom w:w="80" w:type="dxa"/>
              <w:end w:w="120" w:type="dxa"/>
            </w:tcMar>
            <w:shd w:fill="F2F4F7"/>
          </w:tcPr>
          <w:p>
            <w:pPr>
              <w:spacing w:after="0"/>
            </w:pPr>
            <w:r>
              <w:rPr>
                <w:rFonts w:ascii="Calibri" w:hAnsi="Calibri"/>
                <w:b/>
                <w:sz w:val="18"/>
              </w:rPr>
              <w:t>Final Decision</w:t>
            </w:r>
          </w:p>
        </w:tc>
      </w:tr>
      <w:tr>
        <w:tc>
          <w:tcPr>
            <w:tcW w:type="dxa" w:w="1872"/>
            <w:vAlign w:val="center"/>
            <w:tcMar>
              <w:top w:w="80" w:type="dxa"/>
              <w:start w:w="120" w:type="dxa"/>
              <w:bottom w:w="80" w:type="dxa"/>
              <w:end w:w="120" w:type="dxa"/>
            </w:tcMar>
          </w:tcPr>
          <w:p>
            <w:pPr>
              <w:spacing w:after="0"/>
            </w:pPr>
            <w:r>
              <w:rPr>
                <w:rFonts w:ascii="Calibri" w:hAnsi="Calibri"/>
                <w:sz w:val="18"/>
              </w:rPr>
              <w:t>Embedding</w:t>
            </w:r>
          </w:p>
        </w:tc>
        <w:tc>
          <w:tcPr>
            <w:tcW w:type="dxa" w:w="1872"/>
            <w:vAlign w:val="center"/>
            <w:tcMar>
              <w:top w:w="80" w:type="dxa"/>
              <w:start w:w="120" w:type="dxa"/>
              <w:bottom w:w="80" w:type="dxa"/>
              <w:end w:w="120" w:type="dxa"/>
            </w:tcMar>
          </w:tcPr>
          <w:p>
            <w:pPr>
              <w:spacing w:after="0"/>
            </w:pPr>
            <w:r>
              <w:rPr>
                <w:rFonts w:ascii="Calibri" w:hAnsi="Calibri"/>
                <w:sz w:val="18"/>
              </w:rPr>
              <w:t>Base multilingual dense retriever</w:t>
            </w:r>
          </w:p>
        </w:tc>
        <w:tc>
          <w:tcPr>
            <w:tcW w:type="dxa" w:w="1872"/>
            <w:vAlign w:val="center"/>
            <w:tcMar>
              <w:top w:w="80" w:type="dxa"/>
              <w:start w:w="120" w:type="dxa"/>
              <w:bottom w:w="80" w:type="dxa"/>
              <w:end w:w="120" w:type="dxa"/>
            </w:tcMar>
          </w:tcPr>
          <w:p>
            <w:pPr>
              <w:spacing w:after="0"/>
            </w:pPr>
            <w:r>
              <w:rPr>
                <w:rFonts w:ascii="Calibri" w:hAnsi="Calibri"/>
                <w:sz w:val="18"/>
              </w:rPr>
              <w:t>Fine-tuned dense retriever</w:t>
            </w:r>
          </w:p>
        </w:tc>
        <w:tc>
          <w:tcPr>
            <w:tcW w:type="dxa" w:w="1872"/>
            <w:vAlign w:val="center"/>
            <w:tcMar>
              <w:top w:w="80" w:type="dxa"/>
              <w:start w:w="120" w:type="dxa"/>
              <w:bottom w:w="80" w:type="dxa"/>
              <w:end w:w="120" w:type="dxa"/>
            </w:tcMar>
          </w:tcPr>
          <w:p>
            <w:pPr>
              <w:spacing w:after="0"/>
            </w:pPr>
            <w:r>
              <w:rPr>
                <w:rFonts w:ascii="Calibri" w:hAnsi="Calibri"/>
                <w:sz w:val="18"/>
              </w:rPr>
              <w:t>Worse Recall@10 and MRR</w:t>
            </w:r>
          </w:p>
        </w:tc>
        <w:tc>
          <w:tcPr>
            <w:tcW w:type="dxa" w:w="1872"/>
            <w:vAlign w:val="center"/>
            <w:tcMar>
              <w:top w:w="80" w:type="dxa"/>
              <w:start w:w="120" w:type="dxa"/>
              <w:bottom w:w="80" w:type="dxa"/>
              <w:end w:w="120" w:type="dxa"/>
            </w:tcMar>
          </w:tcPr>
          <w:p>
            <w:pPr>
              <w:spacing w:after="0"/>
            </w:pPr>
            <w:r>
              <w:rPr>
                <w:rFonts w:ascii="Calibri" w:hAnsi="Calibri"/>
                <w:sz w:val="18"/>
              </w:rPr>
              <w:t>Not used in final demo</w:t>
            </w:r>
          </w:p>
        </w:tc>
      </w:tr>
      <w:tr>
        <w:tc>
          <w:tcPr>
            <w:tcW w:type="dxa" w:w="1872"/>
            <w:vAlign w:val="center"/>
            <w:tcMar>
              <w:top w:w="80" w:type="dxa"/>
              <w:start w:w="120" w:type="dxa"/>
              <w:bottom w:w="80" w:type="dxa"/>
              <w:end w:w="120" w:type="dxa"/>
            </w:tcMar>
          </w:tcPr>
          <w:p>
            <w:pPr>
              <w:spacing w:after="0"/>
            </w:pPr>
            <w:r>
              <w:rPr>
                <w:rFonts w:ascii="Calibri" w:hAnsi="Calibri"/>
                <w:sz w:val="18"/>
              </w:rPr>
              <w:t>Reranker</w:t>
            </w:r>
          </w:p>
        </w:tc>
        <w:tc>
          <w:tcPr>
            <w:tcW w:type="dxa" w:w="1872"/>
            <w:vAlign w:val="center"/>
            <w:tcMar>
              <w:top w:w="80" w:type="dxa"/>
              <w:start w:w="120" w:type="dxa"/>
              <w:bottom w:w="80" w:type="dxa"/>
              <w:end w:w="120" w:type="dxa"/>
            </w:tcMar>
          </w:tcPr>
          <w:p>
            <w:pPr>
              <w:spacing w:after="0"/>
            </w:pPr>
            <w:r>
              <w:rPr>
                <w:rFonts w:ascii="Calibri" w:hAnsi="Calibri"/>
                <w:sz w:val="18"/>
              </w:rPr>
              <w:t>Pretrained cross-encoder</w:t>
            </w:r>
          </w:p>
        </w:tc>
        <w:tc>
          <w:tcPr>
            <w:tcW w:type="dxa" w:w="1872"/>
            <w:vAlign w:val="center"/>
            <w:tcMar>
              <w:top w:w="80" w:type="dxa"/>
              <w:start w:w="120" w:type="dxa"/>
              <w:bottom w:w="80" w:type="dxa"/>
              <w:end w:w="120" w:type="dxa"/>
            </w:tcMar>
          </w:tcPr>
          <w:p>
            <w:pPr>
              <w:spacing w:after="0"/>
            </w:pPr>
            <w:r>
              <w:rPr>
                <w:rFonts w:ascii="Calibri" w:hAnsi="Calibri"/>
                <w:sz w:val="18"/>
              </w:rPr>
              <w:t>Fine-tuned cross-encoder</w:t>
            </w:r>
          </w:p>
        </w:tc>
        <w:tc>
          <w:tcPr>
            <w:tcW w:type="dxa" w:w="1872"/>
            <w:vAlign w:val="center"/>
            <w:tcMar>
              <w:top w:w="80" w:type="dxa"/>
              <w:start w:w="120" w:type="dxa"/>
              <w:bottom w:w="80" w:type="dxa"/>
              <w:end w:w="120" w:type="dxa"/>
            </w:tcMar>
          </w:tcPr>
          <w:p>
            <w:pPr>
              <w:spacing w:after="0"/>
            </w:pPr>
            <w:r>
              <w:rPr>
                <w:rFonts w:ascii="Calibri" w:hAnsi="Calibri"/>
                <w:sz w:val="18"/>
              </w:rPr>
              <w:t>Improved over pretrained reranker but did not beat BM25</w:t>
            </w:r>
          </w:p>
        </w:tc>
        <w:tc>
          <w:tcPr>
            <w:tcW w:type="dxa" w:w="1872"/>
            <w:vAlign w:val="center"/>
            <w:tcMar>
              <w:top w:w="80" w:type="dxa"/>
              <w:start w:w="120" w:type="dxa"/>
              <w:bottom w:w="80" w:type="dxa"/>
              <w:end w:w="120" w:type="dxa"/>
            </w:tcMar>
          </w:tcPr>
          <w:p>
            <w:pPr>
              <w:spacing w:after="0"/>
            </w:pPr>
            <w:r>
              <w:rPr>
                <w:rFonts w:ascii="Calibri" w:hAnsi="Calibri"/>
                <w:sz w:val="18"/>
              </w:rPr>
              <w:t>Reported as ablation</w:t>
            </w:r>
          </w:p>
        </w:tc>
      </w:tr>
      <w:tr>
        <w:tc>
          <w:tcPr>
            <w:tcW w:type="dxa" w:w="1872"/>
            <w:vAlign w:val="center"/>
            <w:tcMar>
              <w:top w:w="80" w:type="dxa"/>
              <w:start w:w="120" w:type="dxa"/>
              <w:bottom w:w="80" w:type="dxa"/>
              <w:end w:w="120" w:type="dxa"/>
            </w:tcMar>
          </w:tcPr>
          <w:p>
            <w:pPr>
              <w:spacing w:after="0"/>
            </w:pPr>
            <w:r>
              <w:rPr>
                <w:rFonts w:ascii="Calibri" w:hAnsi="Calibri"/>
                <w:sz w:val="18"/>
              </w:rPr>
              <w:t>LLM</w:t>
            </w:r>
          </w:p>
        </w:tc>
        <w:tc>
          <w:tcPr>
            <w:tcW w:type="dxa" w:w="1872"/>
            <w:vAlign w:val="center"/>
            <w:tcMar>
              <w:top w:w="80" w:type="dxa"/>
              <w:start w:w="120" w:type="dxa"/>
              <w:bottom w:w="80" w:type="dxa"/>
              <w:end w:w="120" w:type="dxa"/>
            </w:tcMar>
          </w:tcPr>
          <w:p>
            <w:pPr>
              <w:spacing w:after="0"/>
            </w:pPr>
            <w:r>
              <w:rPr>
                <w:rFonts w:ascii="Calibri" w:hAnsi="Calibri"/>
                <w:sz w:val="18"/>
              </w:rPr>
              <w:t>Base FLAN-T5-small</w:t>
            </w:r>
          </w:p>
        </w:tc>
        <w:tc>
          <w:tcPr>
            <w:tcW w:type="dxa" w:w="1872"/>
            <w:vAlign w:val="center"/>
            <w:tcMar>
              <w:top w:w="80" w:type="dxa"/>
              <w:start w:w="120" w:type="dxa"/>
              <w:bottom w:w="80" w:type="dxa"/>
              <w:end w:w="120" w:type="dxa"/>
            </w:tcMar>
          </w:tcPr>
          <w:p>
            <w:pPr>
              <w:spacing w:after="0"/>
            </w:pPr>
            <w:r>
              <w:rPr>
                <w:rFonts w:ascii="Calibri" w:hAnsi="Calibri"/>
                <w:sz w:val="18"/>
              </w:rPr>
              <w:t>Fine-tuned FLAN-T5-small</w:t>
            </w:r>
          </w:p>
        </w:tc>
        <w:tc>
          <w:tcPr>
            <w:tcW w:type="dxa" w:w="1872"/>
            <w:vAlign w:val="center"/>
            <w:tcMar>
              <w:top w:w="80" w:type="dxa"/>
              <w:start w:w="120" w:type="dxa"/>
              <w:bottom w:w="80" w:type="dxa"/>
              <w:end w:w="120" w:type="dxa"/>
            </w:tcMar>
          </w:tcPr>
          <w:p>
            <w:pPr>
              <w:spacing w:after="0"/>
            </w:pPr>
            <w:r>
              <w:rPr>
                <w:rFonts w:ascii="Calibri" w:hAnsi="Calibri"/>
                <w:sz w:val="18"/>
              </w:rPr>
              <w:t>Improved F1, citation, and faithfulness on 20-question slice</w:t>
            </w:r>
          </w:p>
        </w:tc>
        <w:tc>
          <w:tcPr>
            <w:tcW w:type="dxa" w:w="1872"/>
            <w:vAlign w:val="center"/>
            <w:tcMar>
              <w:top w:w="80" w:type="dxa"/>
              <w:start w:w="120" w:type="dxa"/>
              <w:bottom w:w="80" w:type="dxa"/>
              <w:end w:w="120" w:type="dxa"/>
            </w:tcMar>
          </w:tcPr>
          <w:p>
            <w:pPr>
              <w:spacing w:after="0"/>
            </w:pPr>
            <w:r>
              <w:rPr>
                <w:rFonts w:ascii="Calibri" w:hAnsi="Calibri"/>
                <w:sz w:val="18"/>
              </w:rPr>
              <w:t>Optional mode only</w:t>
            </w:r>
          </w:p>
        </w:tc>
      </w:tr>
      <w:tr>
        <w:tc>
          <w:tcPr>
            <w:tcW w:type="dxa" w:w="1872"/>
            <w:vAlign w:val="center"/>
            <w:tcMar>
              <w:top w:w="80" w:type="dxa"/>
              <w:start w:w="120" w:type="dxa"/>
              <w:bottom w:w="80" w:type="dxa"/>
              <w:end w:w="120" w:type="dxa"/>
            </w:tcMar>
          </w:tcPr>
          <w:p>
            <w:pPr>
              <w:spacing w:after="0"/>
            </w:pPr>
            <w:r>
              <w:rPr>
                <w:rFonts w:ascii="Calibri" w:hAnsi="Calibri"/>
                <w:sz w:val="18"/>
              </w:rPr>
              <w:t>Final demo</w:t>
            </w:r>
          </w:p>
        </w:tc>
        <w:tc>
          <w:tcPr>
            <w:tcW w:type="dxa" w:w="1872"/>
            <w:vAlign w:val="center"/>
            <w:tcMar>
              <w:top w:w="80" w:type="dxa"/>
              <w:start w:w="120" w:type="dxa"/>
              <w:bottom w:w="80" w:type="dxa"/>
              <w:end w:w="120" w:type="dxa"/>
            </w:tcMar>
          </w:tcPr>
          <w:p>
            <w:pPr>
              <w:spacing w:after="0"/>
            </w:pPr>
            <w:r>
              <w:rPr>
                <w:rFonts w:ascii="Calibri" w:hAnsi="Calibri"/>
                <w:sz w:val="18"/>
              </w:rPr>
              <w:t>BM25 + extractive answer</w:t>
            </w:r>
          </w:p>
        </w:tc>
        <w:tc>
          <w:tcPr>
            <w:tcW w:type="dxa" w:w="1872"/>
            <w:vAlign w:val="center"/>
            <w:tcMar>
              <w:top w:w="80" w:type="dxa"/>
              <w:start w:w="120" w:type="dxa"/>
              <w:bottom w:w="80" w:type="dxa"/>
              <w:end w:w="120" w:type="dxa"/>
            </w:tcMar>
          </w:tcPr>
          <w:p>
            <w:pPr>
              <w:spacing w:after="0"/>
            </w:pPr>
            <w:r>
              <w:rPr>
                <w:rFonts w:ascii="Calibri" w:hAnsi="Calibri"/>
                <w:sz w:val="18"/>
              </w:rPr>
              <w:t>N/A</w:t>
            </w:r>
          </w:p>
        </w:tc>
        <w:tc>
          <w:tcPr>
            <w:tcW w:type="dxa" w:w="1872"/>
            <w:vAlign w:val="center"/>
            <w:tcMar>
              <w:top w:w="80" w:type="dxa"/>
              <w:start w:w="120" w:type="dxa"/>
              <w:bottom w:w="80" w:type="dxa"/>
              <w:end w:w="120" w:type="dxa"/>
            </w:tcMar>
          </w:tcPr>
          <w:p>
            <w:pPr>
              <w:spacing w:after="0"/>
            </w:pPr>
            <w:r>
              <w:rPr>
                <w:rFonts w:ascii="Calibri" w:hAnsi="Calibri"/>
                <w:sz w:val="18"/>
              </w:rPr>
              <w:t>Strongest citation-reliable live setup</w:t>
            </w:r>
          </w:p>
        </w:tc>
        <w:tc>
          <w:tcPr>
            <w:tcW w:type="dxa" w:w="1872"/>
            <w:vAlign w:val="center"/>
            <w:tcMar>
              <w:top w:w="80" w:type="dxa"/>
              <w:start w:w="120" w:type="dxa"/>
              <w:bottom w:w="80" w:type="dxa"/>
              <w:end w:w="120" w:type="dxa"/>
            </w:tcMar>
          </w:tcPr>
          <w:p>
            <w:pPr>
              <w:spacing w:after="0"/>
            </w:pPr>
            <w:r>
              <w:rPr>
                <w:rFonts w:ascii="Calibri" w:hAnsi="Calibri"/>
                <w:sz w:val="18"/>
              </w:rPr>
              <w:t>Used as default demo</w:t>
            </w:r>
          </w:p>
        </w:tc>
      </w:tr>
    </w:tbl>
    <w:p/>
    <w:p>
      <w:r>
        <w:t>Main conclusion from the ablation: fine-tuning is useful to test, but it does not automatically improve the final legal RAG system. Legal QA requires measured selection based on retrieval accuracy, citation correctness, and grounding.</w:t>
      </w:r>
    </w:p>
    <w:p>
      <w:pPr>
        <w:pStyle w:val="Heading1"/>
      </w:pPr>
      <w:r>
        <w:t>9. Faithfulness and Hallucination-Oriented Evaluation</w:t>
      </w:r>
    </w:p>
    <w:p>
      <w:r>
        <w:t>Hallucination in legal QA means producing an answer that is not supported by the retrieved legal source. For example, if the source says "muebbet hapis" but the model answers "20 years", that is an unsupported answer.</w:t>
      </w:r>
    </w:p>
    <w:p>
      <w:r>
        <w:t>The system uses multiple grounding checks:</w:t>
      </w:r>
    </w:p>
    <w:p>
      <w:pPr>
        <w:pStyle w:val="ListBullet"/>
      </w:pPr>
      <w:r>
        <w:t>Extractive answers to reduce unsupported generation risk</w:t>
      </w:r>
    </w:p>
    <w:p>
      <w:pPr>
        <w:pStyle w:val="ListBullet"/>
      </w:pPr>
      <w:r>
        <w:t>Citation labels to show the source of the answer</w:t>
      </w:r>
    </w:p>
    <w:p>
      <w:pPr>
        <w:pStyle w:val="ListBullet"/>
      </w:pPr>
      <w:r>
        <w:t>Lexical faithfulness proxy</w:t>
      </w:r>
    </w:p>
    <w:p>
      <w:pPr>
        <w:pStyle w:val="ListBullet"/>
      </w:pPr>
      <w:r>
        <w:t>Local multilingual NLI faithfulness judge</w:t>
      </w:r>
    </w:p>
    <w:p>
      <w:r>
        <w:t>NLI judge result on the 240-question original QA benchmark: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This corresponds to an approximate unsupported-answer rate of:</w:t>
      </w:r>
    </w:p>
    <w:p>
      <w:pPr>
        <w:pStyle w:val="NoSpacing"/>
      </w:pPr>
      <w:r>
        <w:rPr>
          <w:rFonts w:ascii="Consolas" w:hAnsi="Consolas"/>
          <w:sz w:val="18"/>
        </w:rPr>
        <w:t>34 / 240 = 14.2%</w:t>
      </w:r>
    </w:p>
    <w:p>
      <w:r>
        <w:t>The judge is stricter than lexical overlap, so this is a more conservative grounding estimate.</w:t>
      </w:r>
    </w:p>
    <w:p>
      <w:pPr>
        <w:pStyle w:val="Heading1"/>
      </w:pPr>
      <w:r>
        <w:t>10. Custom Document and Custom Benchmark Support</w:t>
      </w:r>
    </w:p>
    <w:p>
      <w:r>
        <w:t>The instructor must be able to provide a custom document collection and a custom benchmark. This is supported through `--data-dir`.</w:t>
      </w:r>
    </w:p>
    <w:p>
      <w:r>
        <w:t>Accepted custom corpus files:</w:t>
      </w:r>
    </w:p>
    <w:p>
      <w:pPr>
        <w:pStyle w:val="NoSpacing"/>
      </w:pPr>
      <w:r>
        <w:rPr>
          <w:rFonts w:ascii="Consolas" w:hAnsi="Consolas"/>
          <w:sz w:val="18"/>
        </w:rPr>
        <w:t>corpus.jsonl</w:t>
        <w:br/>
        <w:t>corpus_index.jsonl</w:t>
        <w:br/>
        <w:t>real_corpus.jsonl</w:t>
      </w:r>
    </w:p>
    <w:p>
      <w:r>
        <w:t>Each corpus row must contain at least:</w:t>
      </w:r>
    </w:p>
    <w:p>
      <w:pPr>
        <w:pStyle w:val="NoSpacing"/>
      </w:pPr>
      <w:r>
        <w:rPr>
          <w:rFonts w:ascii="Consolas" w:hAnsi="Consolas"/>
          <w:sz w:val="18"/>
        </w:rPr>
        <w:t>{"id": "DOC_001", "text": "Legal source text"}</w:t>
      </w:r>
    </w:p>
    <w:p>
      <w:r>
        <w:t>Optional fields:</w:t>
      </w:r>
    </w:p>
    <w:p>
      <w:pPr>
        <w:pStyle w:val="NoSpacing"/>
      </w:pPr>
      <w:r>
        <w:rPr>
          <w:rFonts w:ascii="Consolas" w:hAnsi="Consolas"/>
          <w:sz w:val="18"/>
        </w:rPr>
        <w:t>{"title": "Source title", "metadata": {"citation_label": "Citation label"}}</w:t>
      </w:r>
    </w:p>
    <w:p>
      <w:r>
        <w:t>Accepted custom benchmark files:</w:t>
      </w:r>
    </w:p>
    <w:p>
      <w:pPr>
        <w:pStyle w:val="NoSpacing"/>
      </w:pPr>
      <w:r>
        <w:rPr>
          <w:rFonts w:ascii="Consolas" w:hAnsi="Consolas"/>
          <w:sz w:val="18"/>
        </w:rPr>
        <w:t>eval_qa.jsonl</w:t>
        <w:br/>
        <w:t>custom_benchmark.jsonl</w:t>
        <w:br/>
        <w:t>benchmark.jsonl</w:t>
        <w:br/>
        <w:t>eval_qa_150.jsonl</w:t>
      </w:r>
    </w:p>
    <w:p>
      <w:r>
        <w:t>Recommended benchmark row:</w:t>
      </w:r>
    </w:p>
    <w:p>
      <w:pPr>
        <w:pStyle w:val="NoSpacing"/>
      </w:pPr>
      <w:r>
        <w:rPr>
          <w:rFonts w:ascii="Consolas" w:hAnsi="Consolas"/>
          <w:sz w:val="18"/>
        </w:rPr>
        <w:t>{"question": "Kasten oldurme sucu nedir?", "gold_answer": "...", "source_id": "DOC_001"}</w:t>
      </w:r>
    </w:p>
    <w:p>
      <w:r>
        <w:t>Validation command:</w:t>
      </w:r>
    </w:p>
    <w:p>
      <w:pPr>
        <w:pStyle w:val="NoSpacing"/>
      </w:pPr>
      <w:r>
        <w:rPr>
          <w:rFonts w:ascii="Consolas" w:hAnsi="Consolas"/>
          <w:sz w:val="18"/>
        </w:rPr>
        <w:t>python scripts/validate_custom_data.py --data-dir sample_custom_data --require-benchmark</w:t>
      </w:r>
    </w:p>
    <w:p>
      <w:r>
        <w:t>Demo on custom documents:</w:t>
      </w:r>
    </w:p>
    <w:p>
      <w:pPr>
        <w:pStyle w:val="NoSpacing"/>
      </w:pPr>
      <w:r>
        <w:rPr>
          <w:rFonts w:ascii="Consolas" w:hAnsi="Consolas"/>
          <w:sz w:val="18"/>
        </w:rPr>
        <w:t>python scripts/demo_app.py --data-dir sample_custom_data</w:t>
      </w:r>
    </w:p>
    <w:p>
      <w:r>
        <w:t>Evaluation on custom benchmark:</w:t>
      </w:r>
    </w:p>
    <w:p>
      <w:pPr>
        <w:pStyle w:val="NoSpacing"/>
      </w:pPr>
      <w:r>
        <w:rPr>
          <w:rFonts w:ascii="Consolas" w:hAnsi="Consolas"/>
          <w:sz w:val="18"/>
        </w:rPr>
        <w:t>python scripts/run_base_vs_finetuned_eval.py --data-dir sample_custom_data --output-dir outputs/sample_submission_eval</w:t>
      </w:r>
    </w:p>
    <w:p>
      <w:r>
        <w:t>This directly addresses the custom document and custom benchmark requirements.</w:t>
      </w:r>
    </w:p>
    <w:p>
      <w:pPr>
        <w:pStyle w:val="Heading1"/>
      </w:pPr>
      <w:r>
        <w:t>11. Final System Choice</w:t>
      </w:r>
    </w:p>
    <w:p>
      <w:r>
        <w:t>The final default demo system is:</w:t>
      </w:r>
    </w:p>
    <w:p>
      <w:pPr>
        <w:pStyle w:val="NoSpacing"/>
      </w:pPr>
      <w:r>
        <w:rPr>
          <w:rFonts w:ascii="Consolas" w:hAnsi="Consolas"/>
          <w:sz w:val="18"/>
        </w:rPr>
        <w:t>BM25 retrieval -&gt; extractive source-grounded answer -&gt; citation</w:t>
      </w:r>
    </w:p>
    <w:p>
      <w:r>
        <w:t>This is not chosen because it is the most complex model. It is chosen because it is the most reliable measured configuration for live Turkish legal QA in this environment.</w:t>
      </w:r>
    </w:p>
    <w:p>
      <w:r>
        <w:t>Reasons:</w:t>
      </w:r>
    </w:p>
    <w:p>
      <w:pPr>
        <w:pStyle w:val="ListBullet"/>
      </w:pPr>
      <w:r>
        <w:t>BM25 had the strongest retrieval benchmark performance.</w:t>
      </w:r>
    </w:p>
    <w:p>
      <w:pPr>
        <w:pStyle w:val="ListBullet"/>
      </w:pPr>
      <w:r>
        <w:t>Fine-tuned dense retrieval did not improve dense retrieval.</w:t>
      </w:r>
    </w:p>
    <w:p>
      <w:pPr>
        <w:pStyle w:val="ListBullet"/>
      </w:pPr>
      <w:r>
        <w:t>Fine-tuned reranking improved over the pretrained reranker but did not beat BM25 end-to-end.</w:t>
      </w:r>
    </w:p>
    <w:p>
      <w:pPr>
        <w:pStyle w:val="ListBullet"/>
      </w:pPr>
      <w:r>
        <w:t>Fine-tuned FLAN-T5 improved over base FLAN-T5 but still had weak citation reliability.</w:t>
      </w:r>
    </w:p>
    <w:p>
      <w:pPr>
        <w:pStyle w:val="ListBullet"/>
      </w:pPr>
      <w:r>
        <w:t>Legal QA prioritizes grounded, auditable answers over fluent but unsupported generation.</w:t>
      </w:r>
    </w:p>
    <w:p>
      <w:r>
        <w:t>The optional LLM generation path remains available:</w:t>
      </w:r>
    </w:p>
    <w:p>
      <w:pPr>
        <w:pStyle w:val="NoSpacing"/>
      </w:pPr>
      <w:r>
        <w:rPr>
          <w:rFonts w:ascii="Consolas" w:hAnsi="Consolas"/>
          <w:sz w:val="18"/>
        </w:rPr>
        <w:t>python scripts/demo_app.py --data-dir data --answer-mode local_hf --generation-model outputs/models/flan_t5_legal_sft_smoke_512</w:t>
      </w:r>
    </w:p>
    <w:p>
      <w:r>
        <w:t>However, the default demo remains extractive because it is more citation-reliable.</w:t>
      </w:r>
    </w:p>
    <w:p>
      <w:pPr>
        <w:pStyle w:val="Heading1"/>
      </w:pPr>
      <w:r>
        <w:t>12. Reproducibility</w:t>
      </w:r>
    </w:p>
    <w:p>
      <w:r>
        <w:t>Important commands:</w:t>
      </w:r>
    </w:p>
    <w:p>
      <w:pPr>
        <w:pStyle w:val="NoSpacing"/>
      </w:pPr>
      <w:r>
        <w:rPr>
          <w:rFonts w:ascii="Consolas" w:hAnsi="Consolas"/>
          <w:sz w:val="18"/>
        </w:rPr>
        <w:t>python scripts/evaluate_retrieval.py --data-dir data --retriever bm25 --top-k 10</w:t>
        <w:br/>
        <w:t>python scripts/evaluate_qa.py --data-dir data --retriever bm25 --generation-mode extractive --top-k 5</w:t>
        <w:br/>
        <w:t>python scripts/run_base_vs_finetuned_eval.py --data-dir data --output-dir outputs/submission_eval_bm25_vs_finetuned_reranker --base-retriever bm25 --finetuned-retriever bm25 --finetuned-reranker-model PATH_TO_RERANKER</w:t>
        <w:br/>
        <w:t>python scripts/validate_custom_data.py --data-dir sample_custom_data --require-benchmark</w:t>
        <w:br/>
        <w:t>python scripts/demo_app.py --data-dir data</w:t>
      </w:r>
    </w:p>
    <w:p>
      <w:r>
        <w:t>Main supporting documents:</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8"/>
              </w:rPr>
              <w:t>File</w:t>
            </w:r>
          </w:p>
        </w:tc>
        <w:tc>
          <w:tcPr>
            <w:tcW w:type="dxa" w:w="468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4680"/>
            <w:vAlign w:val="center"/>
            <w:tcMar>
              <w:top w:w="80" w:type="dxa"/>
              <w:start w:w="120" w:type="dxa"/>
              <w:bottom w:w="80" w:type="dxa"/>
              <w:end w:w="120" w:type="dxa"/>
            </w:tcMar>
          </w:tcPr>
          <w:p>
            <w:pPr>
              <w:spacing w:after="0"/>
            </w:pPr>
            <w:r>
              <w:rPr>
                <w:rFonts w:ascii="Calibri" w:hAnsi="Calibri"/>
                <w:sz w:val="18"/>
              </w:rPr>
              <w:t>`docs/submission_custom_evaluation_guide.md`</w:t>
            </w:r>
          </w:p>
        </w:tc>
        <w:tc>
          <w:tcPr>
            <w:tcW w:type="dxa" w:w="4680"/>
            <w:vAlign w:val="center"/>
            <w:tcMar>
              <w:top w:w="80" w:type="dxa"/>
              <w:start w:w="120" w:type="dxa"/>
              <w:bottom w:w="80" w:type="dxa"/>
              <w:end w:w="120" w:type="dxa"/>
            </w:tcMar>
          </w:tcPr>
          <w:p>
            <w:pPr>
              <w:spacing w:after="0"/>
            </w:pPr>
            <w:r>
              <w:rPr>
                <w:rFonts w:ascii="Calibri" w:hAnsi="Calibri"/>
                <w:sz w:val="18"/>
              </w:rPr>
              <w:t>Custom corpus and benchmark instructions</w:t>
            </w:r>
          </w:p>
        </w:tc>
      </w:tr>
      <w:tr>
        <w:tc>
          <w:tcPr>
            <w:tcW w:type="dxa" w:w="4680"/>
            <w:vAlign w:val="center"/>
            <w:tcMar>
              <w:top w:w="80" w:type="dxa"/>
              <w:start w:w="120" w:type="dxa"/>
              <w:bottom w:w="80" w:type="dxa"/>
              <w:end w:w="120" w:type="dxa"/>
            </w:tcMar>
          </w:tcPr>
          <w:p>
            <w:pPr>
              <w:spacing w:after="0"/>
            </w:pPr>
            <w:r>
              <w:rPr>
                <w:rFonts w:ascii="Calibri" w:hAnsi="Calibri"/>
                <w:sz w:val="18"/>
              </w:rPr>
              <w:t>`docs/submission_evaluation_results.md`</w:t>
            </w:r>
          </w:p>
        </w:tc>
        <w:tc>
          <w:tcPr>
            <w:tcW w:type="dxa" w:w="4680"/>
            <w:vAlign w:val="center"/>
            <w:tcMar>
              <w:top w:w="80" w:type="dxa"/>
              <w:start w:w="120" w:type="dxa"/>
              <w:bottom w:w="80" w:type="dxa"/>
              <w:end w:w="120" w:type="dxa"/>
            </w:tcMar>
          </w:tcPr>
          <w:p>
            <w:pPr>
              <w:spacing w:after="0"/>
            </w:pPr>
            <w:r>
              <w:rPr>
                <w:rFonts w:ascii="Calibri" w:hAnsi="Calibri"/>
                <w:sz w:val="18"/>
              </w:rPr>
              <w:t>Latest submission-style evaluation results</w:t>
            </w:r>
          </w:p>
        </w:tc>
      </w:tr>
      <w:tr>
        <w:tc>
          <w:tcPr>
            <w:tcW w:type="dxa" w:w="4680"/>
            <w:vAlign w:val="center"/>
            <w:tcMar>
              <w:top w:w="80" w:type="dxa"/>
              <w:start w:w="120" w:type="dxa"/>
              <w:bottom w:w="80" w:type="dxa"/>
              <w:end w:w="120" w:type="dxa"/>
            </w:tcMar>
          </w:tcPr>
          <w:p>
            <w:pPr>
              <w:spacing w:after="0"/>
            </w:pPr>
            <w:r>
              <w:rPr>
                <w:rFonts w:ascii="Calibri" w:hAnsi="Calibri"/>
                <w:sz w:val="18"/>
              </w:rPr>
              <w:t>`docs/controlled_ablation_summary.md`</w:t>
            </w:r>
          </w:p>
        </w:tc>
        <w:tc>
          <w:tcPr>
            <w:tcW w:type="dxa" w:w="4680"/>
            <w:vAlign w:val="center"/>
            <w:tcMar>
              <w:top w:w="80" w:type="dxa"/>
              <w:start w:w="120" w:type="dxa"/>
              <w:bottom w:w="80" w:type="dxa"/>
              <w:end w:w="120" w:type="dxa"/>
            </w:tcMar>
          </w:tcPr>
          <w:p>
            <w:pPr>
              <w:spacing w:after="0"/>
            </w:pPr>
            <w:r>
              <w:rPr>
                <w:rFonts w:ascii="Calibri" w:hAnsi="Calibri"/>
                <w:sz w:val="18"/>
              </w:rPr>
              <w:t>Base vs fine-tuned component ablations</w:t>
            </w:r>
          </w:p>
        </w:tc>
      </w:tr>
      <w:tr>
        <w:tc>
          <w:tcPr>
            <w:tcW w:type="dxa" w:w="4680"/>
            <w:vAlign w:val="center"/>
            <w:tcMar>
              <w:top w:w="80" w:type="dxa"/>
              <w:start w:w="120" w:type="dxa"/>
              <w:bottom w:w="80" w:type="dxa"/>
              <w:end w:w="120" w:type="dxa"/>
            </w:tcMar>
          </w:tcPr>
          <w:p>
            <w:pPr>
              <w:spacing w:after="0"/>
            </w:pPr>
            <w:r>
              <w:rPr>
                <w:rFonts w:ascii="Calibri" w:hAnsi="Calibri"/>
                <w:sz w:val="18"/>
              </w:rPr>
              <w:t>`docs/reproducibility_evidence.md`</w:t>
            </w:r>
          </w:p>
        </w:tc>
        <w:tc>
          <w:tcPr>
            <w:tcW w:type="dxa" w:w="4680"/>
            <w:vAlign w:val="center"/>
            <w:tcMar>
              <w:top w:w="80" w:type="dxa"/>
              <w:start w:w="120" w:type="dxa"/>
              <w:bottom w:w="80" w:type="dxa"/>
              <w:end w:w="120" w:type="dxa"/>
            </w:tcMar>
          </w:tcPr>
          <w:p>
            <w:pPr>
              <w:spacing w:after="0"/>
            </w:pPr>
            <w:r>
              <w:rPr>
                <w:rFonts w:ascii="Calibri" w:hAnsi="Calibri"/>
                <w:sz w:val="18"/>
              </w:rPr>
              <w:t>Exact commands and measured outputs</w:t>
            </w:r>
          </w:p>
        </w:tc>
      </w:tr>
      <w:tr>
        <w:tc>
          <w:tcPr>
            <w:tcW w:type="dxa" w:w="4680"/>
            <w:vAlign w:val="center"/>
            <w:tcMar>
              <w:top w:w="80" w:type="dxa"/>
              <w:start w:w="120" w:type="dxa"/>
              <w:bottom w:w="80" w:type="dxa"/>
              <w:end w:w="120" w:type="dxa"/>
            </w:tcMar>
          </w:tcPr>
          <w:p>
            <w:pPr>
              <w:spacing w:after="0"/>
            </w:pPr>
            <w:r>
              <w:rPr>
                <w:rFonts w:ascii="Calibri" w:hAnsi="Calibri"/>
                <w:sz w:val="18"/>
              </w:rPr>
              <w:t>`SUBMISSION_READY.md`</w:t>
            </w:r>
          </w:p>
        </w:tc>
        <w:tc>
          <w:tcPr>
            <w:tcW w:type="dxa" w:w="4680"/>
            <w:vAlign w:val="center"/>
            <w:tcMar>
              <w:top w:w="80" w:type="dxa"/>
              <w:start w:w="120" w:type="dxa"/>
              <w:bottom w:w="80" w:type="dxa"/>
              <w:end w:w="120" w:type="dxa"/>
            </w:tcMar>
          </w:tcPr>
          <w:p>
            <w:pPr>
              <w:spacing w:after="0"/>
            </w:pPr>
            <w:r>
              <w:rPr>
                <w:rFonts w:ascii="Calibri" w:hAnsi="Calibri"/>
                <w:sz w:val="18"/>
              </w:rPr>
              <w:t>Short checklist for final submission</w:t>
            </w:r>
          </w:p>
        </w:tc>
      </w:tr>
    </w:tbl>
    <w:p/>
    <w:p>
      <w:pPr>
        <w:pStyle w:val="Heading1"/>
      </w:pPr>
      <w:r>
        <w:t>13. Limitations</w:t>
      </w:r>
    </w:p>
    <w:p>
      <w:r>
        <w:t>The project has several limitations:</w:t>
      </w:r>
    </w:p>
    <w:p>
      <w:pPr>
        <w:pStyle w:val="ListBullet"/>
      </w:pPr>
      <w:r>
        <w:t>The default answer generator is extractive, not a full production-level fine-tuned LLM.</w:t>
      </w:r>
    </w:p>
    <w:p>
      <w:pPr>
        <w:pStyle w:val="ListBullet"/>
      </w:pPr>
      <w:r>
        <w:t>The local machine is CPU-only; no CUDA GPU was available.</w:t>
      </w:r>
    </w:p>
    <w:p>
      <w:pPr>
        <w:pStyle w:val="ListBullet"/>
      </w:pPr>
      <w:r>
        <w:t>FLAN-T5-small is a small model and is not strong enough for high-quality Turkish legal generation.</w:t>
      </w:r>
    </w:p>
    <w:p>
      <w:pPr>
        <w:pStyle w:val="ListBullet"/>
      </w:pPr>
      <w:r>
        <w:t>Fine-tuned embedding and reranker components did not improve the final benchmark enough to replace BM25.</w:t>
      </w:r>
    </w:p>
    <w:p>
      <w:pPr>
        <w:pStyle w:val="ListBullet"/>
      </w:pPr>
      <w:r>
        <w:t>The NLI faithfulness judge is a local semantic judge, not an external API-based LLM judge.</w:t>
      </w:r>
    </w:p>
    <w:p>
      <w:r>
        <w:t>These limitations are reported explicitly because the project selection is based on measured behavior, not on assuming that every fine-tuned component improves performance.</w:t>
      </w:r>
    </w:p>
    <w:p>
      <w:pPr>
        <w:pStyle w:val="Heading1"/>
      </w:pPr>
      <w:r>
        <w:t>14. Conclusion</w:t>
      </w:r>
    </w:p>
    <w:p>
      <w:r>
        <w:t>This project implements a Turkish Legal RAG system with custom document support, gold-benchmark evaluation, Base RAG vs Fine-tuned RAG comparisons, and ablation studies for embedding, reranker, and LLM components.</w:t>
      </w:r>
    </w:p>
    <w:p>
      <w:r>
        <w:t>The most reliable default system is BM25 retrieval with extractive source-grounded answering and citation. The fine-tuned LLM improves over the base FLAN-T5 model in the same generation pipeline, satisfying the same-LLM comparison requirement, but it remains weaker than extractive answering for citation-critical legal QA.</w:t>
      </w:r>
    </w:p>
    <w:p>
      <w:r>
        <w:t>The final conclusion is:</w:t>
      </w:r>
    </w:p>
    <w:p>
      <w:pPr>
        <w:pStyle w:val="NoSpacing"/>
      </w:pPr>
      <w:r>
        <w:rPr>
          <w:rFonts w:ascii="Consolas" w:hAnsi="Consolas"/>
          <w:sz w:val="18"/>
        </w:rPr>
        <w:t>Fine-tuned components were implemented and evaluated, but the deployed live configuration is selected by benchmark performance and citation reliability.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