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Improving Turkish Legal Question Answering with an Optimized RAG Pipeline</w:t>
      </w:r>
    </w:p>
    <w:p>
      <w:pPr>
        <w:jc w:val="center"/>
      </w:pPr>
      <w:r>
        <w:rPr>
          <w:i/>
          <w:color w:val="555555"/>
        </w:rPr>
        <w:t>CENG493 Term Project - Final Technical Report</w:t>
      </w:r>
    </w:p>
    <w:p/>
    <w:p>
      <w:pPr>
        <w:pStyle w:val="Heading1"/>
      </w:pPr>
      <w:r>
        <w:t>1. Introduction</w:t>
      </w:r>
    </w:p>
    <w:p>
      <w:r>
        <w:t>This project develops a domain-adapted Retrieval-Augmented Generation (RAG) system for Turkish legal question answering. The goal is to answer Turkish legal questions with grounded, source-supported, and citation-consistent responses while minimizing hallucination.</w:t>
      </w:r>
    </w:p>
    <w:p>
      <w:r>
        <w:t>Legal QA is especially sensitive to hallucination because an answer may look fluent while being unsupported by legal sources. For this reason, the system is evaluated not only by answer similarity metrics, but also by retrieval quality, citation accuracy, and faithfulness-oriented grounding signals.</w:t>
      </w:r>
    </w:p>
    <w:p>
      <w:pPr>
        <w:pStyle w:val="Heading1"/>
      </w:pPr>
      <w:r>
        <w:t>2. Problem Definition</w:t>
      </w:r>
    </w:p>
    <w:p>
      <w:r>
        <w:t>Input:</w:t>
      </w:r>
    </w:p>
    <w:p>
      <w:pPr>
        <w:pStyle w:val="NoSpacing"/>
      </w:pPr>
      <w:r>
        <w:rPr>
          <w:rFonts w:ascii="Consolas" w:hAnsi="Consolas"/>
          <w:sz w:val="18"/>
        </w:rPr>
        <w:t>A Turkish legal question</w:t>
      </w:r>
    </w:p>
    <w:p>
      <w:r>
        <w:t>Output:</w:t>
      </w:r>
    </w:p>
    <w:p>
      <w:pPr>
        <w:pStyle w:val="NoSpacing"/>
      </w:pPr>
      <w:r>
        <w:rPr>
          <w:rFonts w:ascii="Consolas" w:hAnsi="Consolas"/>
          <w:sz w:val="18"/>
        </w:rPr>
        <w:t>A Turkish answer grounded in retrieved legal sources, with citation information</w:t>
      </w:r>
    </w:p>
    <w:p>
      <w:r>
        <w:t>The main research questions are:</w:t>
      </w:r>
    </w:p>
    <w:p>
      <w:pPr>
        <w:pStyle w:val="ListBullet"/>
      </w:pPr>
      <w:r>
        <w:t>How strong is a simple lexical baseline for Turkish legal retrieval?</w:t>
      </w:r>
    </w:p>
    <w:p>
      <w:pPr>
        <w:pStyle w:val="ListBullet"/>
      </w:pPr>
      <w:r>
        <w:t>Does a generic multilingual dense embedding model perform well in this domain?</w:t>
      </w:r>
    </w:p>
    <w:p>
      <w:pPr>
        <w:pStyle w:val="ListBullet"/>
      </w:pPr>
      <w:r>
        <w:t>Does hybrid retrieval improve over BM25?</w:t>
      </w:r>
    </w:p>
    <w:p>
      <w:pPr>
        <w:pStyle w:val="ListBullet"/>
      </w:pPr>
      <w:r>
        <w:t>Does a pretrained multilingual reranker improve ranking quality?</w:t>
      </w:r>
    </w:p>
    <w:p>
      <w:pPr>
        <w:pStyle w:val="ListBullet"/>
      </w:pPr>
      <w:r>
        <w:t>Which errors come from retrieval failure and which come from ranking failure?</w:t>
      </w:r>
    </w:p>
    <w:p>
      <w:pPr>
        <w:pStyle w:val="Heading1"/>
      </w:pPr>
      <w:r>
        <w:t>3. Dataset</w:t>
      </w:r>
    </w:p>
    <w:p>
      <w:r>
        <w:t>The project uses the provided Turkish legal RAG dataset.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rFonts w:ascii="Calibri" w:hAnsi="Calibri"/>
                <w:b/>
                <w:sz w:val="18"/>
              </w:rPr>
              <w:t>File</w:t>
            </w:r>
          </w:p>
        </w:tc>
        <w:tc>
          <w:tcPr>
            <w:tcW w:type="dxa" w:w="3120"/>
            <w:vAlign w:val="center"/>
            <w:tcMar>
              <w:top w:w="80" w:type="dxa"/>
              <w:start w:w="120" w:type="dxa"/>
              <w:bottom w:w="80" w:type="dxa"/>
              <w:end w:w="120" w:type="dxa"/>
            </w:tcMar>
            <w:shd w:fill="F2F4F7"/>
          </w:tcPr>
          <w:p>
            <w:pPr>
              <w:spacing w:after="0"/>
            </w:pPr>
            <w:r>
              <w:rPr>
                <w:rFonts w:ascii="Calibri" w:hAnsi="Calibri"/>
                <w:b/>
                <w:sz w:val="18"/>
              </w:rPr>
              <w:t>Size</w:t>
            </w:r>
          </w:p>
        </w:tc>
        <w:tc>
          <w:tcPr>
            <w:tcW w:type="dxa" w:w="3120"/>
            <w:vAlign w:val="center"/>
            <w:tcMar>
              <w:top w:w="80" w:type="dxa"/>
              <w:start w:w="120" w:type="dxa"/>
              <w:bottom w:w="80" w:type="dxa"/>
              <w:end w:w="120" w:type="dxa"/>
            </w:tcMar>
            <w:shd w:fill="F2F4F7"/>
          </w:tcPr>
          <w:p>
            <w:pPr>
              <w:spacing w:after="0"/>
            </w:pPr>
            <w:r>
              <w:rPr>
                <w:rFonts w:ascii="Calibri" w:hAnsi="Calibri"/>
                <w:b/>
                <w:sz w:val="18"/>
              </w:rPr>
              <w:t>Purpose</w:t>
            </w:r>
          </w:p>
        </w:tc>
      </w:tr>
      <w:tr>
        <w:tc>
          <w:tcPr>
            <w:tcW w:type="dxa" w:w="3120"/>
            <w:vAlign w:val="center"/>
            <w:tcMar>
              <w:top w:w="80" w:type="dxa"/>
              <w:start w:w="120" w:type="dxa"/>
              <w:bottom w:w="80" w:type="dxa"/>
              <w:end w:w="120" w:type="dxa"/>
            </w:tcMar>
          </w:tcPr>
          <w:p>
            <w:pPr>
              <w:spacing w:after="0"/>
            </w:pPr>
            <w:r>
              <w:rPr>
                <w:rFonts w:ascii="Calibri" w:hAnsi="Calibri"/>
                <w:sz w:val="18"/>
              </w:rPr>
              <w:t>`corpus.jsonl`</w:t>
            </w:r>
          </w:p>
        </w:tc>
        <w:tc>
          <w:tcPr>
            <w:tcW w:type="dxa" w:w="3120"/>
            <w:vAlign w:val="center"/>
            <w:tcMar>
              <w:top w:w="80" w:type="dxa"/>
              <w:start w:w="120" w:type="dxa"/>
              <w:bottom w:w="80" w:type="dxa"/>
              <w:end w:w="120" w:type="dxa"/>
            </w:tcMar>
          </w:tcPr>
          <w:p>
            <w:pPr>
              <w:spacing w:after="0"/>
            </w:pPr>
            <w:r>
              <w:rPr>
                <w:rFonts w:ascii="Calibri" w:hAnsi="Calibri"/>
                <w:sz w:val="18"/>
              </w:rPr>
              <w:t>7,579 rows</w:t>
            </w:r>
          </w:p>
        </w:tc>
        <w:tc>
          <w:tcPr>
            <w:tcW w:type="dxa" w:w="3120"/>
            <w:vAlign w:val="center"/>
            <w:tcMar>
              <w:top w:w="80" w:type="dxa"/>
              <w:start w:w="120" w:type="dxa"/>
              <w:bottom w:w="80" w:type="dxa"/>
              <w:end w:w="120" w:type="dxa"/>
            </w:tcMar>
          </w:tcPr>
          <w:p>
            <w:pPr>
              <w:spacing w:after="0"/>
            </w:pPr>
            <w:r>
              <w:rPr>
                <w:rFonts w:ascii="Calibri" w:hAnsi="Calibri"/>
                <w:sz w:val="18"/>
              </w:rPr>
              <w:t>Source chunks used for retrieval</w:t>
            </w:r>
          </w:p>
        </w:tc>
      </w:tr>
      <w:tr>
        <w:tc>
          <w:tcPr>
            <w:tcW w:type="dxa" w:w="3120"/>
            <w:vAlign w:val="center"/>
            <w:tcMar>
              <w:top w:w="80" w:type="dxa"/>
              <w:start w:w="120" w:type="dxa"/>
              <w:bottom w:w="80" w:type="dxa"/>
              <w:end w:w="120" w:type="dxa"/>
            </w:tcMar>
          </w:tcPr>
          <w:p>
            <w:pPr>
              <w:spacing w:after="0"/>
            </w:pPr>
            <w:r>
              <w:rPr>
                <w:rFonts w:ascii="Calibri" w:hAnsi="Calibri"/>
                <w:sz w:val="18"/>
              </w:rPr>
              <w:t>`rag_eval.json`</w:t>
            </w:r>
          </w:p>
        </w:tc>
        <w:tc>
          <w:tcPr>
            <w:tcW w:type="dxa" w:w="3120"/>
            <w:vAlign w:val="center"/>
            <w:tcMar>
              <w:top w:w="80" w:type="dxa"/>
              <w:start w:w="120" w:type="dxa"/>
              <w:bottom w:w="80" w:type="dxa"/>
              <w:end w:w="120" w:type="dxa"/>
            </w:tcMar>
          </w:tcPr>
          <w:p>
            <w:pPr>
              <w:spacing w:after="0"/>
            </w:pPr>
            <w:r>
              <w:rPr>
                <w:rFonts w:ascii="Calibri" w:hAnsi="Calibri"/>
                <w:sz w:val="18"/>
              </w:rPr>
              <w:t>1,000 rows</w:t>
            </w:r>
          </w:p>
        </w:tc>
        <w:tc>
          <w:tcPr>
            <w:tcW w:type="dxa" w:w="3120"/>
            <w:vAlign w:val="center"/>
            <w:tcMar>
              <w:top w:w="80" w:type="dxa"/>
              <w:start w:w="120" w:type="dxa"/>
              <w:bottom w:w="80" w:type="dxa"/>
              <w:end w:w="120" w:type="dxa"/>
            </w:tcMar>
          </w:tcPr>
          <w:p>
            <w:pPr>
              <w:spacing w:after="0"/>
            </w:pPr>
            <w:r>
              <w:rPr>
                <w:rFonts w:ascii="Calibri" w:hAnsi="Calibri"/>
                <w:sz w:val="18"/>
              </w:rPr>
              <w:t>Retrieval benchmark with gold chunk IDs</w:t>
            </w:r>
          </w:p>
        </w:tc>
      </w:tr>
      <w:tr>
        <w:tc>
          <w:tcPr>
            <w:tcW w:type="dxa" w:w="3120"/>
            <w:vAlign w:val="center"/>
            <w:tcMar>
              <w:top w:w="80" w:type="dxa"/>
              <w:start w:w="120" w:type="dxa"/>
              <w:bottom w:w="80" w:type="dxa"/>
              <w:end w:w="120" w:type="dxa"/>
            </w:tcMar>
          </w:tcPr>
          <w:p>
            <w:pPr>
              <w:spacing w:after="0"/>
            </w:pPr>
            <w:r>
              <w:rPr>
                <w:rFonts w:ascii="Calibri" w:hAnsi="Calibri"/>
                <w:sz w:val="18"/>
              </w:rPr>
              <w:t>`gold_benchmark.json`</w:t>
            </w:r>
          </w:p>
        </w:tc>
        <w:tc>
          <w:tcPr>
            <w:tcW w:type="dxa" w:w="3120"/>
            <w:vAlign w:val="center"/>
            <w:tcMar>
              <w:top w:w="80" w:type="dxa"/>
              <w:start w:w="120" w:type="dxa"/>
              <w:bottom w:w="80" w:type="dxa"/>
              <w:end w:w="120" w:type="dxa"/>
            </w:tcMar>
          </w:tcPr>
          <w:p>
            <w:pPr>
              <w:spacing w:after="0"/>
            </w:pPr>
            <w:r>
              <w:rPr>
                <w:rFonts w:ascii="Calibri" w:hAnsi="Calibri"/>
                <w:sz w:val="18"/>
              </w:rPr>
              <w:t>240 rows</w:t>
            </w:r>
          </w:p>
        </w:tc>
        <w:tc>
          <w:tcPr>
            <w:tcW w:type="dxa" w:w="3120"/>
            <w:vAlign w:val="center"/>
            <w:tcMar>
              <w:top w:w="80" w:type="dxa"/>
              <w:start w:w="120" w:type="dxa"/>
              <w:bottom w:w="80" w:type="dxa"/>
              <w:end w:w="120" w:type="dxa"/>
            </w:tcMar>
          </w:tcPr>
          <w:p>
            <w:pPr>
              <w:spacing w:after="0"/>
            </w:pPr>
            <w:r>
              <w:rPr>
                <w:rFonts w:ascii="Calibri" w:hAnsi="Calibri"/>
                <w:sz w:val="18"/>
              </w:rPr>
              <w:t>Gold QA benchmark with verified answers and gold sources</w:t>
            </w:r>
          </w:p>
        </w:tc>
      </w:tr>
      <w:tr>
        <w:tc>
          <w:tcPr>
            <w:tcW w:type="dxa" w:w="3120"/>
            <w:vAlign w:val="center"/>
            <w:tcMar>
              <w:top w:w="80" w:type="dxa"/>
              <w:start w:w="120" w:type="dxa"/>
              <w:bottom w:w="80" w:type="dxa"/>
              <w:end w:w="120" w:type="dxa"/>
            </w:tcMar>
          </w:tcPr>
          <w:p>
            <w:pPr>
              <w:spacing w:after="0"/>
            </w:pPr>
            <w:r>
              <w:rPr>
                <w:rFonts w:ascii="Calibri" w:hAnsi="Calibri"/>
                <w:sz w:val="18"/>
              </w:rPr>
              <w:t>`embedding.jsonl`</w:t>
            </w:r>
          </w:p>
        </w:tc>
        <w:tc>
          <w:tcPr>
            <w:tcW w:type="dxa" w:w="3120"/>
            <w:vAlign w:val="center"/>
            <w:tcMar>
              <w:top w:w="80" w:type="dxa"/>
              <w:start w:w="120" w:type="dxa"/>
              <w:bottom w:w="80" w:type="dxa"/>
              <w:end w:w="120" w:type="dxa"/>
            </w:tcMar>
          </w:tcPr>
          <w:p>
            <w:pPr>
              <w:spacing w:after="0"/>
            </w:pPr>
            <w:r>
              <w:rPr>
                <w:rFonts w:ascii="Calibri" w:hAnsi="Calibri"/>
                <w:sz w:val="18"/>
              </w:rPr>
              <w:t>2,059 rows</w:t>
            </w:r>
          </w:p>
        </w:tc>
        <w:tc>
          <w:tcPr>
            <w:tcW w:type="dxa" w:w="3120"/>
            <w:vAlign w:val="center"/>
            <w:tcMar>
              <w:top w:w="80" w:type="dxa"/>
              <w:start w:w="120" w:type="dxa"/>
              <w:bottom w:w="80" w:type="dxa"/>
              <w:end w:w="120" w:type="dxa"/>
            </w:tcMar>
          </w:tcPr>
          <w:p>
            <w:pPr>
              <w:spacing w:after="0"/>
            </w:pPr>
            <w:r>
              <w:rPr>
                <w:rFonts w:ascii="Calibri" w:hAnsi="Calibri"/>
                <w:sz w:val="18"/>
              </w:rPr>
              <w:t>Query-positive-negative triples for embedding tuning</w:t>
            </w:r>
          </w:p>
        </w:tc>
      </w:tr>
      <w:tr>
        <w:tc>
          <w:tcPr>
            <w:tcW w:type="dxa" w:w="3120"/>
            <w:vAlign w:val="center"/>
            <w:tcMar>
              <w:top w:w="80" w:type="dxa"/>
              <w:start w:w="120" w:type="dxa"/>
              <w:bottom w:w="80" w:type="dxa"/>
              <w:end w:w="120" w:type="dxa"/>
            </w:tcMar>
          </w:tcPr>
          <w:p>
            <w:pPr>
              <w:spacing w:after="0"/>
            </w:pPr>
            <w:r>
              <w:rPr>
                <w:rFonts w:ascii="Calibri" w:hAnsi="Calibri"/>
                <w:sz w:val="18"/>
              </w:rPr>
              <w:t>`reranker.jsonl`</w:t>
            </w:r>
          </w:p>
        </w:tc>
        <w:tc>
          <w:tcPr>
            <w:tcW w:type="dxa" w:w="3120"/>
            <w:vAlign w:val="center"/>
            <w:tcMar>
              <w:top w:w="80" w:type="dxa"/>
              <w:start w:w="120" w:type="dxa"/>
              <w:bottom w:w="80" w:type="dxa"/>
              <w:end w:w="120" w:type="dxa"/>
            </w:tcMar>
          </w:tcPr>
          <w:p>
            <w:pPr>
              <w:spacing w:after="0"/>
            </w:pPr>
            <w:r>
              <w:rPr>
                <w:rFonts w:ascii="Calibri" w:hAnsi="Calibri"/>
                <w:sz w:val="18"/>
              </w:rPr>
              <w:t>6,752 rows</w:t>
            </w:r>
          </w:p>
        </w:tc>
        <w:tc>
          <w:tcPr>
            <w:tcW w:type="dxa" w:w="3120"/>
            <w:vAlign w:val="center"/>
            <w:tcMar>
              <w:top w:w="80" w:type="dxa"/>
              <w:start w:w="120" w:type="dxa"/>
              <w:bottom w:w="80" w:type="dxa"/>
              <w:end w:w="120" w:type="dxa"/>
            </w:tcMar>
          </w:tcPr>
          <w:p>
            <w:pPr>
              <w:spacing w:after="0"/>
            </w:pPr>
            <w:r>
              <w:rPr>
                <w:rFonts w:ascii="Calibri" w:hAnsi="Calibri"/>
                <w:sz w:val="18"/>
              </w:rPr>
              <w:t>Query-passage-label pairs for reranker tuning</w:t>
            </w:r>
          </w:p>
        </w:tc>
      </w:tr>
      <w:tr>
        <w:tc>
          <w:tcPr>
            <w:tcW w:type="dxa" w:w="3120"/>
            <w:vAlign w:val="center"/>
            <w:tcMar>
              <w:top w:w="80" w:type="dxa"/>
              <w:start w:w="120" w:type="dxa"/>
              <w:bottom w:w="80" w:type="dxa"/>
              <w:end w:w="120" w:type="dxa"/>
            </w:tcMar>
          </w:tcPr>
          <w:p>
            <w:pPr>
              <w:spacing w:after="0"/>
            </w:pPr>
            <w:r>
              <w:rPr>
                <w:rFonts w:ascii="Calibri" w:hAnsi="Calibri"/>
                <w:sz w:val="18"/>
              </w:rPr>
              <w:t>`llm.jsonl`</w:t>
            </w:r>
          </w:p>
        </w:tc>
        <w:tc>
          <w:tcPr>
            <w:tcW w:type="dxa" w:w="3120"/>
            <w:vAlign w:val="center"/>
            <w:tcMar>
              <w:top w:w="80" w:type="dxa"/>
              <w:start w:w="120" w:type="dxa"/>
              <w:bottom w:w="80" w:type="dxa"/>
              <w:end w:w="120" w:type="dxa"/>
            </w:tcMar>
          </w:tcPr>
          <w:p>
            <w:pPr>
              <w:spacing w:after="0"/>
            </w:pPr>
            <w:r>
              <w:rPr>
                <w:rFonts w:ascii="Calibri" w:hAnsi="Calibri"/>
                <w:sz w:val="18"/>
              </w:rPr>
              <w:t>13,758 rows</w:t>
            </w:r>
          </w:p>
        </w:tc>
        <w:tc>
          <w:tcPr>
            <w:tcW w:type="dxa" w:w="3120"/>
            <w:vAlign w:val="center"/>
            <w:tcMar>
              <w:top w:w="80" w:type="dxa"/>
              <w:start w:w="120" w:type="dxa"/>
              <w:bottom w:w="80" w:type="dxa"/>
              <w:end w:w="120" w:type="dxa"/>
            </w:tcMar>
          </w:tcPr>
          <w:p>
            <w:pPr>
              <w:spacing w:after="0"/>
            </w:pPr>
            <w:r>
              <w:rPr>
                <w:rFonts w:ascii="Calibri" w:hAnsi="Calibri"/>
                <w:sz w:val="18"/>
              </w:rPr>
              <w:t>Source-grounded instruction tuning examples</w:t>
            </w:r>
          </w:p>
        </w:tc>
      </w:tr>
    </w:tbl>
    <w:p/>
    <w:p>
      <w:r>
        <w:t>All 240 gold benchmark source IDs are present in the retrieval corpus, so the benchmark fits Scenario 1 from the rubric: Gold Question + Gold Answer + Gold Document.</w:t>
      </w:r>
    </w:p>
    <w:p>
      <w:pPr>
        <w:pStyle w:val="Heading1"/>
      </w:pPr>
      <w:r>
        <w:t>4. System Architecture</w:t>
      </w:r>
    </w:p>
    <w:p>
      <w:r>
        <w:t>The baseline RAG pipeline is:</w:t>
      </w:r>
    </w:p>
    <w:p>
      <w:pPr>
        <w:pStyle w:val="NoSpacing"/>
      </w:pPr>
      <w:r>
        <w:rPr>
          <w:rFonts w:ascii="Consolas" w:hAnsi="Consolas"/>
          <w:sz w:val="18"/>
        </w:rPr>
        <w:t>Question -&gt; Retriever -&gt; Top-k source chunks -&gt; Answer generator -&gt; Citation-grounded answer</w:t>
      </w:r>
    </w:p>
    <w:p>
      <w:r>
        <w:t>Implemented retrievers:</w:t>
      </w:r>
    </w:p>
    <w:p>
      <w:pPr>
        <w:pStyle w:val="ListBullet"/>
      </w:pPr>
      <w:r>
        <w:t>BM25 lexical retrieval</w:t>
      </w:r>
    </w:p>
    <w:p>
      <w:pPr>
        <w:pStyle w:val="ListBullet"/>
      </w:pPr>
      <w:r>
        <w:t>Dense retrieval with `sentence-transformers/paraphrase-multilingual-MiniLM-L12-v2`</w:t>
      </w:r>
    </w:p>
    <w:p>
      <w:pPr>
        <w:pStyle w:val="ListBullet"/>
      </w:pPr>
      <w:r>
        <w:t>Hybrid retrieval using min-max normalized BM25 and dense scores</w:t>
      </w:r>
    </w:p>
    <w:p>
      <w:r>
        <w:t>Implemented answer generation modes:</w:t>
      </w:r>
    </w:p>
    <w:p>
      <w:pPr>
        <w:pStyle w:val="ListBullet"/>
      </w:pPr>
      <w:r>
        <w:t>Extractive grounded answer from the top retrieved source</w:t>
      </w:r>
    </w:p>
    <w:p>
      <w:pPr>
        <w:pStyle w:val="ListBullet"/>
      </w:pPr>
      <w:r>
        <w:t>Optional local HuggingFace seq2seq generation mode</w:t>
      </w:r>
    </w:p>
    <w:p>
      <w:pPr>
        <w:pStyle w:val="Heading1"/>
      </w:pPr>
      <w:r>
        <w:t>5. Evaluation Methodology</w:t>
      </w:r>
    </w:p>
    <w:p>
      <w:pPr>
        <w:pStyle w:val="Heading2"/>
      </w:pPr>
      <w:r>
        <w:t>5.1 Retrieval Metrics</w:t>
      </w:r>
    </w:p>
    <w:p>
      <w:r>
        <w:t>Retrieval is evaluated on `rag_eval.json` using:</w:t>
      </w:r>
    </w:p>
    <w:p>
      <w:pPr>
        <w:pStyle w:val="ListBullet"/>
      </w:pPr>
      <w:r>
        <w:t>Recall@5</w:t>
      </w:r>
    </w:p>
    <w:p>
      <w:pPr>
        <w:pStyle w:val="ListBullet"/>
      </w:pPr>
      <w:r>
        <w:t>Recall@10</w:t>
      </w:r>
    </w:p>
    <w:p>
      <w:pPr>
        <w:pStyle w:val="ListBullet"/>
      </w:pPr>
      <w:r>
        <w:t>Mean Reciprocal Rank</w:t>
      </w:r>
    </w:p>
    <w:p>
      <w:pPr>
        <w:pStyle w:val="ListBullet"/>
      </w:pPr>
      <w:r>
        <w:t>nDCG@10</w:t>
      </w:r>
    </w:p>
    <w:p>
      <w:pPr>
        <w:pStyle w:val="Heading2"/>
      </w:pPr>
      <w:r>
        <w:t>5.2 QA Metrics</w:t>
      </w:r>
    </w:p>
    <w:p>
      <w:r>
        <w:t>Question answering is evaluated on `gold_benchmark.json` using:</w:t>
      </w:r>
    </w:p>
    <w:p>
      <w:pPr>
        <w:pStyle w:val="ListBullet"/>
      </w:pPr>
      <w:r>
        <w:t>Exact Match</w:t>
      </w:r>
    </w:p>
    <w:p>
      <w:pPr>
        <w:pStyle w:val="ListBullet"/>
      </w:pPr>
      <w:r>
        <w:t>Token F1</w:t>
      </w:r>
    </w:p>
    <w:p>
      <w:pPr>
        <w:pStyle w:val="ListBullet"/>
      </w:pPr>
      <w:r>
        <w:t>ROUGE-L</w:t>
      </w:r>
    </w:p>
    <w:p>
      <w:pPr>
        <w:pStyle w:val="ListBullet"/>
      </w:pPr>
      <w:r>
        <w:t>Top-1 source hit</w:t>
      </w:r>
    </w:p>
    <w:p>
      <w:pPr>
        <w:pStyle w:val="ListBullet"/>
      </w:pPr>
      <w:r>
        <w:t>Top-5 source hit</w:t>
      </w:r>
    </w:p>
    <w:p>
      <w:pPr>
        <w:pStyle w:val="ListBullet"/>
      </w:pPr>
      <w:r>
        <w:t>Citation label accuracy</w:t>
      </w:r>
    </w:p>
    <w:p>
      <w:pPr>
        <w:pStyle w:val="ListBullet"/>
      </w:pPr>
      <w:r>
        <w:t>Lexical faithfulness proxy</w:t>
      </w:r>
    </w:p>
    <w:p>
      <w:r>
        <w:t>Citation label accuracy checks whether the generated answer contains the gold citation label. The lexical faithfulness proxy measures how much of the answer body is covered by retrieved context tokens.</w:t>
      </w:r>
    </w:p>
    <w:p>
      <w:pPr>
        <w:pStyle w:val="Heading1"/>
      </w:pPr>
      <w:r>
        <w:t>6. Experiments and Results</w:t>
      </w:r>
    </w:p>
    <w:p>
      <w:pPr>
        <w:pStyle w:val="Heading2"/>
      </w:pPr>
      <w:r>
        <w:t>6.1 Retrieval Baselines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Retriever</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Recall@5</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Recall@10</w:t>
            </w:r>
          </w:p>
        </w:tc>
        <w:tc>
          <w:tcPr>
            <w:tcW w:type="dxa" w:w="1872"/>
            <w:vAlign w:val="center"/>
            <w:tcMar>
              <w:top w:w="80" w:type="dxa"/>
              <w:start w:w="120" w:type="dxa"/>
              <w:bottom w:w="80" w:type="dxa"/>
              <w:end w:w="120" w:type="dxa"/>
            </w:tcMar>
            <w:shd w:fill="F2F4F7"/>
          </w:tcPr>
          <w:p>
            <w:pPr>
              <w:spacing w:after="0"/>
            </w:pPr>
            <w:r>
              <w:rPr>
                <w:rFonts w:ascii="Calibri" w:hAnsi="Calibri"/>
                <w:b/>
                <w:sz w:val="18"/>
              </w:rPr>
              <w:t>MRR</w:t>
            </w:r>
          </w:p>
        </w:tc>
        <w:tc>
          <w:tcPr>
            <w:tcW w:type="dxa" w:w="1872"/>
            <w:vAlign w:val="center"/>
            <w:tcMar>
              <w:top w:w="80" w:type="dxa"/>
              <w:start w:w="120" w:type="dxa"/>
              <w:bottom w:w="80" w:type="dxa"/>
              <w:end w:w="120" w:type="dxa"/>
            </w:tcMar>
            <w:shd w:fill="F2F4F7"/>
          </w:tcPr>
          <w:p>
            <w:pPr>
              <w:spacing w:after="0"/>
            </w:pPr>
            <w:r>
              <w:rPr>
                <w:rFonts w:ascii="Calibri" w:hAnsi="Calibri"/>
                <w:b/>
                <w:sz w:val="18"/>
              </w:rPr>
              <w:t>nDCG@10</w:t>
            </w:r>
          </w:p>
        </w:tc>
      </w:tr>
      <w:tr>
        <w:tc>
          <w:tcPr>
            <w:tcW w:type="dxa" w:w="1872"/>
            <w:vAlign w:val="center"/>
            <w:tcMar>
              <w:top w:w="80" w:type="dxa"/>
              <w:start w:w="120" w:type="dxa"/>
              <w:bottom w:w="80" w:type="dxa"/>
              <w:end w:w="120" w:type="dxa"/>
            </w:tcMar>
          </w:tcPr>
          <w:p>
            <w:pPr>
              <w:spacing w:after="0"/>
            </w:pPr>
            <w:r>
              <w:rPr>
                <w:rFonts w:ascii="Calibri" w:hAnsi="Calibri"/>
                <w:sz w:val="18"/>
              </w:rPr>
              <w:t>BM25</w:t>
            </w:r>
          </w:p>
        </w:tc>
        <w:tc>
          <w:tcPr>
            <w:tcW w:type="dxa" w:w="1872"/>
            <w:vAlign w:val="center"/>
            <w:tcMar>
              <w:top w:w="80" w:type="dxa"/>
              <w:start w:w="120" w:type="dxa"/>
              <w:bottom w:w="80" w:type="dxa"/>
              <w:end w:w="120" w:type="dxa"/>
            </w:tcMar>
          </w:tcPr>
          <w:p>
            <w:pPr>
              <w:spacing w:after="0"/>
            </w:pPr>
            <w:r>
              <w:rPr>
                <w:rFonts w:ascii="Calibri" w:hAnsi="Calibri"/>
                <w:sz w:val="18"/>
              </w:rPr>
              <w:t>0.947</w:t>
            </w:r>
          </w:p>
        </w:tc>
        <w:tc>
          <w:tcPr>
            <w:tcW w:type="dxa" w:w="1872"/>
            <w:vAlign w:val="center"/>
            <w:tcMar>
              <w:top w:w="80" w:type="dxa"/>
              <w:start w:w="120" w:type="dxa"/>
              <w:bottom w:w="80" w:type="dxa"/>
              <w:end w:w="120" w:type="dxa"/>
            </w:tcMar>
          </w:tcPr>
          <w:p>
            <w:pPr>
              <w:spacing w:after="0"/>
            </w:pPr>
            <w:r>
              <w:rPr>
                <w:rFonts w:ascii="Calibri" w:hAnsi="Calibri"/>
                <w:sz w:val="18"/>
              </w:rPr>
              <w:t>0.975</w:t>
            </w:r>
          </w:p>
        </w:tc>
        <w:tc>
          <w:tcPr>
            <w:tcW w:type="dxa" w:w="1872"/>
            <w:vAlign w:val="center"/>
            <w:tcMar>
              <w:top w:w="80" w:type="dxa"/>
              <w:start w:w="120" w:type="dxa"/>
              <w:bottom w:w="80" w:type="dxa"/>
              <w:end w:w="120" w:type="dxa"/>
            </w:tcMar>
          </w:tcPr>
          <w:p>
            <w:pPr>
              <w:spacing w:after="0"/>
            </w:pPr>
            <w:r>
              <w:rPr>
                <w:rFonts w:ascii="Calibri" w:hAnsi="Calibri"/>
                <w:sz w:val="18"/>
              </w:rPr>
              <w:t>0.863</w:t>
            </w:r>
          </w:p>
        </w:tc>
        <w:tc>
          <w:tcPr>
            <w:tcW w:type="dxa" w:w="1872"/>
            <w:vAlign w:val="center"/>
            <w:tcMar>
              <w:top w:w="80" w:type="dxa"/>
              <w:start w:w="120" w:type="dxa"/>
              <w:bottom w:w="80" w:type="dxa"/>
              <w:end w:w="120" w:type="dxa"/>
            </w:tcMar>
          </w:tcPr>
          <w:p>
            <w:pPr>
              <w:spacing w:after="0"/>
            </w:pPr>
            <w:r>
              <w:rPr>
                <w:rFonts w:ascii="Calibri" w:hAnsi="Calibri"/>
                <w:sz w:val="18"/>
              </w:rPr>
              <w:t>0.890</w:t>
            </w:r>
          </w:p>
        </w:tc>
      </w:tr>
      <w:tr>
        <w:tc>
          <w:tcPr>
            <w:tcW w:type="dxa" w:w="1872"/>
            <w:vAlign w:val="center"/>
            <w:tcMar>
              <w:top w:w="80" w:type="dxa"/>
              <w:start w:w="120" w:type="dxa"/>
              <w:bottom w:w="80" w:type="dxa"/>
              <w:end w:w="120" w:type="dxa"/>
            </w:tcMar>
          </w:tcPr>
          <w:p>
            <w:pPr>
              <w:spacing w:after="0"/>
            </w:pPr>
            <w:r>
              <w:rPr>
                <w:rFonts w:ascii="Calibri" w:hAnsi="Calibri"/>
                <w:sz w:val="18"/>
              </w:rPr>
              <w:t>Dense multilingual MiniLM</w:t>
            </w:r>
          </w:p>
        </w:tc>
        <w:tc>
          <w:tcPr>
            <w:tcW w:type="dxa" w:w="1872"/>
            <w:vAlign w:val="center"/>
            <w:tcMar>
              <w:top w:w="80" w:type="dxa"/>
              <w:start w:w="120" w:type="dxa"/>
              <w:bottom w:w="80" w:type="dxa"/>
              <w:end w:w="120" w:type="dxa"/>
            </w:tcMar>
          </w:tcPr>
          <w:p>
            <w:pPr>
              <w:spacing w:after="0"/>
            </w:pPr>
            <w:r>
              <w:rPr>
                <w:rFonts w:ascii="Calibri" w:hAnsi="Calibri"/>
                <w:sz w:val="18"/>
              </w:rPr>
              <w:t>0.613</w:t>
            </w:r>
          </w:p>
        </w:tc>
        <w:tc>
          <w:tcPr>
            <w:tcW w:type="dxa" w:w="1872"/>
            <w:vAlign w:val="center"/>
            <w:tcMar>
              <w:top w:w="80" w:type="dxa"/>
              <w:start w:w="120" w:type="dxa"/>
              <w:bottom w:w="80" w:type="dxa"/>
              <w:end w:w="120" w:type="dxa"/>
            </w:tcMar>
          </w:tcPr>
          <w:p>
            <w:pPr>
              <w:spacing w:after="0"/>
            </w:pPr>
            <w:r>
              <w:rPr>
                <w:rFonts w:ascii="Calibri" w:hAnsi="Calibri"/>
                <w:sz w:val="18"/>
              </w:rPr>
              <w:t>0.676</w:t>
            </w:r>
          </w:p>
        </w:tc>
        <w:tc>
          <w:tcPr>
            <w:tcW w:type="dxa" w:w="1872"/>
            <w:vAlign w:val="center"/>
            <w:tcMar>
              <w:top w:w="80" w:type="dxa"/>
              <w:start w:w="120" w:type="dxa"/>
              <w:bottom w:w="80" w:type="dxa"/>
              <w:end w:w="120" w:type="dxa"/>
            </w:tcMar>
          </w:tcPr>
          <w:p>
            <w:pPr>
              <w:spacing w:after="0"/>
            </w:pPr>
            <w:r>
              <w:rPr>
                <w:rFonts w:ascii="Calibri" w:hAnsi="Calibri"/>
                <w:sz w:val="18"/>
              </w:rPr>
              <w:t>0.518</w:t>
            </w:r>
          </w:p>
        </w:tc>
        <w:tc>
          <w:tcPr>
            <w:tcW w:type="dxa" w:w="1872"/>
            <w:vAlign w:val="center"/>
            <w:tcMar>
              <w:top w:w="80" w:type="dxa"/>
              <w:start w:w="120" w:type="dxa"/>
              <w:bottom w:w="80" w:type="dxa"/>
              <w:end w:w="120" w:type="dxa"/>
            </w:tcMar>
          </w:tcPr>
          <w:p>
            <w:pPr>
              <w:spacing w:after="0"/>
            </w:pPr>
            <w:r>
              <w:rPr>
                <w:rFonts w:ascii="Calibri" w:hAnsi="Calibri"/>
                <w:sz w:val="18"/>
              </w:rPr>
              <w:t>0.556</w:t>
            </w:r>
          </w:p>
        </w:tc>
      </w:tr>
      <w:tr>
        <w:tc>
          <w:tcPr>
            <w:tcW w:type="dxa" w:w="1872"/>
            <w:vAlign w:val="center"/>
            <w:tcMar>
              <w:top w:w="80" w:type="dxa"/>
              <w:start w:w="120" w:type="dxa"/>
              <w:bottom w:w="80" w:type="dxa"/>
              <w:end w:w="120" w:type="dxa"/>
            </w:tcMar>
          </w:tcPr>
          <w:p>
            <w:pPr>
              <w:spacing w:after="0"/>
            </w:pPr>
            <w:r>
              <w:rPr>
                <w:rFonts w:ascii="Calibri" w:hAnsi="Calibri"/>
                <w:sz w:val="18"/>
              </w:rPr>
              <w:t>Hybrid, dense weight 0.35</w:t>
            </w:r>
          </w:p>
        </w:tc>
        <w:tc>
          <w:tcPr>
            <w:tcW w:type="dxa" w:w="1872"/>
            <w:vAlign w:val="center"/>
            <w:tcMar>
              <w:top w:w="80" w:type="dxa"/>
              <w:start w:w="120" w:type="dxa"/>
              <w:bottom w:w="80" w:type="dxa"/>
              <w:end w:w="120" w:type="dxa"/>
            </w:tcMar>
          </w:tcPr>
          <w:p>
            <w:pPr>
              <w:spacing w:after="0"/>
            </w:pPr>
            <w:r>
              <w:rPr>
                <w:rFonts w:ascii="Calibri" w:hAnsi="Calibri"/>
                <w:sz w:val="18"/>
              </w:rPr>
              <w:t>0.940</w:t>
            </w:r>
          </w:p>
        </w:tc>
        <w:tc>
          <w:tcPr>
            <w:tcW w:type="dxa" w:w="1872"/>
            <w:vAlign w:val="center"/>
            <w:tcMar>
              <w:top w:w="80" w:type="dxa"/>
              <w:start w:w="120" w:type="dxa"/>
              <w:bottom w:w="80" w:type="dxa"/>
              <w:end w:w="120" w:type="dxa"/>
            </w:tcMar>
          </w:tcPr>
          <w:p>
            <w:pPr>
              <w:spacing w:after="0"/>
            </w:pPr>
            <w:r>
              <w:rPr>
                <w:rFonts w:ascii="Calibri" w:hAnsi="Calibri"/>
                <w:sz w:val="18"/>
              </w:rPr>
              <w:t>0.969</w:t>
            </w:r>
          </w:p>
        </w:tc>
        <w:tc>
          <w:tcPr>
            <w:tcW w:type="dxa" w:w="1872"/>
            <w:vAlign w:val="center"/>
            <w:tcMar>
              <w:top w:w="80" w:type="dxa"/>
              <w:start w:w="120" w:type="dxa"/>
              <w:bottom w:w="80" w:type="dxa"/>
              <w:end w:w="120" w:type="dxa"/>
            </w:tcMar>
          </w:tcPr>
          <w:p>
            <w:pPr>
              <w:spacing w:after="0"/>
            </w:pPr>
            <w:r>
              <w:rPr>
                <w:rFonts w:ascii="Calibri" w:hAnsi="Calibri"/>
                <w:sz w:val="18"/>
              </w:rPr>
              <w:t>0.855</w:t>
            </w:r>
          </w:p>
        </w:tc>
        <w:tc>
          <w:tcPr>
            <w:tcW w:type="dxa" w:w="1872"/>
            <w:vAlign w:val="center"/>
            <w:tcMar>
              <w:top w:w="80" w:type="dxa"/>
              <w:start w:w="120" w:type="dxa"/>
              <w:bottom w:w="80" w:type="dxa"/>
              <w:end w:w="120" w:type="dxa"/>
            </w:tcMar>
          </w:tcPr>
          <w:p>
            <w:pPr>
              <w:spacing w:after="0"/>
            </w:pPr>
            <w:r>
              <w:rPr>
                <w:rFonts w:ascii="Calibri" w:hAnsi="Calibri"/>
                <w:sz w:val="18"/>
              </w:rPr>
              <w:t>0.883</w:t>
            </w:r>
          </w:p>
        </w:tc>
      </w:tr>
    </w:tbl>
    <w:p/>
    <w:p>
      <w:r>
        <w:t>BM25 is the strongest retrieval baseline. This is likely because Turkish legal questions often include exact legal terms, article numbers, court names, or source-specific wording.</w:t>
      </w:r>
    </w:p>
    <w:p>
      <w:r>
        <w:t>The generic multilingual dense model performs substantially worse than BM25, which motivates domain-specific embedding adaptation.</w:t>
      </w:r>
    </w:p>
    <w:p>
      <w:r>
        <w:t>The first hybrid configuration does not improve over BM25. This suggests that hybrid retrieval requires careful weighting and that adding a weak dense retriever can reduce ranking quality.</w:t>
      </w:r>
    </w:p>
    <w:p>
      <w:pPr>
        <w:pStyle w:val="Heading2"/>
      </w:pPr>
      <w:r>
        <w:t>6.2 Pretrained Reranker Experiment</w:t>
      </w:r>
    </w:p>
    <w:p>
      <w:r>
        <w:t>Pipeline:</w:t>
      </w:r>
    </w:p>
    <w:p>
      <w:pPr>
        <w:pStyle w:val="NoSpacing"/>
      </w:pPr>
      <w:r>
        <w:rPr>
          <w:rFonts w:ascii="Consolas" w:hAnsi="Consolas"/>
          <w:sz w:val="18"/>
        </w:rPr>
        <w:t>Question -&gt; BM25 top-30 -&gt; cross-encoder reranker -&gt; top-10</w:t>
      </w:r>
    </w:p>
    <w:p>
      <w:r>
        <w:t>Model:</w:t>
      </w:r>
    </w:p>
    <w:p>
      <w:pPr>
        <w:pStyle w:val="NoSpacing"/>
      </w:pPr>
      <w:r>
        <w:rPr>
          <w:rFonts w:ascii="Consolas" w:hAnsi="Consolas"/>
          <w:sz w:val="18"/>
        </w:rPr>
        <w:t>cross-encoder/mmarco-mMiniLMv2-L12-H384-v1</w:t>
      </w:r>
    </w:p>
    <w:p>
      <w:r>
        <w:t>Evaluation was performed on a 100-query subset due to CPU-only inference cost.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System</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Recall@5</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Recall@10</w:t>
            </w:r>
          </w:p>
        </w:tc>
        <w:tc>
          <w:tcPr>
            <w:tcW w:type="dxa" w:w="1872"/>
            <w:vAlign w:val="center"/>
            <w:tcMar>
              <w:top w:w="80" w:type="dxa"/>
              <w:start w:w="120" w:type="dxa"/>
              <w:bottom w:w="80" w:type="dxa"/>
              <w:end w:w="120" w:type="dxa"/>
            </w:tcMar>
            <w:shd w:fill="F2F4F7"/>
          </w:tcPr>
          <w:p>
            <w:pPr>
              <w:spacing w:after="0"/>
            </w:pPr>
            <w:r>
              <w:rPr>
                <w:rFonts w:ascii="Calibri" w:hAnsi="Calibri"/>
                <w:b/>
                <w:sz w:val="18"/>
              </w:rPr>
              <w:t>MRR</w:t>
            </w:r>
          </w:p>
        </w:tc>
        <w:tc>
          <w:tcPr>
            <w:tcW w:type="dxa" w:w="1872"/>
            <w:vAlign w:val="center"/>
            <w:tcMar>
              <w:top w:w="80" w:type="dxa"/>
              <w:start w:w="120" w:type="dxa"/>
              <w:bottom w:w="80" w:type="dxa"/>
              <w:end w:w="120" w:type="dxa"/>
            </w:tcMar>
            <w:shd w:fill="F2F4F7"/>
          </w:tcPr>
          <w:p>
            <w:pPr>
              <w:spacing w:after="0"/>
            </w:pPr>
            <w:r>
              <w:rPr>
                <w:rFonts w:ascii="Calibri" w:hAnsi="Calibri"/>
                <w:b/>
                <w:sz w:val="18"/>
              </w:rPr>
              <w:t>nDCG@10</w:t>
            </w:r>
          </w:p>
        </w:tc>
      </w:tr>
      <w:tr>
        <w:tc>
          <w:tcPr>
            <w:tcW w:type="dxa" w:w="1872"/>
            <w:vAlign w:val="center"/>
            <w:tcMar>
              <w:top w:w="80" w:type="dxa"/>
              <w:start w:w="120" w:type="dxa"/>
              <w:bottom w:w="80" w:type="dxa"/>
              <w:end w:w="120" w:type="dxa"/>
            </w:tcMar>
          </w:tcPr>
          <w:p>
            <w:pPr>
              <w:spacing w:after="0"/>
            </w:pPr>
            <w:r>
              <w:rPr>
                <w:rFonts w:ascii="Calibri" w:hAnsi="Calibri"/>
                <w:sz w:val="18"/>
              </w:rPr>
              <w:t>BM25 first stage on same 100 queries</w:t>
            </w:r>
          </w:p>
        </w:tc>
        <w:tc>
          <w:tcPr>
            <w:tcW w:type="dxa" w:w="1872"/>
            <w:vAlign w:val="center"/>
            <w:tcMar>
              <w:top w:w="80" w:type="dxa"/>
              <w:start w:w="120" w:type="dxa"/>
              <w:bottom w:w="80" w:type="dxa"/>
              <w:end w:w="120" w:type="dxa"/>
            </w:tcMar>
          </w:tcPr>
          <w:p>
            <w:pPr>
              <w:spacing w:after="0"/>
            </w:pPr>
            <w:r>
              <w:rPr>
                <w:rFonts w:ascii="Calibri" w:hAnsi="Calibri"/>
                <w:sz w:val="18"/>
              </w:rPr>
              <w:t>1.000</w:t>
            </w:r>
          </w:p>
        </w:tc>
        <w:tc>
          <w:tcPr>
            <w:tcW w:type="dxa" w:w="1872"/>
            <w:vAlign w:val="center"/>
            <w:tcMar>
              <w:top w:w="80" w:type="dxa"/>
              <w:start w:w="120" w:type="dxa"/>
              <w:bottom w:w="80" w:type="dxa"/>
              <w:end w:w="120" w:type="dxa"/>
            </w:tcMar>
          </w:tcPr>
          <w:p>
            <w:pPr>
              <w:spacing w:after="0"/>
            </w:pPr>
            <w:r>
              <w:rPr>
                <w:rFonts w:ascii="Calibri" w:hAnsi="Calibri"/>
                <w:sz w:val="18"/>
              </w:rPr>
              <w:t>1.000</w:t>
            </w:r>
          </w:p>
        </w:tc>
        <w:tc>
          <w:tcPr>
            <w:tcW w:type="dxa" w:w="1872"/>
            <w:vAlign w:val="center"/>
            <w:tcMar>
              <w:top w:w="80" w:type="dxa"/>
              <w:start w:w="120" w:type="dxa"/>
              <w:bottom w:w="80" w:type="dxa"/>
              <w:end w:w="120" w:type="dxa"/>
            </w:tcMar>
          </w:tcPr>
          <w:p>
            <w:pPr>
              <w:spacing w:after="0"/>
            </w:pPr>
            <w:r>
              <w:rPr>
                <w:rFonts w:ascii="Calibri" w:hAnsi="Calibri"/>
                <w:sz w:val="18"/>
              </w:rPr>
              <w:t>0.990</w:t>
            </w:r>
          </w:p>
        </w:tc>
        <w:tc>
          <w:tcPr>
            <w:tcW w:type="dxa" w:w="1872"/>
            <w:vAlign w:val="center"/>
            <w:tcMar>
              <w:top w:w="80" w:type="dxa"/>
              <w:start w:w="120" w:type="dxa"/>
              <w:bottom w:w="80" w:type="dxa"/>
              <w:end w:w="120" w:type="dxa"/>
            </w:tcMar>
          </w:tcPr>
          <w:p>
            <w:pPr>
              <w:spacing w:after="0"/>
            </w:pPr>
            <w:r>
              <w:rPr>
                <w:rFonts w:ascii="Calibri" w:hAnsi="Calibri"/>
                <w:sz w:val="18"/>
              </w:rPr>
              <w:t>0.993</w:t>
            </w:r>
          </w:p>
        </w:tc>
      </w:tr>
      <w:tr>
        <w:tc>
          <w:tcPr>
            <w:tcW w:type="dxa" w:w="1872"/>
            <w:vAlign w:val="center"/>
            <w:tcMar>
              <w:top w:w="80" w:type="dxa"/>
              <w:start w:w="120" w:type="dxa"/>
              <w:bottom w:w="80" w:type="dxa"/>
              <w:end w:w="120" w:type="dxa"/>
            </w:tcMar>
          </w:tcPr>
          <w:p>
            <w:pPr>
              <w:spacing w:after="0"/>
            </w:pPr>
            <w:r>
              <w:rPr>
                <w:rFonts w:ascii="Calibri" w:hAnsi="Calibri"/>
                <w:sz w:val="18"/>
              </w:rPr>
              <w:t>Pretrained cross-encoder reranker</w:t>
            </w:r>
          </w:p>
        </w:tc>
        <w:tc>
          <w:tcPr>
            <w:tcW w:type="dxa" w:w="1872"/>
            <w:vAlign w:val="center"/>
            <w:tcMar>
              <w:top w:w="80" w:type="dxa"/>
              <w:start w:w="120" w:type="dxa"/>
              <w:bottom w:w="80" w:type="dxa"/>
              <w:end w:w="120" w:type="dxa"/>
            </w:tcMar>
          </w:tcPr>
          <w:p>
            <w:pPr>
              <w:spacing w:after="0"/>
            </w:pPr>
            <w:r>
              <w:rPr>
                <w:rFonts w:ascii="Calibri" w:hAnsi="Calibri"/>
                <w:sz w:val="18"/>
              </w:rPr>
              <w:t>0.700</w:t>
            </w:r>
          </w:p>
        </w:tc>
        <w:tc>
          <w:tcPr>
            <w:tcW w:type="dxa" w:w="1872"/>
            <w:vAlign w:val="center"/>
            <w:tcMar>
              <w:top w:w="80" w:type="dxa"/>
              <w:start w:w="120" w:type="dxa"/>
              <w:bottom w:w="80" w:type="dxa"/>
              <w:end w:w="120" w:type="dxa"/>
            </w:tcMar>
          </w:tcPr>
          <w:p>
            <w:pPr>
              <w:spacing w:after="0"/>
            </w:pPr>
            <w:r>
              <w:rPr>
                <w:rFonts w:ascii="Calibri" w:hAnsi="Calibri"/>
                <w:sz w:val="18"/>
              </w:rPr>
              <w:t>0.810</w:t>
            </w:r>
          </w:p>
        </w:tc>
        <w:tc>
          <w:tcPr>
            <w:tcW w:type="dxa" w:w="1872"/>
            <w:vAlign w:val="center"/>
            <w:tcMar>
              <w:top w:w="80" w:type="dxa"/>
              <w:start w:w="120" w:type="dxa"/>
              <w:bottom w:w="80" w:type="dxa"/>
              <w:end w:w="120" w:type="dxa"/>
            </w:tcMar>
          </w:tcPr>
          <w:p>
            <w:pPr>
              <w:spacing w:after="0"/>
            </w:pPr>
            <w:r>
              <w:rPr>
                <w:rFonts w:ascii="Calibri" w:hAnsi="Calibri"/>
                <w:sz w:val="18"/>
              </w:rPr>
              <w:t>0.550</w:t>
            </w:r>
          </w:p>
        </w:tc>
        <w:tc>
          <w:tcPr>
            <w:tcW w:type="dxa" w:w="1872"/>
            <w:vAlign w:val="center"/>
            <w:tcMar>
              <w:top w:w="80" w:type="dxa"/>
              <w:start w:w="120" w:type="dxa"/>
              <w:bottom w:w="80" w:type="dxa"/>
              <w:end w:w="120" w:type="dxa"/>
            </w:tcMar>
          </w:tcPr>
          <w:p>
            <w:pPr>
              <w:spacing w:after="0"/>
            </w:pPr>
            <w:r>
              <w:rPr>
                <w:rFonts w:ascii="Calibri" w:hAnsi="Calibri"/>
                <w:sz w:val="18"/>
              </w:rPr>
              <w:t>0.612</w:t>
            </w:r>
          </w:p>
        </w:tc>
      </w:tr>
    </w:tbl>
    <w:p/>
    <w:p>
      <w:r>
        <w:t>The pretrained reranker hurts performance. This indicates domain mismatch: the reranker was trained for general passage ranking, not Turkish legal ranking. This result supports the requirement for cross-encoder fine-tuning using `reranker.jsonl`.</w:t>
      </w:r>
    </w:p>
    <w:p>
      <w:pPr>
        <w:pStyle w:val="Heading2"/>
      </w:pPr>
      <w:r>
        <w:t>6.3 Embedding Tuning Experiment</w:t>
      </w:r>
    </w:p>
    <w:p>
      <w:r>
        <w:t>A triplet-loss embedding fine-tuning script was implemented using `embedding.jsonl`.</w:t>
      </w:r>
    </w:p>
    <w:p>
      <w:r>
        <w:t>Training triple:</w:t>
      </w:r>
    </w:p>
    <w:p>
      <w:pPr>
        <w:pStyle w:val="NoSpacing"/>
      </w:pPr>
      <w:r>
        <w:rPr>
          <w:rFonts w:ascii="Consolas" w:hAnsi="Consolas"/>
          <w:sz w:val="18"/>
        </w:rPr>
        <w:t>query, positive_passage, hard_negative_passage</w:t>
      </w:r>
    </w:p>
    <w:p>
      <w:r>
        <w:t>First, a small CPU smoke test used only 64 triples to verify the training and evaluation workflow.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Model</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Recall@5</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Recall@10</w:t>
            </w:r>
          </w:p>
        </w:tc>
        <w:tc>
          <w:tcPr>
            <w:tcW w:type="dxa" w:w="1872"/>
            <w:vAlign w:val="center"/>
            <w:tcMar>
              <w:top w:w="80" w:type="dxa"/>
              <w:start w:w="120" w:type="dxa"/>
              <w:bottom w:w="80" w:type="dxa"/>
              <w:end w:w="120" w:type="dxa"/>
            </w:tcMar>
            <w:shd w:fill="F2F4F7"/>
          </w:tcPr>
          <w:p>
            <w:pPr>
              <w:spacing w:after="0"/>
            </w:pPr>
            <w:r>
              <w:rPr>
                <w:rFonts w:ascii="Calibri" w:hAnsi="Calibri"/>
                <w:b/>
                <w:sz w:val="18"/>
              </w:rPr>
              <w:t>MRR</w:t>
            </w:r>
          </w:p>
        </w:tc>
        <w:tc>
          <w:tcPr>
            <w:tcW w:type="dxa" w:w="1872"/>
            <w:vAlign w:val="center"/>
            <w:tcMar>
              <w:top w:w="80" w:type="dxa"/>
              <w:start w:w="120" w:type="dxa"/>
              <w:bottom w:w="80" w:type="dxa"/>
              <w:end w:w="120" w:type="dxa"/>
            </w:tcMar>
            <w:shd w:fill="F2F4F7"/>
          </w:tcPr>
          <w:p>
            <w:pPr>
              <w:spacing w:after="0"/>
            </w:pPr>
            <w:r>
              <w:rPr>
                <w:rFonts w:ascii="Calibri" w:hAnsi="Calibri"/>
                <w:b/>
                <w:sz w:val="18"/>
              </w:rPr>
              <w:t>nDCG@10</w:t>
            </w:r>
          </w:p>
        </w:tc>
      </w:tr>
      <w:tr>
        <w:tc>
          <w:tcPr>
            <w:tcW w:type="dxa" w:w="1872"/>
            <w:vAlign w:val="center"/>
            <w:tcMar>
              <w:top w:w="80" w:type="dxa"/>
              <w:start w:w="120" w:type="dxa"/>
              <w:bottom w:w="80" w:type="dxa"/>
              <w:end w:w="120" w:type="dxa"/>
            </w:tcMar>
          </w:tcPr>
          <w:p>
            <w:pPr>
              <w:spacing w:after="0"/>
            </w:pPr>
            <w:r>
              <w:rPr>
                <w:rFonts w:ascii="Calibri" w:hAnsi="Calibri"/>
                <w:sz w:val="18"/>
              </w:rPr>
              <w:t>Base dense model, first 50 queries</w:t>
            </w:r>
          </w:p>
        </w:tc>
        <w:tc>
          <w:tcPr>
            <w:tcW w:type="dxa" w:w="1872"/>
            <w:vAlign w:val="center"/>
            <w:tcMar>
              <w:top w:w="80" w:type="dxa"/>
              <w:start w:w="120" w:type="dxa"/>
              <w:bottom w:w="80" w:type="dxa"/>
              <w:end w:w="120" w:type="dxa"/>
            </w:tcMar>
          </w:tcPr>
          <w:p>
            <w:pPr>
              <w:spacing w:after="0"/>
            </w:pPr>
            <w:r>
              <w:rPr>
                <w:rFonts w:ascii="Calibri" w:hAnsi="Calibri"/>
                <w:sz w:val="18"/>
              </w:rPr>
              <w:t>0.820</w:t>
            </w:r>
          </w:p>
        </w:tc>
        <w:tc>
          <w:tcPr>
            <w:tcW w:type="dxa" w:w="1872"/>
            <w:vAlign w:val="center"/>
            <w:tcMar>
              <w:top w:w="80" w:type="dxa"/>
              <w:start w:w="120" w:type="dxa"/>
              <w:bottom w:w="80" w:type="dxa"/>
              <w:end w:w="120" w:type="dxa"/>
            </w:tcMar>
          </w:tcPr>
          <w:p>
            <w:pPr>
              <w:spacing w:after="0"/>
            </w:pPr>
            <w:r>
              <w:rPr>
                <w:rFonts w:ascii="Calibri" w:hAnsi="Calibri"/>
                <w:sz w:val="18"/>
              </w:rPr>
              <w:t>0.900</w:t>
            </w:r>
          </w:p>
        </w:tc>
        <w:tc>
          <w:tcPr>
            <w:tcW w:type="dxa" w:w="1872"/>
            <w:vAlign w:val="center"/>
            <w:tcMar>
              <w:top w:w="80" w:type="dxa"/>
              <w:start w:w="120" w:type="dxa"/>
              <w:bottom w:w="80" w:type="dxa"/>
              <w:end w:w="120" w:type="dxa"/>
            </w:tcMar>
          </w:tcPr>
          <w:p>
            <w:pPr>
              <w:spacing w:after="0"/>
            </w:pPr>
            <w:r>
              <w:rPr>
                <w:rFonts w:ascii="Calibri" w:hAnsi="Calibri"/>
                <w:sz w:val="18"/>
              </w:rPr>
              <w:t>0.738</w:t>
            </w:r>
          </w:p>
        </w:tc>
        <w:tc>
          <w:tcPr>
            <w:tcW w:type="dxa" w:w="1872"/>
            <w:vAlign w:val="center"/>
            <w:tcMar>
              <w:top w:w="80" w:type="dxa"/>
              <w:start w:w="120" w:type="dxa"/>
              <w:bottom w:w="80" w:type="dxa"/>
              <w:end w:w="120" w:type="dxa"/>
            </w:tcMar>
          </w:tcPr>
          <w:p>
            <w:pPr>
              <w:spacing w:after="0"/>
            </w:pPr>
            <w:r>
              <w:rPr>
                <w:rFonts w:ascii="Calibri" w:hAnsi="Calibri"/>
                <w:sz w:val="18"/>
              </w:rPr>
              <w:t>0.776</w:t>
            </w:r>
          </w:p>
        </w:tc>
      </w:tr>
      <w:tr>
        <w:tc>
          <w:tcPr>
            <w:tcW w:type="dxa" w:w="1872"/>
            <w:vAlign w:val="center"/>
            <w:tcMar>
              <w:top w:w="80" w:type="dxa"/>
              <w:start w:w="120" w:type="dxa"/>
              <w:bottom w:w="80" w:type="dxa"/>
              <w:end w:w="120" w:type="dxa"/>
            </w:tcMar>
          </w:tcPr>
          <w:p>
            <w:pPr>
              <w:spacing w:after="0"/>
            </w:pPr>
            <w:r>
              <w:rPr>
                <w:rFonts w:ascii="Calibri" w:hAnsi="Calibri"/>
                <w:sz w:val="18"/>
              </w:rPr>
              <w:t>Smoke fine-tuned model, 64 triples</w:t>
            </w:r>
          </w:p>
        </w:tc>
        <w:tc>
          <w:tcPr>
            <w:tcW w:type="dxa" w:w="1872"/>
            <w:vAlign w:val="center"/>
            <w:tcMar>
              <w:top w:w="80" w:type="dxa"/>
              <w:start w:w="120" w:type="dxa"/>
              <w:bottom w:w="80" w:type="dxa"/>
              <w:end w:w="120" w:type="dxa"/>
            </w:tcMar>
          </w:tcPr>
          <w:p>
            <w:pPr>
              <w:spacing w:after="0"/>
            </w:pPr>
            <w:r>
              <w:rPr>
                <w:rFonts w:ascii="Calibri" w:hAnsi="Calibri"/>
                <w:sz w:val="18"/>
              </w:rPr>
              <w:t>0.840</w:t>
            </w:r>
          </w:p>
        </w:tc>
        <w:tc>
          <w:tcPr>
            <w:tcW w:type="dxa" w:w="1872"/>
            <w:vAlign w:val="center"/>
            <w:tcMar>
              <w:top w:w="80" w:type="dxa"/>
              <w:start w:w="120" w:type="dxa"/>
              <w:bottom w:w="80" w:type="dxa"/>
              <w:end w:w="120" w:type="dxa"/>
            </w:tcMar>
          </w:tcPr>
          <w:p>
            <w:pPr>
              <w:spacing w:after="0"/>
            </w:pPr>
            <w:r>
              <w:rPr>
                <w:rFonts w:ascii="Calibri" w:hAnsi="Calibri"/>
                <w:sz w:val="18"/>
              </w:rPr>
              <w:t>0.880</w:t>
            </w:r>
          </w:p>
        </w:tc>
        <w:tc>
          <w:tcPr>
            <w:tcW w:type="dxa" w:w="1872"/>
            <w:vAlign w:val="center"/>
            <w:tcMar>
              <w:top w:w="80" w:type="dxa"/>
              <w:start w:w="120" w:type="dxa"/>
              <w:bottom w:w="80" w:type="dxa"/>
              <w:end w:w="120" w:type="dxa"/>
            </w:tcMar>
          </w:tcPr>
          <w:p>
            <w:pPr>
              <w:spacing w:after="0"/>
            </w:pPr>
            <w:r>
              <w:rPr>
                <w:rFonts w:ascii="Calibri" w:hAnsi="Calibri"/>
                <w:sz w:val="18"/>
              </w:rPr>
              <w:t>0.725</w:t>
            </w:r>
          </w:p>
        </w:tc>
        <w:tc>
          <w:tcPr>
            <w:tcW w:type="dxa" w:w="1872"/>
            <w:vAlign w:val="center"/>
            <w:tcMar>
              <w:top w:w="80" w:type="dxa"/>
              <w:start w:w="120" w:type="dxa"/>
              <w:bottom w:w="80" w:type="dxa"/>
              <w:end w:w="120" w:type="dxa"/>
            </w:tcMar>
          </w:tcPr>
          <w:p>
            <w:pPr>
              <w:spacing w:after="0"/>
            </w:pPr>
            <w:r>
              <w:rPr>
                <w:rFonts w:ascii="Calibri" w:hAnsi="Calibri"/>
                <w:sz w:val="18"/>
              </w:rPr>
              <w:t>0.762</w:t>
            </w:r>
          </w:p>
        </w:tc>
      </w:tr>
    </w:tbl>
    <w:p/>
    <w:p>
      <w:r>
        <w:t>The smoke run confirmed that the training pipeline works end to end.</w:t>
      </w:r>
    </w:p>
    <w:p>
      <w:r>
        <w:t>A full CPU fine-tuning run was then executed using all 2,059 embedding triples. The local PyTorch installation did not expose a CUDA device, so the run used `batch_size=4`, `max_seq_length=256`, and one epoch. Training took 2,471 seconds and reached training loss 3.257.</w:t>
      </w:r>
    </w:p>
    <w:p>
      <w:r>
        <w:t>Full benchmark evaluation: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Dense model</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Recall@5</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Recall@10</w:t>
            </w:r>
          </w:p>
        </w:tc>
        <w:tc>
          <w:tcPr>
            <w:tcW w:type="dxa" w:w="1872"/>
            <w:vAlign w:val="center"/>
            <w:tcMar>
              <w:top w:w="80" w:type="dxa"/>
              <w:start w:w="120" w:type="dxa"/>
              <w:bottom w:w="80" w:type="dxa"/>
              <w:end w:w="120" w:type="dxa"/>
            </w:tcMar>
            <w:shd w:fill="F2F4F7"/>
          </w:tcPr>
          <w:p>
            <w:pPr>
              <w:spacing w:after="0"/>
            </w:pPr>
            <w:r>
              <w:rPr>
                <w:rFonts w:ascii="Calibri" w:hAnsi="Calibri"/>
                <w:b/>
                <w:sz w:val="18"/>
              </w:rPr>
              <w:t>MRR</w:t>
            </w:r>
          </w:p>
        </w:tc>
        <w:tc>
          <w:tcPr>
            <w:tcW w:type="dxa" w:w="1872"/>
            <w:vAlign w:val="center"/>
            <w:tcMar>
              <w:top w:w="80" w:type="dxa"/>
              <w:start w:w="120" w:type="dxa"/>
              <w:bottom w:w="80" w:type="dxa"/>
              <w:end w:w="120" w:type="dxa"/>
            </w:tcMar>
            <w:shd w:fill="F2F4F7"/>
          </w:tcPr>
          <w:p>
            <w:pPr>
              <w:spacing w:after="0"/>
            </w:pPr>
            <w:r>
              <w:rPr>
                <w:rFonts w:ascii="Calibri" w:hAnsi="Calibri"/>
                <w:b/>
                <w:sz w:val="18"/>
              </w:rPr>
              <w:t>nDCG@10</w:t>
            </w:r>
          </w:p>
        </w:tc>
      </w:tr>
      <w:tr>
        <w:tc>
          <w:tcPr>
            <w:tcW w:type="dxa" w:w="1872"/>
            <w:vAlign w:val="center"/>
            <w:tcMar>
              <w:top w:w="80" w:type="dxa"/>
              <w:start w:w="120" w:type="dxa"/>
              <w:bottom w:w="80" w:type="dxa"/>
              <w:end w:w="120" w:type="dxa"/>
            </w:tcMar>
          </w:tcPr>
          <w:p>
            <w:pPr>
              <w:spacing w:after="0"/>
            </w:pPr>
            <w:r>
              <w:rPr>
                <w:rFonts w:ascii="Calibri" w:hAnsi="Calibri"/>
                <w:sz w:val="18"/>
              </w:rPr>
              <w:t>Base multilingual MiniLM</w:t>
            </w:r>
          </w:p>
        </w:tc>
        <w:tc>
          <w:tcPr>
            <w:tcW w:type="dxa" w:w="1872"/>
            <w:vAlign w:val="center"/>
            <w:tcMar>
              <w:top w:w="80" w:type="dxa"/>
              <w:start w:w="120" w:type="dxa"/>
              <w:bottom w:w="80" w:type="dxa"/>
              <w:end w:w="120" w:type="dxa"/>
            </w:tcMar>
          </w:tcPr>
          <w:p>
            <w:pPr>
              <w:spacing w:after="0"/>
            </w:pPr>
            <w:r>
              <w:rPr>
                <w:rFonts w:ascii="Calibri" w:hAnsi="Calibri"/>
                <w:sz w:val="18"/>
              </w:rPr>
              <w:t>0.613</w:t>
            </w:r>
          </w:p>
        </w:tc>
        <w:tc>
          <w:tcPr>
            <w:tcW w:type="dxa" w:w="1872"/>
            <w:vAlign w:val="center"/>
            <w:tcMar>
              <w:top w:w="80" w:type="dxa"/>
              <w:start w:w="120" w:type="dxa"/>
              <w:bottom w:w="80" w:type="dxa"/>
              <w:end w:w="120" w:type="dxa"/>
            </w:tcMar>
          </w:tcPr>
          <w:p>
            <w:pPr>
              <w:spacing w:after="0"/>
            </w:pPr>
            <w:r>
              <w:rPr>
                <w:rFonts w:ascii="Calibri" w:hAnsi="Calibri"/>
                <w:sz w:val="18"/>
              </w:rPr>
              <w:t>0.676</w:t>
            </w:r>
          </w:p>
        </w:tc>
        <w:tc>
          <w:tcPr>
            <w:tcW w:type="dxa" w:w="1872"/>
            <w:vAlign w:val="center"/>
            <w:tcMar>
              <w:top w:w="80" w:type="dxa"/>
              <w:start w:w="120" w:type="dxa"/>
              <w:bottom w:w="80" w:type="dxa"/>
              <w:end w:w="120" w:type="dxa"/>
            </w:tcMar>
          </w:tcPr>
          <w:p>
            <w:pPr>
              <w:spacing w:after="0"/>
            </w:pPr>
            <w:r>
              <w:rPr>
                <w:rFonts w:ascii="Calibri" w:hAnsi="Calibri"/>
                <w:sz w:val="18"/>
              </w:rPr>
              <w:t>0.518</w:t>
            </w:r>
          </w:p>
        </w:tc>
        <w:tc>
          <w:tcPr>
            <w:tcW w:type="dxa" w:w="1872"/>
            <w:vAlign w:val="center"/>
            <w:tcMar>
              <w:top w:w="80" w:type="dxa"/>
              <w:start w:w="120" w:type="dxa"/>
              <w:bottom w:w="80" w:type="dxa"/>
              <w:end w:w="120" w:type="dxa"/>
            </w:tcMar>
          </w:tcPr>
          <w:p>
            <w:pPr>
              <w:spacing w:after="0"/>
            </w:pPr>
            <w:r>
              <w:rPr>
                <w:rFonts w:ascii="Calibri" w:hAnsi="Calibri"/>
                <w:sz w:val="18"/>
              </w:rPr>
              <w:t>0.556</w:t>
            </w:r>
          </w:p>
        </w:tc>
      </w:tr>
      <w:tr>
        <w:tc>
          <w:tcPr>
            <w:tcW w:type="dxa" w:w="1872"/>
            <w:vAlign w:val="center"/>
            <w:tcMar>
              <w:top w:w="80" w:type="dxa"/>
              <w:start w:w="120" w:type="dxa"/>
              <w:bottom w:w="80" w:type="dxa"/>
              <w:end w:w="120" w:type="dxa"/>
            </w:tcMar>
          </w:tcPr>
          <w:p>
            <w:pPr>
              <w:spacing w:after="0"/>
            </w:pPr>
            <w:r>
              <w:rPr>
                <w:rFonts w:ascii="Calibri" w:hAnsi="Calibri"/>
                <w:sz w:val="18"/>
              </w:rPr>
              <w:t>CPU triplet fine-tuned model</w:t>
            </w:r>
          </w:p>
        </w:tc>
        <w:tc>
          <w:tcPr>
            <w:tcW w:type="dxa" w:w="1872"/>
            <w:vAlign w:val="center"/>
            <w:tcMar>
              <w:top w:w="80" w:type="dxa"/>
              <w:start w:w="120" w:type="dxa"/>
              <w:bottom w:w="80" w:type="dxa"/>
              <w:end w:w="120" w:type="dxa"/>
            </w:tcMar>
          </w:tcPr>
          <w:p>
            <w:pPr>
              <w:spacing w:after="0"/>
            </w:pPr>
            <w:r>
              <w:rPr>
                <w:rFonts w:ascii="Calibri" w:hAnsi="Calibri"/>
                <w:sz w:val="18"/>
              </w:rPr>
              <w:t>0.539</w:t>
            </w:r>
          </w:p>
        </w:tc>
        <w:tc>
          <w:tcPr>
            <w:tcW w:type="dxa" w:w="1872"/>
            <w:vAlign w:val="center"/>
            <w:tcMar>
              <w:top w:w="80" w:type="dxa"/>
              <w:start w:w="120" w:type="dxa"/>
              <w:bottom w:w="80" w:type="dxa"/>
              <w:end w:w="120" w:type="dxa"/>
            </w:tcMar>
          </w:tcPr>
          <w:p>
            <w:pPr>
              <w:spacing w:after="0"/>
            </w:pPr>
            <w:r>
              <w:rPr>
                <w:rFonts w:ascii="Calibri" w:hAnsi="Calibri"/>
                <w:sz w:val="18"/>
              </w:rPr>
              <w:t>0.591</w:t>
            </w:r>
          </w:p>
        </w:tc>
        <w:tc>
          <w:tcPr>
            <w:tcW w:type="dxa" w:w="1872"/>
            <w:vAlign w:val="center"/>
            <w:tcMar>
              <w:top w:w="80" w:type="dxa"/>
              <w:start w:w="120" w:type="dxa"/>
              <w:bottom w:w="80" w:type="dxa"/>
              <w:end w:w="120" w:type="dxa"/>
            </w:tcMar>
          </w:tcPr>
          <w:p>
            <w:pPr>
              <w:spacing w:after="0"/>
            </w:pPr>
            <w:r>
              <w:rPr>
                <w:rFonts w:ascii="Calibri" w:hAnsi="Calibri"/>
                <w:sz w:val="18"/>
              </w:rPr>
              <w:t>0.456</w:t>
            </w:r>
          </w:p>
        </w:tc>
        <w:tc>
          <w:tcPr>
            <w:tcW w:type="dxa" w:w="1872"/>
            <w:vAlign w:val="center"/>
            <w:tcMar>
              <w:top w:w="80" w:type="dxa"/>
              <w:start w:w="120" w:type="dxa"/>
              <w:bottom w:w="80" w:type="dxa"/>
              <w:end w:w="120" w:type="dxa"/>
            </w:tcMar>
          </w:tcPr>
          <w:p>
            <w:pPr>
              <w:spacing w:after="0"/>
            </w:pPr>
            <w:r>
              <w:rPr>
                <w:rFonts w:ascii="Calibri" w:hAnsi="Calibri"/>
                <w:sz w:val="18"/>
              </w:rPr>
              <w:t>0.488</w:t>
            </w:r>
          </w:p>
        </w:tc>
      </w:tr>
    </w:tbl>
    <w:p/>
    <w:p>
      <w:r>
        <w:t>The full CPU fine-tuning run degraded dense retrieval quality. This is an important ablation result: fine-tuning is not automatically beneficial, especially when the base model, negative sampling, objective, sequence length, and validation strategy are not tuned for Turkish legal retrieval. Therefore, the final demo system keeps BM25 as the primary retriever.</w:t>
      </w:r>
    </w:p>
    <w:p>
      <w:pPr>
        <w:pStyle w:val="Heading2"/>
      </w:pPr>
      <w:r>
        <w:t>6.4 QA and Grounding Evaluation</w:t>
      </w:r>
    </w:p>
    <w:p>
      <w:r>
        <w:t>The current QA baseline retrieves top-5 chunks with BM25 and returns an extractive source-grounded answer from the top-1 chunk.</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80" w:type="dxa"/>
              <w:start w:w="120" w:type="dxa"/>
              <w:bottom w:w="80" w:type="dxa"/>
              <w:end w:w="120" w:type="dxa"/>
            </w:tcMar>
            <w:shd w:fill="F2F4F7"/>
          </w:tcPr>
          <w:p>
            <w:pPr>
              <w:spacing w:after="0"/>
            </w:pPr>
            <w:r>
              <w:rPr>
                <w:rFonts w:ascii="Calibri" w:hAnsi="Calibri"/>
                <w:b/>
                <w:sz w:val="18"/>
              </w:rPr>
              <w:t>System</w:t>
            </w:r>
          </w:p>
        </w:tc>
        <w:tc>
          <w:tcPr>
            <w:tcW w:type="dxa" w:w="1170"/>
            <w:vAlign w:val="center"/>
            <w:tcMar>
              <w:top w:w="80" w:type="dxa"/>
              <w:start w:w="120" w:type="dxa"/>
              <w:bottom w:w="80" w:type="dxa"/>
              <w:end w:w="120" w:type="dxa"/>
            </w:tcMar>
            <w:shd w:fill="F2F4F7"/>
          </w:tcPr>
          <w:p>
            <w:pPr>
              <w:spacing w:after="0"/>
            </w:pPr>
            <w:r>
              <w:rPr>
                <w:rFonts w:ascii="Calibri" w:hAnsi="Calibri"/>
                <w:b/>
                <w:sz w:val="18"/>
              </w:rPr>
              <w:t>EM</w:t>
            </w:r>
          </w:p>
        </w:tc>
        <w:tc>
          <w:tcPr>
            <w:tcW w:type="dxa" w:w="1170"/>
            <w:vAlign w:val="center"/>
            <w:tcMar>
              <w:top w:w="80" w:type="dxa"/>
              <w:start w:w="120" w:type="dxa"/>
              <w:bottom w:w="80" w:type="dxa"/>
              <w:end w:w="120" w:type="dxa"/>
            </w:tcMar>
            <w:shd w:fill="F2F4F7"/>
          </w:tcPr>
          <w:p>
            <w:pPr>
              <w:spacing w:after="0"/>
            </w:pPr>
            <w:r>
              <w:rPr>
                <w:rFonts w:ascii="Calibri" w:hAnsi="Calibri"/>
                <w:b/>
                <w:sz w:val="18"/>
              </w:rPr>
              <w:t>Token F1</w:t>
            </w:r>
          </w:p>
        </w:tc>
        <w:tc>
          <w:tcPr>
            <w:tcW w:type="dxa" w:w="1170"/>
            <w:vAlign w:val="center"/>
            <w:tcMar>
              <w:top w:w="80" w:type="dxa"/>
              <w:start w:w="120" w:type="dxa"/>
              <w:bottom w:w="80" w:type="dxa"/>
              <w:end w:w="120" w:type="dxa"/>
            </w:tcMar>
            <w:shd w:fill="F2F4F7"/>
          </w:tcPr>
          <w:p>
            <w:pPr>
              <w:spacing w:after="0"/>
            </w:pPr>
            <w:r>
              <w:rPr>
                <w:rFonts w:ascii="Calibri" w:hAnsi="Calibri"/>
                <w:b/>
                <w:sz w:val="18"/>
              </w:rPr>
              <w:t>ROUGE-L</w:t>
            </w:r>
          </w:p>
        </w:tc>
        <w:tc>
          <w:tcPr>
            <w:tcW w:type="dxa" w:w="1170"/>
            <w:vAlign w:val="center"/>
            <w:tcMar>
              <w:top w:w="80" w:type="dxa"/>
              <w:start w:w="120" w:type="dxa"/>
              <w:bottom w:w="80" w:type="dxa"/>
              <w:end w:w="120" w:type="dxa"/>
            </w:tcMar>
            <w:shd w:fill="F2F4F7"/>
          </w:tcPr>
          <w:p>
            <w:pPr>
              <w:spacing w:after="0"/>
            </w:pPr>
            <w:r>
              <w:rPr>
                <w:rFonts w:ascii="Calibri" w:hAnsi="Calibri"/>
                <w:b/>
                <w:sz w:val="18"/>
              </w:rPr>
              <w:t>Top-1 Source Hit</w:t>
            </w:r>
          </w:p>
        </w:tc>
        <w:tc>
          <w:tcPr>
            <w:tcW w:type="dxa" w:w="1170"/>
            <w:vAlign w:val="center"/>
            <w:tcMar>
              <w:top w:w="80" w:type="dxa"/>
              <w:start w:w="120" w:type="dxa"/>
              <w:bottom w:w="80" w:type="dxa"/>
              <w:end w:w="120" w:type="dxa"/>
            </w:tcMar>
            <w:shd w:fill="F2F4F7"/>
          </w:tcPr>
          <w:p>
            <w:pPr>
              <w:spacing w:after="0"/>
            </w:pPr>
            <w:r>
              <w:rPr>
                <w:rFonts w:ascii="Calibri" w:hAnsi="Calibri"/>
                <w:b/>
                <w:sz w:val="18"/>
              </w:rPr>
              <w:t>Top-5 Source Hit</w:t>
            </w:r>
          </w:p>
        </w:tc>
        <w:tc>
          <w:tcPr>
            <w:tcW w:type="dxa" w:w="1170"/>
            <w:vAlign w:val="center"/>
            <w:tcMar>
              <w:top w:w="80" w:type="dxa"/>
              <w:start w:w="120" w:type="dxa"/>
              <w:bottom w:w="80" w:type="dxa"/>
              <w:end w:w="120" w:type="dxa"/>
            </w:tcMar>
            <w:shd w:fill="F2F4F7"/>
          </w:tcPr>
          <w:p>
            <w:pPr>
              <w:spacing w:after="0"/>
            </w:pPr>
            <w:r>
              <w:rPr>
                <w:rFonts w:ascii="Calibri" w:hAnsi="Calibri"/>
                <w:b/>
                <w:sz w:val="18"/>
              </w:rPr>
              <w:t>Citation Accuracy</w:t>
            </w:r>
          </w:p>
        </w:tc>
        <w:tc>
          <w:tcPr>
            <w:tcW w:type="dxa" w:w="1170"/>
            <w:vAlign w:val="center"/>
            <w:tcMar>
              <w:top w:w="80" w:type="dxa"/>
              <w:start w:w="120" w:type="dxa"/>
              <w:bottom w:w="80" w:type="dxa"/>
              <w:end w:w="120" w:type="dxa"/>
            </w:tcMar>
            <w:shd w:fill="F2F4F7"/>
          </w:tcPr>
          <w:p>
            <w:pPr>
              <w:spacing w:after="0"/>
            </w:pPr>
            <w:r>
              <w:rPr>
                <w:rFonts w:ascii="Calibri" w:hAnsi="Calibri"/>
                <w:b/>
                <w:sz w:val="18"/>
              </w:rPr>
              <w:t>Faithfulness Proxy</w:t>
            </w:r>
          </w:p>
        </w:tc>
      </w:tr>
      <w:tr>
        <w:tc>
          <w:tcPr>
            <w:tcW w:type="dxa" w:w="1170"/>
            <w:vAlign w:val="center"/>
            <w:tcMar>
              <w:top w:w="80" w:type="dxa"/>
              <w:start w:w="120" w:type="dxa"/>
              <w:bottom w:w="80" w:type="dxa"/>
              <w:end w:w="120" w:type="dxa"/>
            </w:tcMar>
          </w:tcPr>
          <w:p>
            <w:pPr>
              <w:spacing w:after="0"/>
            </w:pPr>
            <w:r>
              <w:rPr>
                <w:rFonts w:ascii="Calibri" w:hAnsi="Calibri"/>
                <w:sz w:val="18"/>
              </w:rPr>
              <w:t>BM25 + extractive answer</w:t>
            </w:r>
          </w:p>
        </w:tc>
        <w:tc>
          <w:tcPr>
            <w:tcW w:type="dxa" w:w="1170"/>
            <w:vAlign w:val="center"/>
            <w:tcMar>
              <w:top w:w="80" w:type="dxa"/>
              <w:start w:w="120" w:type="dxa"/>
              <w:bottom w:w="80" w:type="dxa"/>
              <w:end w:w="120" w:type="dxa"/>
            </w:tcMar>
          </w:tcPr>
          <w:p>
            <w:pPr>
              <w:spacing w:after="0"/>
            </w:pPr>
            <w:r>
              <w:rPr>
                <w:rFonts w:ascii="Calibri" w:hAnsi="Calibri"/>
                <w:sz w:val="18"/>
              </w:rPr>
              <w:t>0.363</w:t>
            </w:r>
          </w:p>
        </w:tc>
        <w:tc>
          <w:tcPr>
            <w:tcW w:type="dxa" w:w="1170"/>
            <w:vAlign w:val="center"/>
            <w:tcMar>
              <w:top w:w="80" w:type="dxa"/>
              <w:start w:w="120" w:type="dxa"/>
              <w:bottom w:w="80" w:type="dxa"/>
              <w:end w:w="120" w:type="dxa"/>
            </w:tcMar>
          </w:tcPr>
          <w:p>
            <w:pPr>
              <w:spacing w:after="0"/>
            </w:pPr>
            <w:r>
              <w:rPr>
                <w:rFonts w:ascii="Calibri" w:hAnsi="Calibri"/>
                <w:sz w:val="18"/>
              </w:rPr>
              <w:t>0.799</w:t>
            </w:r>
          </w:p>
        </w:tc>
        <w:tc>
          <w:tcPr>
            <w:tcW w:type="dxa" w:w="1170"/>
            <w:vAlign w:val="center"/>
            <w:tcMar>
              <w:top w:w="80" w:type="dxa"/>
              <w:start w:w="120" w:type="dxa"/>
              <w:bottom w:w="80" w:type="dxa"/>
              <w:end w:w="120" w:type="dxa"/>
            </w:tcMar>
          </w:tcPr>
          <w:p>
            <w:pPr>
              <w:spacing w:after="0"/>
            </w:pPr>
            <w:r>
              <w:rPr>
                <w:rFonts w:ascii="Calibri" w:hAnsi="Calibri"/>
                <w:sz w:val="18"/>
              </w:rPr>
              <w:t>0.793</w:t>
            </w:r>
          </w:p>
        </w:tc>
        <w:tc>
          <w:tcPr>
            <w:tcW w:type="dxa" w:w="1170"/>
            <w:vAlign w:val="center"/>
            <w:tcMar>
              <w:top w:w="80" w:type="dxa"/>
              <w:start w:w="120" w:type="dxa"/>
              <w:bottom w:w="80" w:type="dxa"/>
              <w:end w:w="120" w:type="dxa"/>
            </w:tcMar>
          </w:tcPr>
          <w:p>
            <w:pPr>
              <w:spacing w:after="0"/>
            </w:pPr>
            <w:r>
              <w:rPr>
                <w:rFonts w:ascii="Calibri" w:hAnsi="Calibri"/>
                <w:sz w:val="18"/>
              </w:rPr>
              <w:t>0.813</w:t>
            </w:r>
          </w:p>
        </w:tc>
        <w:tc>
          <w:tcPr>
            <w:tcW w:type="dxa" w:w="1170"/>
            <w:vAlign w:val="center"/>
            <w:tcMar>
              <w:top w:w="80" w:type="dxa"/>
              <w:start w:w="120" w:type="dxa"/>
              <w:bottom w:w="80" w:type="dxa"/>
              <w:end w:w="120" w:type="dxa"/>
            </w:tcMar>
          </w:tcPr>
          <w:p>
            <w:pPr>
              <w:spacing w:after="0"/>
            </w:pPr>
            <w:r>
              <w:rPr>
                <w:rFonts w:ascii="Calibri" w:hAnsi="Calibri"/>
                <w:sz w:val="18"/>
              </w:rPr>
              <w:t>0.908</w:t>
            </w:r>
          </w:p>
        </w:tc>
        <w:tc>
          <w:tcPr>
            <w:tcW w:type="dxa" w:w="1170"/>
            <w:vAlign w:val="center"/>
            <w:tcMar>
              <w:top w:w="80" w:type="dxa"/>
              <w:start w:w="120" w:type="dxa"/>
              <w:bottom w:w="80" w:type="dxa"/>
              <w:end w:w="120" w:type="dxa"/>
            </w:tcMar>
          </w:tcPr>
          <w:p>
            <w:pPr>
              <w:spacing w:after="0"/>
            </w:pPr>
            <w:r>
              <w:rPr>
                <w:rFonts w:ascii="Calibri" w:hAnsi="Calibri"/>
                <w:sz w:val="18"/>
              </w:rPr>
              <w:t>0.813</w:t>
            </w:r>
          </w:p>
        </w:tc>
        <w:tc>
          <w:tcPr>
            <w:tcW w:type="dxa" w:w="1170"/>
            <w:vAlign w:val="center"/>
            <w:tcMar>
              <w:top w:w="80" w:type="dxa"/>
              <w:start w:w="120" w:type="dxa"/>
              <w:bottom w:w="80" w:type="dxa"/>
              <w:end w:w="120" w:type="dxa"/>
            </w:tcMar>
          </w:tcPr>
          <w:p>
            <w:pPr>
              <w:spacing w:after="0"/>
            </w:pPr>
            <w:r>
              <w:rPr>
                <w:rFonts w:ascii="Calibri" w:hAnsi="Calibri"/>
                <w:sz w:val="18"/>
              </w:rPr>
              <w:t>0.961</w:t>
            </w:r>
          </w:p>
        </w:tc>
      </w:tr>
    </w:tbl>
    <w:p/>
    <w:p>
      <w:r>
        <w:t>The faithfulness proxy is high because the baseline answer is extractive and directly uses retrieved source text. However, answer quality and citation accuracy are limited by whether the correct source is ranked first.</w:t>
      </w:r>
    </w:p>
    <w:p>
      <w:pPr>
        <w:pStyle w:val="Heading1"/>
      </w:pPr>
      <w:r>
        <w:t>7. Error Analysis</w:t>
      </w:r>
    </w:p>
    <w:p>
      <w:r>
        <w:t>Error analysis on the 240-question gold benchmark found:</w:t>
      </w:r>
    </w:p>
    <w:p>
      <w:pPr>
        <w:pStyle w:val="ListBullet"/>
      </w:pPr>
      <w:r>
        <w:t>Top-5 retrieval failures: 22</w:t>
      </w:r>
    </w:p>
    <w:p>
      <w:pPr>
        <w:pStyle w:val="ListBullet"/>
      </w:pPr>
      <w:r>
        <w:t>Ranking failures: 23</w:t>
      </w:r>
    </w:p>
    <w:p>
      <w:r>
        <w:t>Failure definitions:</w:t>
      </w:r>
    </w:p>
    <w:p>
      <w:pPr>
        <w:pStyle w:val="ListBullet"/>
      </w:pPr>
      <w:r>
        <w:t>Retrieval failure: the gold source is not present in top-5.</w:t>
      </w:r>
    </w:p>
    <w:p>
      <w:pPr>
        <w:pStyle w:val="ListBullet"/>
      </w:pPr>
      <w:r>
        <w:t>Ranking failure: the gold source is in top-5 but not top-1.</w:t>
      </w:r>
    </w:p>
    <w:p>
      <w:pPr>
        <w:pStyle w:val="ListBullet"/>
      </w:pPr>
      <w:r>
        <w:t>Formatting mismatch: the correct source is retrieved but answer wording differs from the verified answer.</w:t>
      </w:r>
    </w:p>
    <w:p>
      <w:r>
        <w:t>These results show that future improvements should target two different parts of the pipeline:</w:t>
      </w:r>
    </w:p>
    <w:p>
      <w:pPr>
        <w:pStyle w:val="ListBullet"/>
      </w:pPr>
      <w:r>
        <w:t>Better first-stage retrieval for the 22 retrieval failures</w:t>
      </w:r>
    </w:p>
    <w:p>
      <w:pPr>
        <w:pStyle w:val="ListBullet"/>
      </w:pPr>
      <w:r>
        <w:t>Domain-tuned reranking for the 23 ranking failures</w:t>
      </w:r>
    </w:p>
    <w:p>
      <w:pPr>
        <w:pStyle w:val="Heading1"/>
      </w:pPr>
      <w:r>
        <w:t>8. Reproducibility</w:t>
      </w:r>
    </w:p>
    <w:p>
      <w:r>
        <w:t>Main commands:</w:t>
      </w:r>
    </w:p>
    <w:p>
      <w:pPr>
        <w:pStyle w:val="NoSpacing"/>
      </w:pPr>
      <w:r>
        <w:rPr>
          <w:rFonts w:ascii="Consolas" w:hAnsi="Consolas"/>
          <w:sz w:val="18"/>
        </w:rPr>
        <w:t>python scripts/evaluate_retrieval.py --retriever bm25 --top-k 10 --output outputs/retrieval_eval_bm25_full.json</w:t>
        <w:br/>
        <w:t>python scripts/evaluate_retrieval.py --retriever dense --top-k 10 --output outputs/retrieval_eval_dense_full.json</w:t>
        <w:br/>
        <w:t>python scripts/evaluate_retrieval.py --retriever hybrid --dense-weight 0.35 --top-k 10 --output outputs/retrieval_eval_hybrid_full.json</w:t>
        <w:br/>
        <w:t>python scripts/evaluate_qa.py --retriever bm25 --generation-mode extractive --top-k 5 --output outputs/qa_eval_extractive_bm25_full.json</w:t>
        <w:br/>
        <w:t>python scripts/analyze_qa_errors.py --input outputs/qa_eval_extractive_bm25_full.json --output outputs/qa_error_analysis.md</w:t>
      </w:r>
    </w:p>
    <w:p>
      <w:r>
        <w:t>Training commands:</w:t>
      </w:r>
    </w:p>
    <w:p>
      <w:pPr>
        <w:pStyle w:val="NoSpacing"/>
      </w:pPr>
      <w:r>
        <w:rPr>
          <w:rFonts w:ascii="Consolas" w:hAnsi="Consolas"/>
          <w:sz w:val="18"/>
        </w:rPr>
        <w:t>python scripts/train_embedding_model.py --epochs 1 --batch-size 16 --max-seq-length 384</w:t>
        <w:br/>
        <w:t>python scripts/train_cross_encoder_reranker.py --epochs 1 --batch-size 8</w:t>
      </w:r>
    </w:p>
    <w:p>
      <w:pPr>
        <w:pStyle w:val="Heading1"/>
      </w:pPr>
      <w:r>
        <w:t>9. Hardware and Limitations</w:t>
      </w:r>
    </w:p>
    <w:p>
      <w:r>
        <w:t>The local environment used for these experiments is CPU-only. CUDA is not available. Because of this, full embedding fine-tuning was run with a smaller CPU configuration, while full cross-encoder fine-tuning and large LLM fine-tuning were prepared as reproducible scripts but not fully executed locally.</w:t>
      </w:r>
    </w:p>
    <w:p>
      <w:r>
        <w:t>Limitations:</w:t>
      </w:r>
    </w:p>
    <w:p>
      <w:pPr>
        <w:pStyle w:val="ListBullet"/>
      </w:pPr>
      <w:r>
        <w:t>The current answer generator is extractive, not a final fine-tuned LLM.</w:t>
      </w:r>
    </w:p>
    <w:p>
      <w:pPr>
        <w:pStyle w:val="ListBullet"/>
      </w:pPr>
      <w:r>
        <w:t>Pretrained reranking was evaluated on 100 queries due to CPU inference cost.</w:t>
      </w:r>
    </w:p>
    <w:p>
      <w:pPr>
        <w:pStyle w:val="ListBullet"/>
      </w:pPr>
      <w:r>
        <w:t>CPU embedding fine-tuning degraded dense retrieval, so the final demo uses BM25.</w:t>
      </w:r>
    </w:p>
    <w:p>
      <w:pPr>
        <w:pStyle w:val="ListBullet"/>
      </w:pPr>
      <w:r>
        <w:t>Full reranker and LLM fine-tuning should be run on GPU.</w:t>
      </w:r>
    </w:p>
    <w:p>
      <w:pPr>
        <w:pStyle w:val="ListBullet"/>
      </w:pPr>
      <w:r>
        <w:t>LLM-based faithfulness judging is not yet included; the current faithfulness score is a lexical proxy.</w:t>
      </w:r>
    </w:p>
    <w:p>
      <w:pPr>
        <w:pStyle w:val="Heading1"/>
      </w:pPr>
      <w:r>
        <w:t>10. Conclusion</w:t>
      </w:r>
    </w:p>
    <w:p>
      <w:r>
        <w:t>The project establishes a reproducible Turkish legal RAG pipeline with retrieval, QA evaluation, reranker testing, embedding fine-tuning infrastructure, and error analysis.</w:t>
      </w:r>
    </w:p>
    <w:p>
      <w:r>
        <w:t>The strongest current system is BM25-based retrieval with extractive grounded answers. BM25 achieves 0.975 Recall@10 on the retrieval benchmark and 0.908 Top-5 source hit on the gold QA benchmark.</w:t>
      </w:r>
    </w:p>
    <w:p>
      <w:r>
        <w:t>The experiments also reveal clear optimization directions. Generic dense embeddings underperform lexical retrieval, a naive CPU triplet fine-tuning run further degrades dense retrieval, and a pretrained general-domain reranker hurts performance. Therefore, future optimized systems should use carefully validated domain adaptation rather than assuming that fine-tuning alone will improve the pipeline.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Turkish Legal RAG - CENG493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