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19" w:rsidRDefault="00E062B9" w:rsidP="00E062B9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062B9">
        <w:rPr>
          <w:rFonts w:ascii="Times New Roman" w:hAnsi="Times New Roman" w:cs="Times New Roman"/>
          <w:sz w:val="48"/>
          <w:szCs w:val="48"/>
        </w:rPr>
        <w:t>Szóképek</w:t>
      </w:r>
    </w:p>
    <w:p w:rsidR="00E062B9" w:rsidRDefault="00E062B9" w:rsidP="00E06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szóképeket a szépirodalomban használjuk. Céljuk a képszerűség, szemléletesség biztosítása.</w:t>
      </w:r>
    </w:p>
    <w:p w:rsidR="00E062B9" w:rsidRDefault="00E062B9" w:rsidP="00E062B9">
      <w:pPr>
        <w:spacing w:after="0" w:line="240" w:lineRule="auto"/>
        <w:rPr>
          <w:rFonts w:ascii="Times New Roman" w:hAnsi="Times New Roman" w:cs="Times New Roman"/>
        </w:rPr>
      </w:pPr>
    </w:p>
    <w:p w:rsidR="00E062B9" w:rsidRDefault="00E062B9" w:rsidP="00E062B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Fajtái:</w:t>
      </w:r>
    </w:p>
    <w:p w:rsidR="00E062B9" w:rsidRDefault="00D65CB7" w:rsidP="00D65CB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metafora (névátvétel):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Tartalmi vagy hangulati egyezés alapján, hasonlóság alapján valósul meg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köznyelvben is használjuk, nem csupán a szépirodalomban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szőlőszem, csipős nyelvű, galamblelkű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szépirodalmi stílusban is igen gyakori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metafora szerkesztettsége szerint lehet egytagú és lehet többtagú (teljes, kibontott metafora)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„füst virágzik”</w:t>
      </w:r>
    </w:p>
    <w:p w:rsidR="00D65CB7" w:rsidRDefault="00D65CB7" w:rsidP="00D65CB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Megszemélyesítés: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Élettelen tárgyat vagy elvont fogalmat emberi tulajdonsággal vagy cselekvéssel ruház fel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megszemélyesítés valójában metafora típus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„nyurga füst virágzik”</w:t>
      </w:r>
    </w:p>
    <w:p w:rsidR="00D65CB7" w:rsidRDefault="00D65CB7" w:rsidP="00D65CB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Metonímia (névcsere):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Görög szóból származik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Itt a 2 fogalom a metaforától eltérően valóságosan is érintkezik egymással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farmer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Ok-okozati, rész-egész viszony, logikai kapcsolat van a metonímiánál az elemek között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„Amott ül egy zörgő kabát”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ruhadarabbal utal a költő az emberre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Szinekdoché: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metonímia egyik típusa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 típus, ahol résszel utalunk az egészre vagy nemmel a fajtára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Pl.: A </w:t>
      </w:r>
      <w:r w:rsidRPr="00D65CB7">
        <w:rPr>
          <w:rFonts w:ascii="Times New Roman" w:hAnsi="Times New Roman" w:cs="Times New Roman"/>
          <w:color w:val="FF0000"/>
        </w:rPr>
        <w:t>falu</w:t>
      </w:r>
      <w:r>
        <w:rPr>
          <w:rFonts w:ascii="Times New Roman" w:hAnsi="Times New Roman" w:cs="Times New Roman"/>
        </w:rPr>
        <w:t xml:space="preserve"> szájára vette -&gt; A falu itt mindenkire vonatkozik</w:t>
      </w:r>
    </w:p>
    <w:p w:rsidR="00D65CB7" w:rsidRDefault="00D65CB7" w:rsidP="00D65CB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Szinesztézia: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Különböző érzékterületek összekapcsolása a jellemzője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Pl.: 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lila dal -&gt; látás + hallás összekapcsolása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sűrű csönd ropog -&gt; látás+ hallás+tapintás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Görög szóból ered -&gt; együttérzést jelent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Hétköznapi életben is használjuk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Nehéz szag van</w:t>
      </w:r>
    </w:p>
    <w:p w:rsidR="00D65CB7" w:rsidRDefault="00D65CB7" w:rsidP="00D65CB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Allegória: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Végigvonul az irodalomtörténetben, már az ókori görögök, rómaiak is alkalmazták (Aesopus, Phaedrus, tanmeséi: </w:t>
      </w:r>
      <w:r w:rsidRPr="00D65CB7">
        <w:rPr>
          <w:rFonts w:ascii="Times New Roman" w:hAnsi="Times New Roman" w:cs="Times New Roman"/>
        </w:rPr>
        <w:t xml:space="preserve">Elvont fogalmakat általában erkölcsi vonatkozású </w:t>
      </w:r>
      <w:r>
        <w:rPr>
          <w:rFonts w:ascii="Times New Roman" w:hAnsi="Times New Roman" w:cs="Times New Roman"/>
        </w:rPr>
        <w:t>dolgokat állatalakokkal kapcsoltak össze)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Használta Dante is az Isteni színjátékban:</w:t>
      </w:r>
    </w:p>
    <w:p w:rsidR="00D65CB7" w:rsidRDefault="00D65CB7" w:rsidP="00D65CB7">
      <w:pPr>
        <w:pStyle w:val="Listaszerbekezds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farkas, oroszlán, párduc allegóriák –&gt; erőszakra, gőgre, kapzsiságra utal</w:t>
      </w:r>
    </w:p>
    <w:p w:rsidR="00D65CB7" w:rsidRDefault="00D65CB7" w:rsidP="00D65CB7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érzékletes kép, melynek másodlagos jelentését a költő megfejti</w:t>
      </w:r>
    </w:p>
    <w:p w:rsidR="00D65CB7" w:rsidRDefault="00B525CD" w:rsidP="00D65CB7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Szimbólum, jelkép:</w:t>
      </w:r>
    </w:p>
    <w:p w:rsidR="00B525CD" w:rsidRDefault="00B525CD" w:rsidP="00B525CD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Általában érzelmet, sejtelmes hangulatot közvetít</w:t>
      </w:r>
    </w:p>
    <w:p w:rsidR="00B525CD" w:rsidRDefault="00B525CD" w:rsidP="00B525CD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másodlagos jelentését nem fejti meg a költő, hanem az olvasóra bízza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egy allegória végigvonul egy költeményen, akkor azt allegorikus költeménynek nevezzük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170180</wp:posOffset>
                </wp:positionV>
                <wp:extent cx="409575" cy="47714"/>
                <wp:effectExtent l="0" t="38100" r="47625" b="85725"/>
                <wp:wrapNone/>
                <wp:docPr id="4" name="Szabadkézi sokszö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7714"/>
                        </a:xfrm>
                        <a:custGeom>
                          <a:avLst/>
                          <a:gdLst>
                            <a:gd name="connsiteX0" fmla="*/ 0 w 409575"/>
                            <a:gd name="connsiteY0" fmla="*/ 0 h 47714"/>
                            <a:gd name="connsiteX1" fmla="*/ 228600 w 409575"/>
                            <a:gd name="connsiteY1" fmla="*/ 47625 h 47714"/>
                            <a:gd name="connsiteX2" fmla="*/ 409575 w 409575"/>
                            <a:gd name="connsiteY2" fmla="*/ 9525 h 477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09575" h="47714">
                              <a:moveTo>
                                <a:pt x="0" y="0"/>
                              </a:moveTo>
                              <a:cubicBezTo>
                                <a:pt x="80169" y="23019"/>
                                <a:pt x="160338" y="46038"/>
                                <a:pt x="228600" y="47625"/>
                              </a:cubicBezTo>
                              <a:cubicBezTo>
                                <a:pt x="296862" y="49212"/>
                                <a:pt x="353218" y="29368"/>
                                <a:pt x="409575" y="9525"/>
                              </a:cubicBezTo>
                            </a:path>
                          </a:pathLst>
                        </a:custGeom>
                        <a:noFill/>
                        <a:ln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95D26" id="Szabadkézi sokszög 4" o:spid="_x0000_s1026" style="position:absolute;margin-left:166.9pt;margin-top:13.4pt;width:32.25pt;height: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9575,47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" path="m,c80169,23019,160338,46038,228600,47625,296862,49212,353218,29368,409575,9525e" filled="f" strokecolor="#1f4d78 [1604]" strokeweight="1pt">
                <v:stroke endarrow="open" joinstyle="miter"/>
                <v:path arrowok="t" o:connecttype="custom" o:connectlocs="0,0;228600,47625;409575,9525" o:connectangles="0,0,0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Pl.: Petőfi Sándor: „Föltámadott a </w:t>
      </w:r>
      <w:r w:rsidRPr="00B525CD">
        <w:rPr>
          <w:rFonts w:ascii="Times New Roman" w:hAnsi="Times New Roman" w:cs="Times New Roman"/>
          <w:color w:val="FF0000"/>
        </w:rPr>
        <w:t>tenger</w:t>
      </w:r>
      <w:r>
        <w:rPr>
          <w:rFonts w:ascii="Times New Roman" w:hAnsi="Times New Roman" w:cs="Times New Roman"/>
        </w:rPr>
        <w:t xml:space="preserve">, a </w:t>
      </w:r>
      <w:r w:rsidRPr="00B525CD">
        <w:rPr>
          <w:rFonts w:ascii="Times New Roman" w:hAnsi="Times New Roman" w:cs="Times New Roman"/>
          <w:color w:val="FF0000"/>
        </w:rPr>
        <w:t>népek</w:t>
      </w:r>
      <w:r>
        <w:rPr>
          <w:rFonts w:ascii="Times New Roman" w:hAnsi="Times New Roman" w:cs="Times New Roman"/>
        </w:rPr>
        <w:t xml:space="preserve"> tengere”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egy szimbólum vonul végig a költeményen, akkor azt szimbolikus költeménynek nevezzük.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Szimbólumok, jelképek a hétköznapi életben is előfordulnak</w:t>
      </w:r>
    </w:p>
    <w:p w:rsidR="00B525CD" w:rsidRPr="00B525CD" w:rsidRDefault="00B525CD" w:rsidP="00B525C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525CD">
        <w:rPr>
          <w:rFonts w:ascii="Times New Roman" w:hAnsi="Times New Roman" w:cs="Times New Roman"/>
        </w:rPr>
        <w:t>Pl.:</w:t>
      </w:r>
    </w:p>
    <w:p w:rsidR="00B525CD" w:rsidRPr="00B525CD" w:rsidRDefault="00B525CD" w:rsidP="00B525C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525CD">
        <w:rPr>
          <w:rFonts w:ascii="Times New Roman" w:hAnsi="Times New Roman" w:cs="Times New Roman"/>
        </w:rPr>
        <w:t>bilincs –&gt; rabság</w:t>
      </w:r>
    </w:p>
    <w:p w:rsidR="00B525CD" w:rsidRPr="00B525CD" w:rsidRDefault="00B525CD" w:rsidP="00B525C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525CD">
        <w:rPr>
          <w:rFonts w:ascii="Times New Roman" w:hAnsi="Times New Roman" w:cs="Times New Roman"/>
        </w:rPr>
        <w:t>kenyér -&gt; élet</w:t>
      </w:r>
    </w:p>
    <w:p w:rsidR="00B525CD" w:rsidRDefault="00B525CD" w:rsidP="00B525C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525CD">
        <w:rPr>
          <w:rFonts w:ascii="Times New Roman" w:hAnsi="Times New Roman" w:cs="Times New Roman"/>
        </w:rPr>
        <w:t>galamb –&gt; szabadság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Létezik szimbolika is:</w:t>
      </w:r>
    </w:p>
    <w:p w:rsidR="00B525CD" w:rsidRDefault="00B525CD" w:rsidP="00B525C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</w:t>
      </w:r>
    </w:p>
    <w:p w:rsidR="00B525CD" w:rsidRDefault="00B525CD" w:rsidP="00B525C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piros -&gt; vér, szerelem</w:t>
      </w:r>
    </w:p>
    <w:p w:rsidR="00B525CD" w:rsidRDefault="00B525CD" w:rsidP="00B525C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zöld -&gt; remény</w:t>
      </w:r>
    </w:p>
    <w:p w:rsidR="00B525CD" w:rsidRDefault="00B525CD" w:rsidP="00B525CD">
      <w:pPr>
        <w:pStyle w:val="Listaszerbekezds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sárga -&gt; irigység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irodalom is használja a jelképeket.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19. század végéig, 20. század elejéig mindezt 2 féle módon tette</w:t>
      </w:r>
    </w:p>
    <w:p w:rsidR="00B525CD" w:rsidRDefault="00B525CD" w:rsidP="00B525C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Önálló, szétszór stíluseszközként</w:t>
      </w:r>
    </w:p>
    <w:p w:rsidR="00B525CD" w:rsidRDefault="00B525CD" w:rsidP="00B525CD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Egész művet uraló stíluseszközként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19. század végén, 20. század elején kialakult az úgynevezett szimbolizmus.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szimbolizmus időszakában a jelképek több jelentése már nem egyértelmű mindenki számára.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Nyugat- Európában az élet rejtett összefüggéseit, titokzatosságát érzékeltetik:</w:t>
      </w:r>
    </w:p>
    <w:p w:rsidR="00B525CD" w:rsidRDefault="00B525CD" w:rsidP="00B525C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Képviselője a francia irodalomban Baudelaire (Romlás virágai mű) &lt;- legfontosabb kötete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Kelet- Európában társadalmi szimbólumok a dominánsak, a társadalmi elmaradottságot bírálják a költők.</w:t>
      </w:r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magyar irodalomban Ady Endre volt a szimbolizmus megteremtője:</w:t>
      </w:r>
    </w:p>
    <w:p w:rsidR="00B525CD" w:rsidRDefault="00B525CD" w:rsidP="00B525C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 A magyar Ugaron</w:t>
      </w:r>
    </w:p>
    <w:p w:rsidR="00E61633" w:rsidRDefault="00E61633" w:rsidP="00B525C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Itt az Ugar Magyarország szimbóluma.</w:t>
      </w:r>
    </w:p>
    <w:p w:rsidR="00E61633" w:rsidRDefault="00E61633" w:rsidP="00B525CD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Ugar: megműveletlen, termékeny föld</w:t>
      </w:r>
    </w:p>
    <w:p w:rsidR="00E61633" w:rsidRDefault="00E61633" w:rsidP="00E61633">
      <w:pPr>
        <w:spacing w:after="0" w:line="240" w:lineRule="auto"/>
        <w:rPr>
          <w:rFonts w:ascii="Times New Roman" w:hAnsi="Times New Roman" w:cs="Times New Roman"/>
        </w:rPr>
      </w:pPr>
    </w:p>
    <w:p w:rsidR="00E61633" w:rsidRDefault="00E61633" w:rsidP="00E6163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Hasonlat: </w:t>
      </w:r>
    </w:p>
    <w:p w:rsidR="00E61633" w:rsidRDefault="00E61633" w:rsidP="00E6163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Hasonlóságon alapuló azonosítás</w:t>
      </w:r>
    </w:p>
    <w:p w:rsidR="00E61633" w:rsidRDefault="00E61633" w:rsidP="00E6163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Létezik úgynevezett kifejtett hasonlat, itt megjelenik a nyelvtani elemként a „mint” kötőszó, viszont a „ként” toldalék segítségével is kifejezhetünk hasonlatot</w:t>
      </w:r>
    </w:p>
    <w:p w:rsidR="00E61633" w:rsidRDefault="00E61633" w:rsidP="00E61633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Pl.:</w:t>
      </w:r>
    </w:p>
    <w:p w:rsidR="00E61633" w:rsidRDefault="00E61633" w:rsidP="00E61633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Tanárként</w:t>
      </w:r>
    </w:p>
    <w:p w:rsidR="00E61633" w:rsidRPr="00E61633" w:rsidRDefault="00E61633" w:rsidP="00E61633">
      <w:pPr>
        <w:pStyle w:val="Listaszerbekezds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„Gondolatim minden reggel, mint a fürge méh”</w:t>
      </w:r>
      <w:bookmarkStart w:id="0" w:name="_GoBack"/>
      <w:bookmarkEnd w:id="0"/>
    </w:p>
    <w:p w:rsid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</w:p>
    <w:p w:rsidR="00B525CD" w:rsidRPr="00B525CD" w:rsidRDefault="00B525CD" w:rsidP="00B525CD">
      <w:pPr>
        <w:spacing w:after="0" w:line="240" w:lineRule="auto"/>
        <w:rPr>
          <w:rFonts w:ascii="Times New Roman" w:hAnsi="Times New Roman" w:cs="Times New Roman"/>
        </w:rPr>
      </w:pPr>
    </w:p>
    <w:sectPr w:rsidR="00B525CD" w:rsidRPr="00B5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B57C9"/>
    <w:multiLevelType w:val="hybridMultilevel"/>
    <w:tmpl w:val="E0769A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55E48"/>
    <w:multiLevelType w:val="hybridMultilevel"/>
    <w:tmpl w:val="8E388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51AF1"/>
    <w:multiLevelType w:val="hybridMultilevel"/>
    <w:tmpl w:val="C78CE7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124E1"/>
    <w:multiLevelType w:val="hybridMultilevel"/>
    <w:tmpl w:val="59EAF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1D"/>
    <w:rsid w:val="002E3341"/>
    <w:rsid w:val="00B525CD"/>
    <w:rsid w:val="00D21F1D"/>
    <w:rsid w:val="00D65CB7"/>
    <w:rsid w:val="00DA2602"/>
    <w:rsid w:val="00E062B9"/>
    <w:rsid w:val="00E6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A2E2E-29E9-411A-AFC2-708DB4CE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6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Heibl Bálint</dc:creator>
  <cp:keywords/>
  <dc:description/>
  <cp:lastModifiedBy>Heibl Bálint</cp:lastModifiedBy>
  <cp:revision>3</cp:revision>
  <dcterms:created xsi:type="dcterms:W3CDTF">2015-03-22T12:11:00Z</dcterms:created>
  <dcterms:modified xsi:type="dcterms:W3CDTF">2015-03-22T13:29:00Z</dcterms:modified>
</cp:coreProperties>
</file>