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BF" w:rsidRDefault="00372A8E" w:rsidP="00A714CD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72A8E">
        <w:rPr>
          <w:rFonts w:ascii="Times New Roman" w:hAnsi="Times New Roman" w:cs="Times New Roman"/>
          <w:sz w:val="48"/>
          <w:szCs w:val="48"/>
        </w:rPr>
        <w:t>A humanizmus és reneszánsz Itáliában</w:t>
      </w:r>
    </w:p>
    <w:p w:rsidR="00372A8E" w:rsidRDefault="00A714CD" w:rsidP="00A714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372A8E">
        <w:rPr>
          <w:rFonts w:ascii="Times New Roman" w:hAnsi="Times New Roman" w:cs="Times New Roman"/>
        </w:rPr>
        <w:t>umanizmus</w:t>
      </w:r>
      <w:r w:rsidR="00967F73">
        <w:rPr>
          <w:rFonts w:ascii="Times New Roman" w:hAnsi="Times New Roman" w:cs="Times New Roman"/>
        </w:rPr>
        <w:t>:</w:t>
      </w:r>
      <w:r w:rsidR="00372A8E">
        <w:rPr>
          <w:rFonts w:ascii="Times New Roman" w:hAnsi="Times New Roman" w:cs="Times New Roman"/>
        </w:rPr>
        <w:t xml:space="preserve"> megerősödött és öntudatra </w:t>
      </w:r>
      <w:r w:rsidR="00974127">
        <w:rPr>
          <w:rFonts w:ascii="Times New Roman" w:hAnsi="Times New Roman" w:cs="Times New Roman"/>
        </w:rPr>
        <w:t>ébredt</w:t>
      </w:r>
      <w:r w:rsidR="00974127" w:rsidRPr="00967F73">
        <w:rPr>
          <w:rFonts w:ascii="Times New Roman" w:hAnsi="Times New Roman" w:cs="Times New Roman"/>
        </w:rPr>
        <w:t xml:space="preserve"> </w:t>
      </w:r>
      <w:r w:rsidR="00974127">
        <w:rPr>
          <w:rFonts w:ascii="Times New Roman" w:hAnsi="Times New Roman" w:cs="Times New Roman"/>
        </w:rPr>
        <w:t>polgárság</w:t>
      </w:r>
      <w:r w:rsidR="00967F73">
        <w:rPr>
          <w:rFonts w:ascii="Times New Roman" w:hAnsi="Times New Roman" w:cs="Times New Roman"/>
        </w:rPr>
        <w:t xml:space="preserve"> </w:t>
      </w:r>
      <w:r w:rsidR="00967F73">
        <w:rPr>
          <w:rFonts w:ascii="Times New Roman" w:hAnsi="Times New Roman" w:cs="Times New Roman"/>
        </w:rPr>
        <w:t>világnézete</w:t>
      </w:r>
    </w:p>
    <w:p w:rsidR="00372A8E" w:rsidRDefault="00372A8E" w:rsidP="00A714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latin humánus, azaz ember szóból </w:t>
      </w:r>
      <w:r w:rsidR="00967F73">
        <w:rPr>
          <w:rFonts w:ascii="Times New Roman" w:hAnsi="Times New Roman" w:cs="Times New Roman"/>
        </w:rPr>
        <w:t>származik</w:t>
      </w:r>
      <w:r>
        <w:rPr>
          <w:rFonts w:ascii="Times New Roman" w:hAnsi="Times New Roman" w:cs="Times New Roman"/>
        </w:rPr>
        <w:t xml:space="preserve">, középpontjában az ember áll, hirdeti az </w:t>
      </w:r>
      <w:r w:rsidR="00A714CD">
        <w:rPr>
          <w:rFonts w:ascii="Times New Roman" w:hAnsi="Times New Roman" w:cs="Times New Roman"/>
        </w:rPr>
        <w:t>egyén</w:t>
      </w:r>
      <w:r>
        <w:rPr>
          <w:rFonts w:ascii="Times New Roman" w:hAnsi="Times New Roman" w:cs="Times New Roman"/>
        </w:rPr>
        <w:t xml:space="preserve"> szabadságát, életörömre törekvést, harmóniát </w:t>
      </w:r>
      <w:r w:rsidR="00967F73">
        <w:rPr>
          <w:rFonts w:ascii="Times New Roman" w:hAnsi="Times New Roman" w:cs="Times New Roman"/>
        </w:rPr>
        <w:t>stb.</w:t>
      </w:r>
    </w:p>
    <w:p w:rsidR="00372A8E" w:rsidRDefault="00372A8E" w:rsidP="00A714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XIV. századi Itáliából indult ki és terjedt el egész Európában</w:t>
      </w:r>
    </w:p>
    <w:p w:rsidR="00372A8E" w:rsidRDefault="00372A8E" w:rsidP="00A714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Képviselő: </w:t>
      </w:r>
      <w:r w:rsidR="00967F73">
        <w:rPr>
          <w:rFonts w:ascii="Times New Roman" w:hAnsi="Times New Roman" w:cs="Times New Roman"/>
        </w:rPr>
        <w:t>Dante, Petrarca, Boccaccio</w:t>
      </w:r>
    </w:p>
    <w:p w:rsidR="00A714CD" w:rsidRDefault="00A714CD" w:rsidP="00A714CD">
      <w:pPr>
        <w:spacing w:after="0" w:line="240" w:lineRule="auto"/>
        <w:rPr>
          <w:rFonts w:ascii="Times New Roman" w:hAnsi="Times New Roman" w:cs="Times New Roman"/>
        </w:rPr>
      </w:pPr>
    </w:p>
    <w:p w:rsidR="00A714CD" w:rsidRDefault="00A714CD" w:rsidP="00A714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Reneszánsz</w:t>
      </w:r>
      <w:r w:rsidR="00974127">
        <w:rPr>
          <w:rFonts w:ascii="Times New Roman" w:hAnsi="Times New Roman" w:cs="Times New Roman"/>
        </w:rPr>
        <w:t>: Művészeti</w:t>
      </w:r>
      <w:r>
        <w:rPr>
          <w:rFonts w:ascii="Times New Roman" w:hAnsi="Times New Roman" w:cs="Times New Roman"/>
        </w:rPr>
        <w:t xml:space="preserve"> korstílus a XIV-XVI. Századra jellemző</w:t>
      </w:r>
    </w:p>
    <w:p w:rsidR="00A714CD" w:rsidRDefault="00974127" w:rsidP="00A714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Jelentése: újjászületés</w:t>
      </w:r>
      <w:bookmarkStart w:id="0" w:name="_GoBack"/>
      <w:bookmarkEnd w:id="0"/>
    </w:p>
    <w:p w:rsidR="00974127" w:rsidRDefault="00974127" w:rsidP="00A714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ókori görög-római eszmék születnek újjá</w:t>
      </w:r>
    </w:p>
    <w:p w:rsidR="00974127" w:rsidRDefault="00974127" w:rsidP="00A714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Egyén realista ábrázolása</w:t>
      </w:r>
    </w:p>
    <w:p w:rsidR="00974127" w:rsidRDefault="00974127" w:rsidP="00A714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Tökéletes formák, fény-, árnyékhatások</w:t>
      </w:r>
    </w:p>
    <w:p w:rsidR="00974127" w:rsidRDefault="00974127" w:rsidP="00A714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Kupolák, oszlopok alkalmazása</w:t>
      </w:r>
    </w:p>
    <w:p w:rsidR="00974127" w:rsidRPr="00372A8E" w:rsidRDefault="00974127" w:rsidP="00A714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Képviselő: Michelangelo, Leonardo Da Vinci, Raffaello</w:t>
      </w:r>
    </w:p>
    <w:sectPr w:rsidR="00974127" w:rsidRPr="00372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0E"/>
    <w:rsid w:val="00372A8E"/>
    <w:rsid w:val="007B555D"/>
    <w:rsid w:val="00865238"/>
    <w:rsid w:val="00967F73"/>
    <w:rsid w:val="00974127"/>
    <w:rsid w:val="00A714CD"/>
    <w:rsid w:val="00CE620E"/>
    <w:rsid w:val="00F5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2014-11-09T16:19:00Z</dcterms:created>
  <dcterms:modified xsi:type="dcterms:W3CDTF">2014-11-09T17:10:00Z</dcterms:modified>
</cp:coreProperties>
</file>