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40"/>
        <w:jc w:val="center"/>
      </w:pPr>
      <w:r>
        <w:rPr>
          <w:rFonts w:ascii="Arial" w:cs="Arial" w:eastAsia="Arial" w:hAnsi="Arial"/>
          <w:b/>
          <w:bCs/>
          <w:color w:val="5D6D7E"/>
          <w:sz w:val="22"/>
          <w:szCs w:val="22"/>
        </w:rPr>
        <w:t xml:space="preserve">COMPREHENSIVE SCIENTIFIC RESEARCH FRAMEWORK</w:t>
      </w:r>
    </w:p>
    <w:p>
      <w:pPr>
        <w:spacing w:after="100"/>
        <w:jc w:val="center"/>
      </w:pPr>
      <w:r>
        <w:rPr>
          <w:rFonts w:ascii="Georgia" w:cs="Georgia" w:eastAsia="Georgia" w:hAnsi="Georgia"/>
          <w:b/>
          <w:bCs/>
          <w:color w:val="1B4F72"/>
          <w:sz w:val="42"/>
          <w:szCs w:val="42"/>
        </w:rPr>
        <w:t xml:space="preserve">POLE c.138del (p.Leu46Phefs*8)</w:t>
      </w:r>
    </w:p>
    <w:p>
      <w:pPr>
        <w:spacing w:after="160"/>
        <w:jc w:val="center"/>
      </w:pPr>
      <w:r>
        <w:rPr>
          <w:rFonts w:ascii="Georgia" w:cs="Georgia" w:eastAsia="Georgia" w:hAnsi="Georgia"/>
          <w:color w:val="0E6655"/>
          <w:sz w:val="26"/>
          <w:szCs w:val="26"/>
        </w:rPr>
        <w:t xml:space="preserve">Polymerase Proofreading-Associated Polyposis (PPAP)</w:t>
      </w:r>
    </w:p>
    <w:p>
      <w:pPr>
        <w:spacing w:after="80"/>
        <w:jc w:val="center"/>
      </w:pPr>
      <w:r>
        <w:rPr>
          <w:rFonts w:ascii="Arial" w:cs="Arial" w:eastAsia="Arial" w:hAnsi="Arial"/>
          <w:color w:val="5D6D7E"/>
          <w:sz w:val="20"/>
          <w:szCs w:val="20"/>
        </w:rPr>
        <w:t xml:space="preserve">Ultra-Rare Frameshift Variant | Ultra-Hypermutated Tumor (TMB &gt;100 mut/Mb) | Absent from gnomAD</w:t>
      </w:r>
    </w:p>
    <w:p>
      <w:pPr>
        <w:spacing w:after="80"/>
        <w:jc w:val="center"/>
      </w:pPr>
      <w:r>
        <w:rPr>
          <w:rFonts w:ascii="Arial" w:cs="Arial" w:eastAsia="Arial" w:hAnsi="Arial"/>
          <w:color w:val="5D6D7E"/>
          <w:sz w:val="20"/>
          <w:szCs w:val="20"/>
        </w:rPr>
        <w:t xml:space="preserve">Complex Multi-System Phenotype Including Thyroid Carcinoma, Deep Infiltrating Endometriosis,</w:t>
      </w:r>
    </w:p>
    <w:p>
      <w:pPr>
        <w:spacing w:after="300"/>
        <w:jc w:val="center"/>
      </w:pPr>
      <w:r>
        <w:rPr>
          <w:rFonts w:ascii="Arial" w:cs="Arial" w:eastAsia="Arial" w:hAnsi="Arial"/>
          <w:color w:val="5D6D7E"/>
          <w:sz w:val="20"/>
          <w:szCs w:val="20"/>
        </w:rPr>
        <w:t xml:space="preserve">Congenital Vascular Anomaly, and GI Polyposis</w:t>
      </w:r>
    </w:p>
    <w:p>
      <w:pPr>
        <w:jc w:val="center"/>
      </w:pPr>
      <w:r>
        <w:rPr>
          <w:rFonts w:ascii="Arial" w:cs="Arial" w:eastAsia="Arial" w:hAnsi="Arial"/>
          <w:color w:val="2C3E50"/>
          <w:sz w:val="20"/>
          <w:szCs w:val="20"/>
        </w:rPr>
        <w:t xml:space="preserve">Mechanistic Analysis | Clinical Phenotype | Translational Priorities | Therapeutic Strategies</w:t>
      </w:r>
    </w:p>
    <w:p>
      <w:pPr>
        <w:spacing w:after="80"/>
        <w:jc w:val="center"/>
      </w:pPr>
      <w:r>
        <w:rPr>
          <w:rFonts w:ascii="Arial" w:cs="Arial" w:eastAsia="Arial" w:hAnsi="Arial"/>
          <w:color w:val="2C3E50"/>
          <w:sz w:val="20"/>
          <w:szCs w:val="20"/>
        </w:rPr>
        <w:t xml:space="preserve">Blood-Based Assays | 20 Advanced Research Domains | Experimental Framework</w:t>
      </w:r>
    </w:p>
    <w:p>
      <w:pPr>
        <w:spacing w:before="400"/>
        <w:jc w:val="center"/>
      </w:pPr>
      <w:r>
        <w:rPr>
          <w:rFonts w:ascii="Arial" w:cs="Arial" w:eastAsia="Arial" w:hAnsi="Arial"/>
          <w:i/>
          <w:iCs/>
          <w:color w:val="0E6655"/>
          <w:sz w:val="20"/>
          <w:szCs w:val="20"/>
        </w:rPr>
        <w:t xml:space="preserve">https://github.com/Bloomed-Health/POLE-Frameshift</w:t>
      </w:r>
    </w:p>
    <w:p>
      <w:r>
        <w:br w:type="page"/>
      </w:r>
    </w:p>
    <w:p>
      <w:pPr>
        <w:pStyle w:val="Heading1"/>
        <w:spacing w:after="200" w:before="400"/>
      </w:pPr>
      <w:r>
        <w:rPr>
          <w:rFonts w:ascii="Georgia" w:cs="Georgia" w:eastAsia="Georgia" w:hAnsi="Georgia"/>
          <w:b/>
          <w:bCs/>
          <w:color w:val="1B4F72"/>
          <w:sz w:val="30"/>
          <w:szCs w:val="30"/>
        </w:rPr>
        <w:t xml:space="preserve">Executive Summary</w:t>
      </w:r>
    </w:p>
    <w:p>
      <w:pPr>
        <w:spacing w:after="120" w:line="264"/>
        <w:jc w:val="both"/>
      </w:pPr>
      <w:r>
        <w:rPr>
          <w:rFonts w:ascii="Arial" w:cs="Arial" w:eastAsia="Arial" w:hAnsi="Arial"/>
          <w:color w:val="2C3E50"/>
          <w:sz w:val="20"/>
          <w:szCs w:val="20"/>
        </w:rPr>
        <w:t xml:space="preserve">This document presents a unified scientific research framework for the investigation of POLE c.138del (p.Leu46Phefs*8), an ultra-rare pathogenic frameshift variant in the DNA Polymerase Epsilon gene causing Polymerase Proofreading-Associated Polyposis (PPAP) with an ultra-hypermutated tumor phenotype (TMB &gt;100 mut/Mb) and complex multi-system phenotype. The variant is absent from all major population databases including gnomAD.</w:t>
      </w:r>
    </w:p>
    <w:p>
      <w:pPr>
        <w:spacing w:after="120" w:line="264"/>
        <w:jc w:val="both"/>
      </w:pPr>
      <w:r>
        <w:rPr>
          <w:rFonts w:ascii="Arial" w:cs="Arial" w:eastAsia="Arial" w:hAnsi="Arial"/>
          <w:color w:val="2C3E50"/>
          <w:sz w:val="20"/>
          <w:szCs w:val="20"/>
        </w:rPr>
        <w:t xml:space="preserve">This variant presents a fundamental mechanistic paradox: it produces a premature termination codon at approximately residue 54, over 200 amino acids upstream of the exonuclease (proofreading) domain, yet generates a clinical phenotype indistinguishable from classical PPAP. The patient’s presentation extends beyond the established PPAP spectrum to include papillary thyroid carcinoma, Stage IV+ deep infiltrating endometriosis, a congenital duplicated inferior vena cava, and bilateral breast stromal proliferative changes — suggesting systemic POLE dysfunction affecting tissue biology at a level deeper than tumor mutation accumulation alone.</w:t>
      </w:r>
    </w:p>
    <w:p>
      <w:pPr>
        <w:spacing w:after="120" w:line="264"/>
        <w:jc w:val="both"/>
      </w:pPr>
      <w:r>
        <w:rPr>
          <w:rFonts w:ascii="Arial" w:cs="Arial" w:eastAsia="Arial" w:hAnsi="Arial"/>
          <w:color w:val="2C3E50"/>
          <w:sz w:val="20"/>
          <w:szCs w:val="20"/>
        </w:rPr>
        <w:t xml:space="preserve">This framework integrates the core mechanistic analysis (5 candidate models, mutational signature discrimination, LOH assessment), published literature (PPAP characterization, immunotherapy data, synthetic lethality evidence, NanoSeq somatic mutation studies), clinical phenotype analysis, translational therapeutic strategies, blood-based research assays, experimental model requirements, and 20 advanced research domains spanning unexplored areas of POLE biology including innate immunity, telomere biology, R-loop dynamics, hormonal interactions, epigenomic maintenance, and replication fork proteomics. Research priorities are organized into a phased timeline with mechanistic model discrimination criteria.</w:t>
      </w:r>
    </w:p>
    <w:p>
      <w:r>
        <w:br w:type="page"/>
      </w:r>
    </w:p>
    <w:p>
      <w:pPr>
        <w:spacing w:after="100" w:before="200"/>
        <w:jc w:val="center"/>
      </w:pPr>
      <w:r>
        <w:rPr>
          <w:rFonts w:ascii="Arial" w:cs="Arial" w:eastAsia="Arial" w:hAnsi="Arial"/>
          <w:b/>
          <w:bCs/>
          <w:color w:val="0E6655"/>
          <w:sz w:val="22"/>
          <w:szCs w:val="22"/>
        </w:rPr>
        <w:t xml:space="preserve">PART I</w:t>
      </w:r>
    </w:p>
    <w:p>
      <w:pPr>
        <w:pBdr>
          <w:bottom w:val="single" w:color="0E6655" w:sz="2" w:space="8"/>
        </w:pBdr>
        <w:spacing w:after="300"/>
        <w:jc w:val="center"/>
      </w:pPr>
      <w:r>
        <w:rPr>
          <w:rFonts w:ascii="Georgia" w:cs="Georgia" w:eastAsia="Georgia" w:hAnsi="Georgia"/>
          <w:b/>
          <w:bCs/>
          <w:color w:val="1B4F72"/>
          <w:sz w:val="28"/>
          <w:szCs w:val="28"/>
        </w:rPr>
        <w:t xml:space="preserve">Clinical Case and Mechanistic Paradox</w:t>
      </w:r>
    </w:p>
    <w:p>
      <w:pPr>
        <w:pStyle w:val="Heading1"/>
        <w:spacing w:after="200" w:before="400"/>
      </w:pPr>
      <w:r>
        <w:rPr>
          <w:rFonts w:ascii="Georgia" w:cs="Georgia" w:eastAsia="Georgia" w:hAnsi="Georgia"/>
          <w:b/>
          <w:bCs/>
          <w:color w:val="1B4F72"/>
          <w:sz w:val="30"/>
          <w:szCs w:val="30"/>
        </w:rPr>
        <w:t xml:space="preserve">1. Clinical Case Summary</w:t>
      </w:r>
    </w:p>
    <w:p>
      <w:pPr>
        <w:pStyle w:val="Heading2"/>
        <w:spacing w:after="150" w:before="300"/>
      </w:pPr>
      <w:r>
        <w:rPr>
          <w:rFonts w:ascii="Georgia" w:cs="Georgia" w:eastAsia="Georgia" w:hAnsi="Georgia"/>
          <w:b/>
          <w:bCs/>
          <w:color w:val="0E6655"/>
          <w:sz w:val="25"/>
          <w:szCs w:val="25"/>
        </w:rPr>
        <w:t xml:space="preserve">1.1 Genomic Profile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66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Gene</w:t>
            </w:r>
          </w:p>
        </w:tc>
        <w:tc>
          <w:tcPr>
            <w:tcW w:type="dxa" w:w="6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POLE (DNA Polymerase Epsilon, catalytic subunit)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Variant (cDNA)</w:t>
            </w:r>
          </w:p>
        </w:tc>
        <w:tc>
          <w:tcPr>
            <w:tcW w:type="dxa" w:w="6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c.138del</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Protein Effect</w:t>
            </w:r>
          </w:p>
        </w:tc>
        <w:tc>
          <w:tcPr>
            <w:tcW w:type="dxa" w:w="6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p.Leu46Phefs*8 (frameshift at leucine 46, premature stop at ~residue 54)</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Variant Class</w:t>
            </w:r>
          </w:p>
        </w:tc>
        <w:tc>
          <w:tcPr>
            <w:tcW w:type="dxa" w:w="6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Pathogenic frameshift (loss-of-function)</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TMB</w:t>
            </w:r>
          </w:p>
        </w:tc>
        <w:tc>
          <w:tcPr>
            <w:tcW w:type="dxa" w:w="6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&gt;100 mutations per megabase (ultra-hypermutated)</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Population Frequency</w:t>
            </w:r>
          </w:p>
        </w:tc>
        <w:tc>
          <w:tcPr>
            <w:tcW w:type="dxa" w:w="6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Absent from gnomAD and all major population databases</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Phenotype</w:t>
            </w:r>
          </w:p>
        </w:tc>
        <w:tc>
          <w:tcPr>
            <w:tcW w:type="dxa" w:w="6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Complex multi-system phenotype (PPAP)</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Patient</w:t>
            </w:r>
          </w:p>
        </w:tc>
        <w:tc>
          <w:tcPr>
            <w:tcW w:type="dxa" w:w="6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Female</w:t>
            </w:r>
          </w:p>
        </w:tc>
      </w:tr>
    </w:tbl>
    <w:p>
      <w:pPr>
        <w:spacing w:after="40"/>
      </w:pPr>
    </w:p>
    <w:p>
      <w:pPr>
        <w:pStyle w:val="Heading2"/>
        <w:spacing w:after="150" w:before="300"/>
      </w:pPr>
      <w:r>
        <w:rPr>
          <w:rFonts w:ascii="Georgia" w:cs="Georgia" w:eastAsia="Georgia" w:hAnsi="Georgia"/>
          <w:b/>
          <w:bCs/>
          <w:color w:val="0E6655"/>
          <w:sz w:val="25"/>
          <w:szCs w:val="25"/>
        </w:rPr>
        <w:t xml:space="preserve">1.2 Clinical Phenotype</w:t>
      </w:r>
    </w:p>
    <w:p>
      <w:pPr>
        <w:spacing w:after="120" w:line="264"/>
        <w:jc w:val="both"/>
      </w:pPr>
      <w:r>
        <w:rPr>
          <w:rFonts w:ascii="Arial" w:cs="Arial" w:eastAsia="Arial" w:hAnsi="Arial"/>
          <w:color w:val="2C3E50"/>
          <w:sz w:val="20"/>
          <w:szCs w:val="20"/>
        </w:rPr>
        <w:t xml:space="preserve">The patient’s presentation spans neoplastic, proliferative/stromal, endometrial, and congenital developmental domains — suggesting systemic POLE dysfunction beyond tumor mutation accumulation.</w:t>
      </w:r>
    </w:p>
    <w:p>
      <w:pPr>
        <w:spacing w:after="40"/>
      </w:pPr>
    </w:p>
    <w:p>
      <w:pPr>
        <w:spacing w:after="100" w:before="200"/>
      </w:pPr>
      <w:r>
        <w:rPr>
          <w:rFonts w:ascii="Arial" w:cs="Arial" w:eastAsia="Arial" w:hAnsi="Arial"/>
          <w:b/>
          <w:bCs/>
          <w:color w:val="1B4F72"/>
          <w:sz w:val="21"/>
          <w:szCs w:val="21"/>
        </w:rPr>
        <w:t xml:space="preserve">Gastrointestinal (Classical PPAP Spectrum)</w:t>
      </w:r>
    </w:p>
    <w:p>
      <w:pPr>
        <w:spacing w:after="120" w:line="264"/>
        <w:jc w:val="both"/>
      </w:pPr>
      <w:r>
        <w:rPr>
          <w:rFonts w:ascii="Arial" w:cs="Arial" w:eastAsia="Arial" w:hAnsi="Arial"/>
          <w:color w:val="2C3E50"/>
          <w:sz w:val="20"/>
          <w:szCs w:val="20"/>
        </w:rPr>
        <w:t xml:space="preserve">Approximately 15 sessile adenomatous polyps distributed across the stomach, cecum, and sigmoid colon. Erythematous, edematous, friable rectal mucosa. Chronic gastric gastritis. Consistent with the attenuated polyposis phenotype described in PPAP (Palles et al., 2022), where most patients present with 10–100 polyps with gastric and duodenal involvement characteristic of POLE heterozygotes.</w:t>
      </w:r>
    </w:p>
    <w:p>
      <w:pPr>
        <w:spacing w:after="100" w:before="200"/>
      </w:pPr>
      <w:r>
        <w:rPr>
          <w:rFonts w:ascii="Arial" w:cs="Arial" w:eastAsia="Arial" w:hAnsi="Arial"/>
          <w:b/>
          <w:bCs/>
          <w:color w:val="1B4F72"/>
          <w:sz w:val="21"/>
          <w:szCs w:val="21"/>
        </w:rPr>
        <w:t xml:space="preserve">Thyroid (Outside Established PPAP Spectrum)</w:t>
      </w:r>
    </w:p>
    <w:p>
      <w:pPr>
        <w:spacing w:after="120" w:line="264"/>
        <w:jc w:val="both"/>
      </w:pPr>
      <w:r>
        <w:rPr>
          <w:rFonts w:ascii="Arial" w:cs="Arial" w:eastAsia="Arial" w:hAnsi="Arial"/>
          <w:color w:val="2C3E50"/>
          <w:sz w:val="20"/>
          <w:szCs w:val="20"/>
        </w:rPr>
        <w:t xml:space="preserve">Stage II papillary thyroid carcinoma (cystic variant, squamous metaplasia). Thyroid cancer has not been systematically reported in PPAP carriers. If mutational signature analysis (SBS10a/b) or LOH at the POLE locus is confirmed in this tumor, it would formally expand the recognized PPAP tumor spectrum. The cystic variant with squamous metaplasia is itself an unusual histological subtype that could reflect aberrant differentiation driven by genomic instability.</w:t>
      </w:r>
    </w:p>
    <w:p>
      <w:pPr>
        <w:spacing w:after="100" w:before="200"/>
      </w:pPr>
      <w:r>
        <w:rPr>
          <w:rFonts w:ascii="Arial" w:cs="Arial" w:eastAsia="Arial" w:hAnsi="Arial"/>
          <w:b/>
          <w:bCs/>
          <w:color w:val="1B4F72"/>
          <w:sz w:val="21"/>
          <w:szCs w:val="21"/>
        </w:rPr>
        <w:t xml:space="preserve">Endometrial Tissue Dysregulation</w:t>
      </w:r>
    </w:p>
    <w:p>
      <w:pPr>
        <w:spacing w:after="120" w:line="264"/>
        <w:jc w:val="both"/>
      </w:pPr>
      <w:r>
        <w:rPr>
          <w:rFonts w:ascii="Arial" w:cs="Arial" w:eastAsia="Arial" w:hAnsi="Arial"/>
          <w:color w:val="2C3E50"/>
          <w:sz w:val="20"/>
          <w:szCs w:val="20"/>
        </w:rPr>
        <w:t xml:space="preserve">Stage IV+ deep infiltrating endometriosis extending into the thoracic diaphragm, with diffuse asymmetric adenomyosis. This is an extraordinarily severe presentation — most endometriosis is confined to the pelvis. The endometrium is among the most POLE-vulnerable tissues: endometrial cancer is a major PPAP-associated malignancy, and somatic POLE mutations occur in 7–12% of sporadic endometrial cancers. This degree of endometrial tissue dysregulation in a POLE-deficient patient raises the novel question of whether POLE haploinsufficiency contributes to endometriosis severity — a connection not previously investigated, with implications for the approximately 10% of reproductive-age women who have endometriosis.</w:t>
      </w:r>
    </w:p>
    <w:p>
      <w:pPr>
        <w:spacing w:after="100" w:before="200"/>
      </w:pPr>
      <w:r>
        <w:rPr>
          <w:rFonts w:ascii="Arial" w:cs="Arial" w:eastAsia="Arial" w:hAnsi="Arial"/>
          <w:b/>
          <w:bCs/>
          <w:color w:val="1B4F72"/>
          <w:sz w:val="21"/>
          <w:szCs w:val="21"/>
        </w:rPr>
        <w:t xml:space="preserve">Breast (Stromal Proliferative Dysregulation)</w:t>
      </w:r>
    </w:p>
    <w:p>
      <w:pPr>
        <w:spacing w:after="120" w:line="264"/>
        <w:jc w:val="both"/>
      </w:pPr>
      <w:r>
        <w:rPr>
          <w:rFonts w:ascii="Arial" w:cs="Arial" w:eastAsia="Arial" w:hAnsi="Arial"/>
          <w:color w:val="2C3E50"/>
          <w:sz w:val="20"/>
          <w:szCs w:val="20"/>
        </w:rPr>
        <w:t xml:space="preserve">Left breast: 2cm fibroadenomatous change with dense stromal fibrosis. Right breast: non-proliferative changes including columnar cell change, cystic/papillary apocrine metaplasia, stromal fibrosis, and focal pseudoangiomatous stromal hyperplasia (PASH). Bilateral breast MRI foci (5mm benign anterior focus; 3mm retroareolar focus). The bilateral pattern of stromal proliferative changes suggests a field effect rather than a focal lesion.</w:t>
      </w:r>
    </w:p>
    <w:p>
      <w:pPr>
        <w:spacing w:after="100" w:before="200"/>
      </w:pPr>
      <w:r>
        <w:rPr>
          <w:rFonts w:ascii="Arial" w:cs="Arial" w:eastAsia="Arial" w:hAnsi="Arial"/>
          <w:b/>
          <w:bCs/>
          <w:color w:val="1B4F72"/>
          <w:sz w:val="21"/>
          <w:szCs w:val="21"/>
        </w:rPr>
        <w:t xml:space="preserve">Hepatic</w:t>
      </w:r>
    </w:p>
    <w:p>
      <w:pPr>
        <w:spacing w:after="120" w:line="264"/>
        <w:jc w:val="both"/>
      </w:pPr>
      <w:r>
        <w:rPr>
          <w:rFonts w:ascii="Arial" w:cs="Arial" w:eastAsia="Arial" w:hAnsi="Arial"/>
          <w:color w:val="2C3E50"/>
          <w:sz w:val="20"/>
          <w:szCs w:val="20"/>
        </w:rPr>
        <w:t xml:space="preserve">Focal nodular hyperplasia (FNH) and/or hemangioma. These are benign vascular proliferative lesions. FNH is thought to arise from a hyperplastic response to a vascular malformation. In combination with the PASH and duplicated IVC, there is an emerging pattern of vascular and stromal proliferative abnormalities across multiple organ systems.</w:t>
      </w:r>
    </w:p>
    <w:p>
      <w:pPr>
        <w:spacing w:after="100" w:before="200"/>
      </w:pPr>
      <w:r>
        <w:rPr>
          <w:rFonts w:ascii="Arial" w:cs="Arial" w:eastAsia="Arial" w:hAnsi="Arial"/>
          <w:b/>
          <w:bCs/>
          <w:color w:val="1B4F72"/>
          <w:sz w:val="21"/>
          <w:szCs w:val="21"/>
        </w:rPr>
        <w:t xml:space="preserve">Congenital Developmental</w:t>
      </w:r>
    </w:p>
    <w:p>
      <w:pPr>
        <w:spacing w:after="120" w:line="264"/>
        <w:jc w:val="both"/>
      </w:pPr>
      <w:r>
        <w:rPr>
          <w:rFonts w:ascii="Arial" w:cs="Arial" w:eastAsia="Arial" w:hAnsi="Arial"/>
          <w:color w:val="2C3E50"/>
          <w:sz w:val="20"/>
          <w:szCs w:val="20"/>
        </w:rPr>
        <w:t xml:space="preserve">Duplicated inferior vena cava. This developmental vascular anomaly is present from embryogenesis and cannot be explained by somatic LOH events. Combined with evidence that germline POLE mutations affect mutation rates during embryogenesis (Robinson et al., 2021, Nature Genetics), this raises the possibility that POLE haploinsufficiency has developmental consequences — favoring mechanistic models that invoke constitutive dysfunction (Models 3, 4, 5) over the pure two-hit LOH model (Model 1).</w:t>
      </w:r>
    </w:p>
    <w:p>
      <w:pPr>
        <w:spacing w:after="100" w:before="200"/>
      </w:pPr>
      <w:r>
        <w:rPr>
          <w:rFonts w:ascii="Arial" w:cs="Arial" w:eastAsia="Arial" w:hAnsi="Arial"/>
          <w:b/>
          <w:bCs/>
          <w:color w:val="1B4F72"/>
          <w:sz w:val="21"/>
          <w:szCs w:val="21"/>
        </w:rPr>
        <w:t xml:space="preserve">Pattern Across Findings</w:t>
      </w:r>
    </w:p>
    <w:p>
      <w:pPr>
        <w:spacing w:after="120" w:line="264"/>
        <w:jc w:val="both"/>
      </w:pPr>
      <w:r>
        <w:rPr>
          <w:rFonts w:ascii="Arial" w:cs="Arial" w:eastAsia="Arial" w:hAnsi="Arial"/>
          <w:b/>
          <w:bCs/>
          <w:color w:val="2C3E50"/>
          <w:sz w:val="20"/>
          <w:szCs w:val="20"/>
        </w:rPr>
        <w:t xml:space="preserve">The phenotype spans neoplastic </w:t>
      </w:r>
      <w:r>
        <w:rPr>
          <w:rFonts w:ascii="Arial" w:cs="Arial" w:eastAsia="Arial" w:hAnsi="Arial"/>
          <w:color w:val="2C3E50"/>
          <w:sz w:val="20"/>
          <w:szCs w:val="20"/>
        </w:rPr>
        <w:t xml:space="preserve">(polyps, thyroid carcinoma), </w:t>
      </w:r>
      <w:r>
        <w:rPr>
          <w:rFonts w:ascii="Arial" w:cs="Arial" w:eastAsia="Arial" w:hAnsi="Arial"/>
          <w:b/>
          <w:bCs/>
          <w:color w:val="2C3E50"/>
          <w:sz w:val="20"/>
          <w:szCs w:val="20"/>
        </w:rPr>
        <w:t xml:space="preserve">proliferative/stromal </w:t>
      </w:r>
      <w:r>
        <w:rPr>
          <w:rFonts w:ascii="Arial" w:cs="Arial" w:eastAsia="Arial" w:hAnsi="Arial"/>
          <w:color w:val="2C3E50"/>
          <w:sz w:val="20"/>
          <w:szCs w:val="20"/>
        </w:rPr>
        <w:t xml:space="preserve">(breast PASH, liver FNH/hemangioma), </w:t>
      </w:r>
      <w:r>
        <w:rPr>
          <w:rFonts w:ascii="Arial" w:cs="Arial" w:eastAsia="Arial" w:hAnsi="Arial"/>
          <w:b/>
          <w:bCs/>
          <w:color w:val="2C3E50"/>
          <w:sz w:val="20"/>
          <w:szCs w:val="20"/>
        </w:rPr>
        <w:t xml:space="preserve">endometrial </w:t>
      </w:r>
      <w:r>
        <w:rPr>
          <w:rFonts w:ascii="Arial" w:cs="Arial" w:eastAsia="Arial" w:hAnsi="Arial"/>
          <w:color w:val="2C3E50"/>
          <w:sz w:val="20"/>
          <w:szCs w:val="20"/>
        </w:rPr>
        <w:t xml:space="preserve">(severe endometriosis, adenomyosis), and </w:t>
      </w:r>
      <w:r>
        <w:rPr>
          <w:rFonts w:ascii="Arial" w:cs="Arial" w:eastAsia="Arial" w:hAnsi="Arial"/>
          <w:b/>
          <w:bCs/>
          <w:color w:val="2C3E50"/>
          <w:sz w:val="20"/>
          <w:szCs w:val="20"/>
        </w:rPr>
        <w:t xml:space="preserve">congenital developmental </w:t>
      </w:r>
      <w:r>
        <w:rPr>
          <w:rFonts w:ascii="Arial" w:cs="Arial" w:eastAsia="Arial" w:hAnsi="Arial"/>
          <w:color w:val="2C3E50"/>
          <w:sz w:val="20"/>
          <w:szCs w:val="20"/>
        </w:rPr>
        <w:t xml:space="preserve">(duplicated IVC) domains. This pattern is not explained by tumor mutagenesis alone and suggests systemic POLE dysfunction affecting tissue homeostasis, differentiation, and developmental patterning.</w:t>
      </w:r>
    </w:p>
    <w:p>
      <w:r>
        <w:br w:type="page"/>
      </w:r>
    </w:p>
    <w:p>
      <w:pPr>
        <w:pStyle w:val="Heading1"/>
        <w:spacing w:after="200" w:before="400"/>
      </w:pPr>
      <w:r>
        <w:rPr>
          <w:rFonts w:ascii="Georgia" w:cs="Georgia" w:eastAsia="Georgia" w:hAnsi="Georgia"/>
          <w:b/>
          <w:bCs/>
          <w:color w:val="1B4F72"/>
          <w:sz w:val="30"/>
          <w:szCs w:val="30"/>
        </w:rPr>
        <w:t xml:space="preserve">2. The Mechanistic Paradox</w:t>
      </w:r>
    </w:p>
    <w:p>
      <w:pPr>
        <w:pStyle w:val="Heading2"/>
        <w:spacing w:after="150" w:before="300"/>
      </w:pPr>
      <w:r>
        <w:rPr>
          <w:rFonts w:ascii="Georgia" w:cs="Georgia" w:eastAsia="Georgia" w:hAnsi="Georgia"/>
          <w:b/>
          <w:bCs/>
          <w:color w:val="0E6655"/>
          <w:sz w:val="25"/>
          <w:szCs w:val="25"/>
        </w:rPr>
        <w:t xml:space="preserve">2.1 POLE Domain Architecture and Classical PPAP</w:t>
      </w:r>
    </w:p>
    <w:p>
      <w:pPr>
        <w:spacing w:after="120" w:line="264"/>
        <w:jc w:val="both"/>
      </w:pPr>
      <w:r>
        <w:rPr>
          <w:rFonts w:ascii="Arial" w:cs="Arial" w:eastAsia="Arial" w:hAnsi="Arial"/>
          <w:color w:val="2C3E50"/>
          <w:sz w:val="20"/>
          <w:szCs w:val="20"/>
        </w:rPr>
        <w:t xml:space="preserve">The POLE catalytic subunit (p261) contains 2,286 amino acids. The exonuclease (proofreading) domain spans approximately residues 268–471, and the polymerase domain sits at approximately residues 580–1260. Classical PPAP-causing variants (P286R, V411L, L424V, S459F) are missense substitutions within the exonuclease active site. Their mechanism is a dominant-negative gain of function: the polymerase retains DNA synthesis capability but loses proofreading, producing ultra-hypermutation with COSMIC signatures SBS10a (C&gt;A in TCT), SBS10b (C&gt;T in TCG), and SBS28.</w:t>
      </w:r>
    </w:p>
    <w:p>
      <w:pPr>
        <w:pStyle w:val="Heading2"/>
        <w:spacing w:after="150" w:before="300"/>
      </w:pPr>
      <w:r>
        <w:rPr>
          <w:rFonts w:ascii="Georgia" w:cs="Georgia" w:eastAsia="Georgia" w:hAnsi="Georgia"/>
          <w:b/>
          <w:bCs/>
          <w:color w:val="0E6655"/>
          <w:sz w:val="25"/>
          <w:szCs w:val="25"/>
        </w:rPr>
        <w:t xml:space="preserve">2.2 Why This Variant Should Not Cause PPAP</w:t>
      </w:r>
    </w:p>
    <w:p>
      <w:pPr>
        <w:spacing w:after="120" w:line="264"/>
        <w:jc w:val="both"/>
      </w:pPr>
      <w:r>
        <w:rPr>
          <w:rFonts w:ascii="Arial" w:cs="Arial" w:eastAsia="Arial" w:hAnsi="Arial"/>
          <w:color w:val="2C3E50"/>
          <w:sz w:val="20"/>
          <w:szCs w:val="20"/>
        </w:rPr>
        <w:t xml:space="preserve">The variant p.Leu46Phefs*8 terminates at approximately residue 54 — over 200 amino acids upstream of the exonuclease domain. Under orthodox models, this should produce a null allele containing none of POLE’s catalytic architecture.</w:t>
      </w:r>
    </w:p>
    <w:p>
      <w:pPr>
        <w:pStyle w:val="ListParagraph"/>
        <w:numPr>
          <w:ilvl w:val="0"/>
          <w:numId w:val="2"/>
        </w:numPr>
        <w:spacing w:after="60" w:line="264"/>
      </w:pPr>
      <w:r>
        <w:rPr>
          <w:rFonts w:ascii="Arial" w:cs="Arial" w:eastAsia="Arial" w:hAnsi="Arial"/>
          <w:b/>
          <w:bCs/>
          <w:color w:val="2C3E50"/>
          <w:sz w:val="20"/>
          <w:szCs w:val="20"/>
        </w:rPr>
        <w:t xml:space="preserve">Haploinsufficiency should be insufficient. </w:t>
      </w:r>
      <w:r>
        <w:rPr>
          <w:rFonts w:ascii="Arial" w:cs="Arial" w:eastAsia="Arial" w:hAnsi="Arial"/>
          <w:color w:val="2C3E50"/>
          <w:sz w:val="20"/>
          <w:szCs w:val="20"/>
        </w:rPr>
        <w:t xml:space="preserve">The wild-type allele should produce normal POLE. A 50% reduction should not produce TMB &gt;100 mut/Mb.</w:t>
      </w:r>
    </w:p>
    <w:p>
      <w:pPr>
        <w:pStyle w:val="ListParagraph"/>
        <w:numPr>
          <w:ilvl w:val="0"/>
          <w:numId w:val="2"/>
        </w:numPr>
        <w:spacing w:after="60" w:line="264"/>
      </w:pPr>
      <w:r>
        <w:rPr>
          <w:rFonts w:ascii="Arial" w:cs="Arial" w:eastAsia="Arial" w:hAnsi="Arial"/>
          <w:b/>
          <w:bCs/>
          <w:color w:val="2C3E50"/>
          <w:sz w:val="20"/>
          <w:szCs w:val="20"/>
        </w:rPr>
        <w:t xml:space="preserve">Complete POLE loss is embryonic lethal. </w:t>
      </w:r>
      <w:r>
        <w:rPr>
          <w:rFonts w:ascii="Arial" w:cs="Arial" w:eastAsia="Arial" w:hAnsi="Arial"/>
          <w:color w:val="2C3E50"/>
          <w:sz w:val="20"/>
          <w:szCs w:val="20"/>
        </w:rPr>
        <w:t xml:space="preserve">Homozygous knockout is incompatible with viability in mouse models.</w:t>
      </w:r>
    </w:p>
    <w:p>
      <w:pPr>
        <w:pStyle w:val="ListParagraph"/>
        <w:numPr>
          <w:ilvl w:val="0"/>
          <w:numId w:val="2"/>
        </w:numPr>
        <w:spacing w:after="60" w:line="264"/>
      </w:pPr>
      <w:r>
        <w:rPr>
          <w:rFonts w:ascii="Arial" w:cs="Arial" w:eastAsia="Arial" w:hAnsi="Arial"/>
          <w:b/>
          <w:bCs/>
          <w:color w:val="2C3E50"/>
          <w:sz w:val="20"/>
          <w:szCs w:val="20"/>
        </w:rPr>
        <w:t xml:space="preserve">Yet the phenotype is unambiguously PPAP. </w:t>
      </w:r>
      <w:r>
        <w:rPr>
          <w:rFonts w:ascii="Arial" w:cs="Arial" w:eastAsia="Arial" w:hAnsi="Arial"/>
          <w:color w:val="2C3E50"/>
          <w:sz w:val="20"/>
          <w:szCs w:val="20"/>
        </w:rPr>
        <w:t xml:space="preserve">TMB &gt;100 mut/Mb with polyposis and multi-system involvement is the full presentation.</w:t>
      </w:r>
    </w:p>
    <w:p>
      <w:pPr>
        <w:pStyle w:val="Heading2"/>
        <w:spacing w:after="150" w:before="300"/>
      </w:pPr>
      <w:r>
        <w:rPr>
          <w:rFonts w:ascii="Georgia" w:cs="Georgia" w:eastAsia="Georgia" w:hAnsi="Georgia"/>
          <w:b/>
          <w:bCs/>
          <w:color w:val="0E6655"/>
          <w:sz w:val="25"/>
          <w:szCs w:val="25"/>
        </w:rPr>
        <w:t xml:space="preserve">2.3 Candidate Mechanistic Models</w:t>
      </w:r>
    </w:p>
    <w:p>
      <w:pPr>
        <w:spacing w:after="120" w:line="264"/>
        <w:jc w:val="both"/>
      </w:pPr>
      <w:r>
        <w:rPr>
          <w:rFonts w:ascii="Arial" w:cs="Arial" w:eastAsia="Arial" w:hAnsi="Arial"/>
          <w:color w:val="2C3E50"/>
          <w:sz w:val="20"/>
          <w:szCs w:val="20"/>
        </w:rPr>
        <w:t xml:space="preserve">Five non-mutually-exclusive models could resolve the paradox. The clinical phenotype data constrains the hypothesis space: the congenital duplicated IVC argues against Model 1 (pure LOH) as the sole explanation; the severe endometriosis in a high-turnover tissue favors Model 4; the pattern of stromal/vascular changes could support Models 3 or 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448"/>
        <w:gridCol w:w="3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44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Key Experiment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1: Somatic LOH</w:t>
            </w:r>
          </w:p>
        </w:tc>
        <w:tc>
          <w:tcPr>
            <w:tcW w:type="dxa" w:w="44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Wild-type allele somatically deleted or silenced in tumor tissue. Cells with no functional POLE rely on lower-fidelity polymerases. Follows Knudson’s two-hit tumor suppressor model. Copy-neutral LOH constitutes 20–80% of LOH events in human tumors.</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Paired tumor-normal WGS with allele-specific copy number analysis (ASCAT/FACETS)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2: Translational Reinitiation</w:t>
            </w:r>
          </w:p>
        </w:tc>
        <w:tc>
          <w:tcPr>
            <w:tcW w:type="dxa" w:w="4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Ribosomes reinitiate at a downstream AUG codon. If reinitiation occurs between the exonuclease and polymerase domains, the N-terminally truncated protein retains polymerase activity without proofreading — phenocopying dominant-negative PPAP.</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Ribosome profiling (Ribo-seq); downstream AUG mapping with Kozak scoring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3: NMD Escape + Holoenzyme Poisoning</w:t>
            </w:r>
          </w:p>
        </w:tc>
        <w:tc>
          <w:tcPr>
            <w:tcW w:type="dxa" w:w="44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Truncated 54-residue peptide escapes NMD and sequesters POLE2 (p59) accessory subunit, competitively inhibiting holoenzyme assembly. Dominant-negative through stoichiometric poisoning.</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Allele-specific RNA-seq (NMD test); co-IP of synthetic peptide with recombinant POLE2</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4: Replication Stress Haploinsufficiency</w:t>
            </w:r>
          </w:p>
        </w:tc>
        <w:tc>
          <w:tcPr>
            <w:tcW w:type="dxa" w:w="4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50% POLE dosage adequate at baseline but rate-limiting under replicative stress in rapidly dividing tissues (colonic crypts, endometrium). POLE proofreading operates at a threshold, not linear dose-response.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Duplex sequencing (NanoSeq) on normal blood cells and colonic epithelium vs. controls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5: Isoform-Specific Effects</w:t>
            </w:r>
          </w:p>
        </w:tc>
        <w:tc>
          <w:tcPr>
            <w:tcW w:type="dxa" w:w="44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c.138del differentially affects alternative POLE transcript variants — eliminating a critical isoform while sparing others or producing aberrant products with neomorphic properties.</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Isoform-specific RT-PCR and proteomics across multiple tissues</w:t>
            </w:r>
          </w:p>
        </w:tc>
      </w:tr>
    </w:tbl>
    <w:p>
      <w:r>
        <w:br w:type="page"/>
      </w:r>
    </w:p>
    <w:p>
      <w:pPr>
        <w:spacing w:after="100" w:before="200"/>
        <w:jc w:val="center"/>
      </w:pPr>
      <w:r>
        <w:rPr>
          <w:rFonts w:ascii="Arial" w:cs="Arial" w:eastAsia="Arial" w:hAnsi="Arial"/>
          <w:b/>
          <w:bCs/>
          <w:color w:val="0E6655"/>
          <w:sz w:val="22"/>
          <w:szCs w:val="22"/>
        </w:rPr>
        <w:t xml:space="preserve">PART II</w:t>
      </w:r>
    </w:p>
    <w:p>
      <w:pPr>
        <w:pBdr>
          <w:bottom w:val="single" w:color="0E6655" w:sz="2" w:space="8"/>
        </w:pBdr>
        <w:spacing w:after="300"/>
        <w:jc w:val="center"/>
      </w:pPr>
      <w:r>
        <w:rPr>
          <w:rFonts w:ascii="Georgia" w:cs="Georgia" w:eastAsia="Georgia" w:hAnsi="Georgia"/>
          <w:b/>
          <w:bCs/>
          <w:color w:val="1B4F72"/>
          <w:sz w:val="28"/>
          <w:szCs w:val="28"/>
        </w:rPr>
        <w:t xml:space="preserve">Published Research, Core Questions, and Therapeutic Strategy</w:t>
      </w:r>
    </w:p>
    <w:p>
      <w:pPr>
        <w:pStyle w:val="Heading1"/>
        <w:spacing w:after="200" w:before="400"/>
      </w:pPr>
      <w:r>
        <w:rPr>
          <w:rFonts w:ascii="Georgia" w:cs="Georgia" w:eastAsia="Georgia" w:hAnsi="Georgia"/>
          <w:b/>
          <w:bCs/>
          <w:color w:val="1B4F72"/>
          <w:sz w:val="30"/>
          <w:szCs w:val="30"/>
        </w:rPr>
        <w:t xml:space="preserve">3. Published Research Context</w:t>
      </w:r>
    </w:p>
    <w:p>
      <w:pPr>
        <w:pStyle w:val="Heading2"/>
        <w:spacing w:after="150" w:before="300"/>
      </w:pPr>
      <w:r>
        <w:rPr>
          <w:rFonts w:ascii="Georgia" w:cs="Georgia" w:eastAsia="Georgia" w:hAnsi="Georgia"/>
          <w:b/>
          <w:bCs/>
          <w:color w:val="0E6655"/>
          <w:sz w:val="25"/>
          <w:szCs w:val="25"/>
        </w:rPr>
        <w:t xml:space="preserve">3.1 PPAP Clinical Landscape</w:t>
      </w:r>
    </w:p>
    <w:p>
      <w:pPr>
        <w:spacing w:after="120" w:line="264"/>
        <w:jc w:val="both"/>
      </w:pPr>
      <w:r>
        <w:rPr>
          <w:rFonts w:ascii="Arial" w:cs="Arial" w:eastAsia="Arial" w:hAnsi="Arial"/>
          <w:color w:val="2C3E50"/>
          <w:sz w:val="20"/>
          <w:szCs w:val="20"/>
        </w:rPr>
        <w:t xml:space="preserve">Palles et al. (Familial Cancer, 2022) identified 132 individuals with probably pathogenic ED variants (105 POLE, 27 POLD1). Cumulative CRC incidence was ~90% for POLE and ~50% for POLD1. The earliest malignancy was CRC at age 14. Most common tumors: colorectal, then endometrial (POLD1) and duodenal (POLE). All pathogenic variants were missense substitutions in the exonuclease domain.</w:t>
      </w:r>
    </w:p>
    <w:p>
      <w:pPr>
        <w:pStyle w:val="Heading2"/>
        <w:spacing w:after="150" w:before="300"/>
      </w:pPr>
      <w:r>
        <w:rPr>
          <w:rFonts w:ascii="Georgia" w:cs="Georgia" w:eastAsia="Georgia" w:hAnsi="Georgia"/>
          <w:b/>
          <w:bCs/>
          <w:color w:val="0E6655"/>
          <w:sz w:val="25"/>
          <w:szCs w:val="25"/>
        </w:rPr>
        <w:t xml:space="preserve">3.2 POLE Frameshift Variants in the Literature</w:t>
      </w:r>
    </w:p>
    <w:p>
      <w:pPr>
        <w:spacing w:after="120" w:line="264"/>
        <w:jc w:val="both"/>
      </w:pPr>
      <w:r>
        <w:rPr>
          <w:rFonts w:ascii="Arial" w:cs="Arial" w:eastAsia="Arial" w:hAnsi="Arial"/>
          <w:color w:val="2C3E50"/>
          <w:sz w:val="20"/>
          <w:szCs w:val="20"/>
        </w:rPr>
        <w:t xml:space="preserve">A Japanese study (J Hum Genet, 2019) identified germline frameshift c.4191_4192delCT (p.Tyr1398*) with polyposis and three synchronous CRCs. One tumor was MSI-H through epigenetic MLH1 silencing without somatic MMR mutations — demonstrating PPAP tumors can acquire secondary MSI through epigenetic mechanisms. A Spanish cohort (Sci Rep, 2019) identified two additional POLE frameshifts, including one in the exonuclease domain.</w:t>
      </w:r>
    </w:p>
    <w:p>
      <w:pPr>
        <w:pStyle w:val="Heading2"/>
        <w:spacing w:after="150" w:before="300"/>
      </w:pPr>
      <w:r>
        <w:rPr>
          <w:rFonts w:ascii="Georgia" w:cs="Georgia" w:eastAsia="Georgia" w:hAnsi="Georgia"/>
          <w:b/>
          <w:bCs/>
          <w:color w:val="0E6655"/>
          <w:sz w:val="25"/>
          <w:szCs w:val="25"/>
        </w:rPr>
        <w:t xml:space="preserve">3.3 Somatic Mutation in Normal Tissues: The NanoSeq Evidence</w:t>
      </w:r>
    </w:p>
    <w:p>
      <w:pPr>
        <w:spacing w:after="120" w:line="264"/>
        <w:jc w:val="both"/>
      </w:pPr>
      <w:r>
        <w:rPr>
          <w:rFonts w:ascii="Arial" w:cs="Arial" w:eastAsia="Arial" w:hAnsi="Arial"/>
          <w:color w:val="2C3E50"/>
          <w:sz w:val="20"/>
          <w:szCs w:val="20"/>
        </w:rPr>
        <w:t xml:space="preserve">Robinson et al. (Nature Genetics, 2021) demonstrated that germline POLE/POLD1 ED mutations elevate SBS10a/b mutation burdens in normal adult somatic cells, including during embryogenesis and in sperm, using NanoSeq duplex sequencing. The 2025 improved NanoSeq protocol achieves &lt;5 errors per billion bp with whole-exome compatibility. If applied to this patient’s blood cells and SBS10a/b signatures are elevated, it would prove haploinsufficiency alone is pathogenic. If normal, it confirms the LOH model.</w:t>
      </w:r>
    </w:p>
    <w:p>
      <w:pPr>
        <w:pStyle w:val="Heading2"/>
        <w:spacing w:after="150" w:before="300"/>
      </w:pPr>
      <w:r>
        <w:rPr>
          <w:rFonts w:ascii="Georgia" w:cs="Georgia" w:eastAsia="Georgia" w:hAnsi="Georgia"/>
          <w:b/>
          <w:bCs/>
          <w:color w:val="0E6655"/>
          <w:sz w:val="25"/>
          <w:szCs w:val="25"/>
        </w:rPr>
        <w:t xml:space="preserve">3.4 Immunotherapy in POLE-Mutated Cancers</w:t>
      </w:r>
    </w:p>
    <w:p>
      <w:pPr>
        <w:spacing w:after="120" w:line="264"/>
        <w:jc w:val="both"/>
      </w:pPr>
      <w:r>
        <w:rPr>
          <w:rFonts w:ascii="Arial" w:cs="Arial" w:eastAsia="Arial" w:hAnsi="Arial"/>
          <w:color w:val="2C3E50"/>
          <w:sz w:val="20"/>
          <w:szCs w:val="20"/>
        </w:rPr>
        <w:t xml:space="preserve">MD Anderson analysis (JCO Precision Oncology, 2022): pathogenic POLE mutations showed 82.4% CBR, 15.1 mo PFS, 29.5 mo OS with ICI therapy. Annals of Oncology (2024): POLE signature contribution ≥78.5% predicts response (28.5% in non-responders). Cancer Research (2025): pre-cancer ICB in polymerase mutator mice delays cancer and extends survival — raising the possibility of preventive immunotherapy in PPAP carriers.</w:t>
      </w:r>
    </w:p>
    <w:p>
      <w:pPr>
        <w:pStyle w:val="Heading2"/>
        <w:spacing w:after="150" w:before="300"/>
      </w:pPr>
      <w:r>
        <w:rPr>
          <w:rFonts w:ascii="Georgia" w:cs="Georgia" w:eastAsia="Georgia" w:hAnsi="Georgia"/>
          <w:b/>
          <w:bCs/>
          <w:color w:val="0E6655"/>
          <w:sz w:val="25"/>
          <w:szCs w:val="25"/>
        </w:rPr>
        <w:t xml:space="preserve">3.5 Synthetic Lethality and ATR-CHK1 Pathway</w:t>
      </w:r>
    </w:p>
    <w:p>
      <w:pPr>
        <w:spacing w:after="120" w:line="264"/>
        <w:jc w:val="both"/>
      </w:pPr>
      <w:r>
        <w:rPr>
          <w:rFonts w:ascii="Arial" w:cs="Arial" w:eastAsia="Arial" w:hAnsi="Arial"/>
          <w:color w:val="2C3E50"/>
          <w:sz w:val="20"/>
          <w:szCs w:val="20"/>
        </w:rPr>
        <w:t xml:space="preserve">ATR inhibitors (ceralasertib, berzosertib, elimusertib) are in clinical trials. A 2024 study demonstrated synthetic lethality between ATR and B-family DNA polymerases (POLA1, POLD1, PRIM1) in CRC cell lines. ATR/CHK1/WEE1 inhibitors cause HRR deficiency, synergizing with PARP inhibitors (Br J Cancer, 2024). These establish the rationale for ATR inhibition in POLE-deficient cells under replication stress.</w:t>
      </w:r>
    </w:p>
    <w:p>
      <w:pPr>
        <w:pStyle w:val="Heading2"/>
        <w:spacing w:after="150" w:before="300"/>
      </w:pPr>
      <w:r>
        <w:rPr>
          <w:rFonts w:ascii="Georgia" w:cs="Georgia" w:eastAsia="Georgia" w:hAnsi="Georgia"/>
          <w:b/>
          <w:bCs/>
          <w:color w:val="0E6655"/>
          <w:sz w:val="25"/>
          <w:szCs w:val="25"/>
        </w:rPr>
        <w:t xml:space="preserve">3.6 POLE/POLD1 Variant Classification (Valle Lab, IDIBELL)</w:t>
      </w:r>
    </w:p>
    <w:p>
      <w:pPr>
        <w:spacing w:after="120" w:line="264"/>
        <w:jc w:val="both"/>
      </w:pPr>
      <w:r>
        <w:rPr>
          <w:rFonts w:ascii="Arial" w:cs="Arial" w:eastAsia="Arial" w:hAnsi="Arial"/>
          <w:color w:val="2C3E50"/>
          <w:sz w:val="20"/>
          <w:szCs w:val="20"/>
        </w:rPr>
        <w:t xml:space="preserve">Mur, Viana-Errasti et al. (Genome Medicine, 2023) developed gene-specific ACMG/AMP classification recommendations for POLE/POLD1 ED variants, applied to 128 variants (17 pathogenic/likely pathogenic, 17 benign/likely benign). This framework was designed for non-disruptive (missense) ED variants. The c.138del variant — a disruptive (frameshift) variant upstream of the ED — falls outside its scope while producing a phenotype within it, representing a natural test case for framework extension.</w:t>
      </w:r>
    </w:p>
    <w:p>
      <w:r>
        <w:br w:type="page"/>
      </w:r>
    </w:p>
    <w:p>
      <w:pPr>
        <w:pStyle w:val="Heading1"/>
        <w:spacing w:after="200" w:before="400"/>
      </w:pPr>
      <w:r>
        <w:rPr>
          <w:rFonts w:ascii="Georgia" w:cs="Georgia" w:eastAsia="Georgia" w:hAnsi="Georgia"/>
          <w:b/>
          <w:bCs/>
          <w:color w:val="1B4F72"/>
          <w:sz w:val="30"/>
          <w:szCs w:val="30"/>
        </w:rPr>
        <w:t xml:space="preserve">4. Critical Research Questions</w:t>
      </w:r>
    </w:p>
    <w:p>
      <w:pPr>
        <w:pStyle w:val="Heading2"/>
        <w:spacing w:after="150" w:before="300"/>
      </w:pPr>
      <w:r>
        <w:rPr>
          <w:rFonts w:ascii="Georgia" w:cs="Georgia" w:eastAsia="Georgia" w:hAnsi="Georgia"/>
          <w:b/>
          <w:bCs/>
          <w:color w:val="0E6655"/>
          <w:sz w:val="25"/>
          <w:szCs w:val="25"/>
        </w:rPr>
        <w:t xml:space="preserve">4.1 Foundational Mechanistic Questions</w:t>
      </w:r>
    </w:p>
    <w:p>
      <w:pPr>
        <w:spacing w:after="100" w:before="200"/>
      </w:pPr>
      <w:r>
        <w:rPr>
          <w:rFonts w:ascii="Arial" w:cs="Arial" w:eastAsia="Arial" w:hAnsi="Arial"/>
          <w:b/>
          <w:bCs/>
          <w:color w:val="1B4F72"/>
          <w:sz w:val="21"/>
          <w:szCs w:val="21"/>
        </w:rPr>
        <w:t xml:space="preserve">What is the actual molecular product of this allele?</w:t>
      </w:r>
    </w:p>
    <w:p>
      <w:pPr>
        <w:pStyle w:val="ListParagraph"/>
        <w:numPr>
          <w:ilvl w:val="0"/>
          <w:numId w:val="2"/>
        </w:numPr>
        <w:spacing w:after="60" w:line="264"/>
      </w:pPr>
      <w:r>
        <w:rPr>
          <w:rFonts w:ascii="Arial" w:cs="Arial" w:eastAsia="Arial" w:hAnsi="Arial"/>
          <w:color w:val="2C3E50"/>
          <w:sz w:val="20"/>
          <w:szCs w:val="20"/>
        </w:rPr>
        <w:t xml:space="preserve">Does the mutant mRNA escape NMD? (Quantitative RT-PCR, allele-specific RNA-seq)</w:t>
      </w:r>
    </w:p>
    <w:p>
      <w:pPr>
        <w:pStyle w:val="ListParagraph"/>
        <w:numPr>
          <w:ilvl w:val="0"/>
          <w:numId w:val="2"/>
        </w:numPr>
        <w:spacing w:after="60" w:line="264"/>
      </w:pPr>
      <w:r>
        <w:rPr>
          <w:rFonts w:ascii="Arial" w:cs="Arial" w:eastAsia="Arial" w:hAnsi="Arial"/>
          <w:color w:val="2C3E50"/>
          <w:sz w:val="20"/>
          <w:szCs w:val="20"/>
        </w:rPr>
        <w:t xml:space="preserve">Is there translational reinitiation? (Ribo-seq mapping downstream of PTC)</w:t>
      </w:r>
    </w:p>
    <w:p>
      <w:pPr>
        <w:pStyle w:val="ListParagraph"/>
        <w:numPr>
          <w:ilvl w:val="0"/>
          <w:numId w:val="2"/>
        </w:numPr>
        <w:spacing w:after="60" w:line="264"/>
      </w:pPr>
      <w:r>
        <w:rPr>
          <w:rFonts w:ascii="Arial" w:cs="Arial" w:eastAsia="Arial" w:hAnsi="Arial"/>
          <w:color w:val="2C3E50"/>
          <w:sz w:val="20"/>
          <w:szCs w:val="20"/>
        </w:rPr>
        <w:t xml:space="preserve">What protein products are detectable? (IP-MS of POLE complex; domain-specific western blots)</w:t>
      </w:r>
    </w:p>
    <w:p>
      <w:pPr>
        <w:pStyle w:val="ListParagraph"/>
        <w:numPr>
          <w:ilvl w:val="0"/>
          <w:numId w:val="2"/>
        </w:numPr>
        <w:spacing w:after="60" w:line="264"/>
      </w:pPr>
      <w:r>
        <w:rPr>
          <w:rFonts w:ascii="Arial" w:cs="Arial" w:eastAsia="Arial" w:hAnsi="Arial"/>
          <w:color w:val="2C3E50"/>
          <w:sz w:val="20"/>
          <w:szCs w:val="20"/>
        </w:rPr>
        <w:t xml:space="preserve">Does the 54-residue peptide retain POLE2 binding? (Co-IP, surface plasmon resonance)</w:t>
      </w:r>
    </w:p>
    <w:p>
      <w:pPr>
        <w:spacing w:after="100" w:before="200"/>
      </w:pPr>
      <w:r>
        <w:rPr>
          <w:rFonts w:ascii="Arial" w:cs="Arial" w:eastAsia="Arial" w:hAnsi="Arial"/>
          <w:b/>
          <w:bCs/>
          <w:color w:val="1B4F72"/>
          <w:sz w:val="21"/>
          <w:szCs w:val="21"/>
        </w:rPr>
        <w:t xml:space="preserve">Is POLE operating as a tumor suppressor via two-hit mechanism?</w:t>
      </w:r>
    </w:p>
    <w:p>
      <w:pPr>
        <w:pStyle w:val="ListParagraph"/>
        <w:numPr>
          <w:ilvl w:val="0"/>
          <w:numId w:val="2"/>
        </w:numPr>
        <w:spacing w:after="60" w:line="264"/>
      </w:pPr>
      <w:r>
        <w:rPr>
          <w:rFonts w:ascii="Arial" w:cs="Arial" w:eastAsia="Arial" w:hAnsi="Arial"/>
          <w:color w:val="2C3E50"/>
          <w:sz w:val="20"/>
          <w:szCs w:val="20"/>
        </w:rPr>
        <w:t xml:space="preserve">LOH at POLE locus in tumor? (Paired tumor-normal WGS, ASCAT/FACETS)</w:t>
      </w:r>
    </w:p>
    <w:p>
      <w:pPr>
        <w:pStyle w:val="ListParagraph"/>
        <w:numPr>
          <w:ilvl w:val="0"/>
          <w:numId w:val="2"/>
        </w:numPr>
        <w:spacing w:after="60" w:line="264"/>
      </w:pPr>
      <w:r>
        <w:rPr>
          <w:rFonts w:ascii="Arial" w:cs="Arial" w:eastAsia="Arial" w:hAnsi="Arial"/>
          <w:color w:val="2C3E50"/>
          <w:sz w:val="20"/>
          <w:szCs w:val="20"/>
        </w:rPr>
        <w:t xml:space="preserve">Is LOH truncal or subclonal? (Multi-region sequencing, phylogenetic reconstruction)</w:t>
      </w:r>
    </w:p>
    <w:p>
      <w:pPr>
        <w:pStyle w:val="ListParagraph"/>
        <w:numPr>
          <w:ilvl w:val="0"/>
          <w:numId w:val="2"/>
        </w:numPr>
        <w:spacing w:after="60" w:line="264"/>
      </w:pPr>
      <w:r>
        <w:rPr>
          <w:rFonts w:ascii="Arial" w:cs="Arial" w:eastAsia="Arial" w:hAnsi="Arial"/>
          <w:color w:val="2C3E50"/>
          <w:sz w:val="20"/>
          <w:szCs w:val="20"/>
        </w:rPr>
        <w:t xml:space="preserve">Does stochastic LOH occur in non-tumor tissues? (Single-cell WGS of colonic crypts)</w:t>
      </w:r>
    </w:p>
    <w:p>
      <w:pPr>
        <w:pStyle w:val="ListParagraph"/>
        <w:numPr>
          <w:ilvl w:val="0"/>
          <w:numId w:val="2"/>
        </w:numPr>
        <w:spacing w:after="60" w:line="264"/>
      </w:pPr>
      <w:r>
        <w:rPr>
          <w:rFonts w:ascii="Arial" w:cs="Arial" w:eastAsia="Arial" w:hAnsi="Arial"/>
          <w:color w:val="2C3E50"/>
          <w:sz w:val="20"/>
          <w:szCs w:val="20"/>
        </w:rPr>
        <w:t xml:space="preserve">Epigenetic silencing of wild-type allele? (Bisulfite sequencing/methylation arrays)</w:t>
      </w:r>
    </w:p>
    <w:p>
      <w:pPr>
        <w:spacing w:after="100" w:before="200"/>
      </w:pPr>
      <w:r>
        <w:rPr>
          <w:rFonts w:ascii="Arial" w:cs="Arial" w:eastAsia="Arial" w:hAnsi="Arial"/>
          <w:b/>
          <w:bCs/>
          <w:color w:val="1B4F72"/>
          <w:sz w:val="21"/>
          <w:szCs w:val="21"/>
        </w:rPr>
        <w:t xml:space="preserve">What mutational process drives ultra-hypermutation?</w:t>
      </w:r>
    </w:p>
    <w:p>
      <w:pPr>
        <w:pStyle w:val="ListParagraph"/>
        <w:numPr>
          <w:ilvl w:val="0"/>
          <w:numId w:val="2"/>
        </w:numPr>
        <w:spacing w:after="60" w:line="264"/>
      </w:pPr>
      <w:r>
        <w:rPr>
          <w:rFonts w:ascii="Arial" w:cs="Arial" w:eastAsia="Arial" w:hAnsi="Arial"/>
          <w:color w:val="2C3E50"/>
          <w:sz w:val="20"/>
          <w:szCs w:val="20"/>
        </w:rPr>
        <w:t xml:space="preserve">Canonical POLE signatures in tumor? (WGS ≥60x tumor/30x normal, SigProfiler)</w:t>
      </w:r>
    </w:p>
    <w:p>
      <w:pPr>
        <w:pStyle w:val="ListParagraph"/>
        <w:numPr>
          <w:ilvl w:val="0"/>
          <w:numId w:val="2"/>
        </w:numPr>
        <w:spacing w:after="60" w:line="264"/>
      </w:pPr>
      <w:r>
        <w:rPr>
          <w:rFonts w:ascii="Arial" w:cs="Arial" w:eastAsia="Arial" w:hAnsi="Arial"/>
          <w:color w:val="2C3E50"/>
          <w:sz w:val="20"/>
          <w:szCs w:val="20"/>
        </w:rPr>
        <w:t xml:space="preserve">Concurrent MMR deficiency? (IHC for MMR proteins, MSI testing, MLH1 methylation)</w:t>
      </w:r>
    </w:p>
    <w:p>
      <w:pPr>
        <w:pStyle w:val="ListParagraph"/>
        <w:numPr>
          <w:ilvl w:val="0"/>
          <w:numId w:val="2"/>
        </w:numPr>
        <w:spacing w:after="60" w:line="264"/>
      </w:pPr>
      <w:r>
        <w:rPr>
          <w:rFonts w:ascii="Arial" w:cs="Arial" w:eastAsia="Arial" w:hAnsi="Arial"/>
          <w:color w:val="2C3E50"/>
          <w:sz w:val="20"/>
          <w:szCs w:val="20"/>
        </w:rPr>
        <w:t xml:space="preserve">Somatic mutation rate in normal tissues? (NanoSeq on blood, fibroblasts, colonic epithelium)</w:t>
      </w:r>
    </w:p>
    <w:p>
      <w:pPr>
        <w:spacing w:after="100" w:before="200"/>
      </w:pPr>
      <w:r>
        <w:rPr>
          <w:rFonts w:ascii="Arial" w:cs="Arial" w:eastAsia="Arial" w:hAnsi="Arial"/>
          <w:b/>
          <w:bCs/>
          <w:color w:val="1B4F72"/>
          <w:sz w:val="21"/>
          <w:szCs w:val="21"/>
        </w:rPr>
        <w:t xml:space="preserve">Novel questions from clinical phenotype</w:t>
      </w:r>
    </w:p>
    <w:p>
      <w:pPr>
        <w:pStyle w:val="ListParagraph"/>
        <w:numPr>
          <w:ilvl w:val="0"/>
          <w:numId w:val="2"/>
        </w:numPr>
        <w:spacing w:after="60" w:line="264"/>
      </w:pPr>
      <w:r>
        <w:rPr>
          <w:rFonts w:ascii="Arial" w:cs="Arial" w:eastAsia="Arial" w:hAnsi="Arial"/>
          <w:color w:val="2C3E50"/>
          <w:sz w:val="20"/>
          <w:szCs w:val="20"/>
        </w:rPr>
        <w:t xml:space="preserve">Should thyroid cancer be added to the PPAP tumor spectrum? (Signature analysis of thyroid tumor)</w:t>
      </w:r>
    </w:p>
    <w:p>
      <w:pPr>
        <w:pStyle w:val="ListParagraph"/>
        <w:numPr>
          <w:ilvl w:val="0"/>
          <w:numId w:val="2"/>
        </w:numPr>
        <w:spacing w:after="60" w:line="264"/>
      </w:pPr>
      <w:r>
        <w:rPr>
          <w:rFonts w:ascii="Arial" w:cs="Arial" w:eastAsia="Arial" w:hAnsi="Arial"/>
          <w:color w:val="2C3E50"/>
          <w:sz w:val="20"/>
          <w:szCs w:val="20"/>
        </w:rPr>
        <w:t xml:space="preserve">Does POLE haploinsufficiency contribute to endometriosis severity? (Novel research question)</w:t>
      </w:r>
    </w:p>
    <w:p>
      <w:pPr>
        <w:pStyle w:val="ListParagraph"/>
        <w:numPr>
          <w:ilvl w:val="0"/>
          <w:numId w:val="2"/>
        </w:numPr>
        <w:spacing w:after="60" w:line="264"/>
      </w:pPr>
      <w:r>
        <w:rPr>
          <w:rFonts w:ascii="Arial" w:cs="Arial" w:eastAsia="Arial" w:hAnsi="Arial"/>
          <w:color w:val="2C3E50"/>
          <w:sz w:val="20"/>
          <w:szCs w:val="20"/>
        </w:rPr>
        <w:t xml:space="preserve">Do POLE truncation carriers have elevated congenital anomaly rates? (Cohort analysis)</w:t>
      </w:r>
    </w:p>
    <w:p>
      <w:pPr>
        <w:pStyle w:val="ListParagraph"/>
        <w:numPr>
          <w:ilvl w:val="0"/>
          <w:numId w:val="2"/>
        </w:numPr>
        <w:spacing w:after="60" w:line="264"/>
      </w:pPr>
      <w:r>
        <w:rPr>
          <w:rFonts w:ascii="Arial" w:cs="Arial" w:eastAsia="Arial" w:hAnsi="Arial"/>
          <w:color w:val="2C3E50"/>
          <w:sz w:val="20"/>
          <w:szCs w:val="20"/>
        </w:rPr>
        <w:t xml:space="preserve">Are bilateral stromal proliferative changes (PASH, FNH) features of systemic POLE dysfunction?</w:t>
      </w:r>
    </w:p>
    <w:p>
      <w:pPr>
        <w:pStyle w:val="Heading2"/>
        <w:spacing w:after="150" w:before="300"/>
      </w:pPr>
      <w:r>
        <w:rPr>
          <w:rFonts w:ascii="Georgia" w:cs="Georgia" w:eastAsia="Georgia" w:hAnsi="Georgia"/>
          <w:b/>
          <w:bCs/>
          <w:color w:val="0E6655"/>
          <w:sz w:val="25"/>
          <w:szCs w:val="25"/>
        </w:rPr>
        <w:t xml:space="preserve">4.2 Translational Therapeutic Questions</w:t>
      </w:r>
    </w:p>
    <w:p>
      <w:pPr>
        <w:pStyle w:val="ListParagraph"/>
        <w:numPr>
          <w:ilvl w:val="0"/>
          <w:numId w:val="2"/>
        </w:numPr>
        <w:spacing w:after="60" w:line="264"/>
      </w:pPr>
      <w:r>
        <w:rPr>
          <w:rFonts w:ascii="Arial" w:cs="Arial" w:eastAsia="Arial" w:hAnsi="Arial"/>
          <w:color w:val="2C3E50"/>
          <w:sz w:val="20"/>
          <w:szCs w:val="20"/>
        </w:rPr>
        <w:t xml:space="preserve">Neoantigen landscape? (WES + HLA typing + NetMHCpan/pVACseq prediction)</w:t>
      </w:r>
    </w:p>
    <w:p>
      <w:pPr>
        <w:pStyle w:val="ListParagraph"/>
        <w:numPr>
          <w:ilvl w:val="0"/>
          <w:numId w:val="2"/>
        </w:numPr>
        <w:spacing w:after="60" w:line="264"/>
      </w:pPr>
      <w:r>
        <w:rPr>
          <w:rFonts w:ascii="Arial" w:cs="Arial" w:eastAsia="Arial" w:hAnsi="Arial"/>
          <w:color w:val="2C3E50"/>
          <w:sz w:val="20"/>
          <w:szCs w:val="20"/>
        </w:rPr>
        <w:t xml:space="preserve">Tumor immune microenvironment? (scRNA-seq, spatial transcriptomics)</w:t>
      </w:r>
    </w:p>
    <w:p>
      <w:pPr>
        <w:pStyle w:val="ListParagraph"/>
        <w:numPr>
          <w:ilvl w:val="0"/>
          <w:numId w:val="2"/>
        </w:numPr>
        <w:spacing w:after="60" w:line="264"/>
      </w:pPr>
      <w:r>
        <w:rPr>
          <w:rFonts w:ascii="Arial" w:cs="Arial" w:eastAsia="Arial" w:hAnsi="Arial"/>
          <w:color w:val="2C3E50"/>
          <w:sz w:val="20"/>
          <w:szCs w:val="20"/>
        </w:rPr>
        <w:t xml:space="preserve">Dual checkpoint blockade? (Dependent on multi-receptor exhaustion profiling)</w:t>
      </w:r>
    </w:p>
    <w:p>
      <w:pPr>
        <w:pStyle w:val="ListParagraph"/>
        <w:numPr>
          <w:ilvl w:val="0"/>
          <w:numId w:val="2"/>
        </w:numPr>
        <w:spacing w:after="60" w:line="264"/>
      </w:pPr>
      <w:r>
        <w:rPr>
          <w:rFonts w:ascii="Arial" w:cs="Arial" w:eastAsia="Arial" w:hAnsi="Arial"/>
          <w:color w:val="2C3E50"/>
          <w:sz w:val="20"/>
          <w:szCs w:val="20"/>
        </w:rPr>
        <w:t xml:space="preserve">Personalized neoantigen vaccination? (mRNA platforms; adjuvant post-resection)</w:t>
      </w:r>
    </w:p>
    <w:p>
      <w:pPr>
        <w:pStyle w:val="ListParagraph"/>
        <w:numPr>
          <w:ilvl w:val="0"/>
          <w:numId w:val="2"/>
        </w:numPr>
        <w:spacing w:after="60" w:line="264"/>
      </w:pPr>
      <w:r>
        <w:rPr>
          <w:rFonts w:ascii="Arial" w:cs="Arial" w:eastAsia="Arial" w:hAnsi="Arial"/>
          <w:color w:val="2C3E50"/>
          <w:sz w:val="20"/>
          <w:szCs w:val="20"/>
        </w:rPr>
        <w:t xml:space="preserve">Preventive immunotherapy? (Supported by 2025 Cancer Research mouse model data)</w:t>
      </w:r>
    </w:p>
    <w:p>
      <w:pPr>
        <w:pStyle w:val="ListParagraph"/>
        <w:numPr>
          <w:ilvl w:val="0"/>
          <w:numId w:val="2"/>
        </w:numPr>
        <w:spacing w:after="60" w:line="264"/>
      </w:pPr>
      <w:r>
        <w:rPr>
          <w:rFonts w:ascii="Arial" w:cs="Arial" w:eastAsia="Arial" w:hAnsi="Arial"/>
          <w:color w:val="2C3E50"/>
          <w:sz w:val="20"/>
          <w:szCs w:val="20"/>
        </w:rPr>
        <w:t xml:space="preserve">ATR-CHK1 pathway dependence? (Test in patient-derived organoids)</w:t>
      </w:r>
    </w:p>
    <w:p>
      <w:pPr>
        <w:pStyle w:val="ListParagraph"/>
        <w:numPr>
          <w:ilvl w:val="0"/>
          <w:numId w:val="2"/>
        </w:numPr>
        <w:spacing w:after="60" w:line="264"/>
      </w:pPr>
      <w:r>
        <w:rPr>
          <w:rFonts w:ascii="Arial" w:cs="Arial" w:eastAsia="Arial" w:hAnsi="Arial"/>
          <w:color w:val="2C3E50"/>
          <w:sz w:val="20"/>
          <w:szCs w:val="20"/>
        </w:rPr>
        <w:t xml:space="preserve">WRN helicase dependency? (If secondary MMR loss creates MSI)</w:t>
      </w:r>
    </w:p>
    <w:p>
      <w:pPr>
        <w:pStyle w:val="ListParagraph"/>
        <w:numPr>
          <w:ilvl w:val="0"/>
          <w:numId w:val="2"/>
        </w:numPr>
        <w:spacing w:after="60" w:line="264"/>
      </w:pPr>
      <w:r>
        <w:rPr>
          <w:rFonts w:ascii="Arial" w:cs="Arial" w:eastAsia="Arial" w:hAnsi="Arial"/>
          <w:color w:val="2C3E50"/>
          <w:sz w:val="20"/>
          <w:szCs w:val="20"/>
        </w:rPr>
        <w:t xml:space="preserve">PARP sensitivity? (Olaparib/talazoparib for replication stress-mediated trapping)</w:t>
      </w:r>
    </w:p>
    <w:p>
      <w:r>
        <w:br w:type="page"/>
      </w:r>
    </w:p>
    <w:p>
      <w:pPr>
        <w:pStyle w:val="Heading1"/>
        <w:spacing w:after="200" w:before="400"/>
      </w:pPr>
      <w:r>
        <w:rPr>
          <w:rFonts w:ascii="Georgia" w:cs="Georgia" w:eastAsia="Georgia" w:hAnsi="Georgia"/>
          <w:b/>
          <w:bCs/>
          <w:color w:val="1B4F72"/>
          <w:sz w:val="30"/>
          <w:szCs w:val="30"/>
        </w:rPr>
        <w:t xml:space="preserve">5. Blood-Based Research Assays</w:t>
      </w:r>
    </w:p>
    <w:p>
      <w:pPr>
        <w:pStyle w:val="Heading2"/>
        <w:spacing w:after="150" w:before="300"/>
      </w:pPr>
      <w:r>
        <w:rPr>
          <w:rFonts w:ascii="Georgia" w:cs="Georgia" w:eastAsia="Georgia" w:hAnsi="Georgia"/>
          <w:b/>
          <w:bCs/>
          <w:color w:val="0E6655"/>
          <w:sz w:val="25"/>
          <w:szCs w:val="25"/>
        </w:rPr>
        <w:t xml:space="preserve">5.1 Genomic and Mutational Analysis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524"/>
        <w:gridCol w:w="3524"/>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Key Output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Duplex Sequencing / NanoSeq on PBMCs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Measure somatic mutation rate vs. age-matched controls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SBS10a/b elevated = haploinsufficiency pathogenic; normal = LOH model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Allele-specific RNA-seq</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Determine if mutant mRNA escapes NMD</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Mutant:WT transcript ratio</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CHIP profiling (DNMT3A, TET2, ASXL1, TP53)</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Assess clonal hematopoiesis burden</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Elevated CHIP for age = indirect evidence of elevated mutation rate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Germline WGS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Identify co-occurring pathogenic variants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Comprehensive modifier assessment</w:t>
            </w:r>
          </w:p>
        </w:tc>
      </w:tr>
    </w:tbl>
    <w:p>
      <w:pPr>
        <w:spacing w:after="40"/>
      </w:pPr>
    </w:p>
    <w:p>
      <w:pPr>
        <w:pStyle w:val="Heading2"/>
        <w:spacing w:after="150" w:before="300"/>
      </w:pPr>
      <w:r>
        <w:rPr>
          <w:rFonts w:ascii="Georgia" w:cs="Georgia" w:eastAsia="Georgia" w:hAnsi="Georgia"/>
          <w:b/>
          <w:bCs/>
          <w:color w:val="0E6655"/>
          <w:sz w:val="25"/>
          <w:szCs w:val="25"/>
        </w:rPr>
        <w:t xml:space="preserve">5.2 Circulating Tumor Markers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524"/>
        <w:gridCol w:w="3524"/>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Platform</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Tumor-informed ctDNA</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Monitor residual disease, recurrence, evolution</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Signatera, FoundationOne Tracker, Guardant Reveal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CTC isolation + single-cell WGS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Track tumor genomic diversity without biopsy</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Monitor for secondary MMR mutations</w:t>
            </w:r>
          </w:p>
        </w:tc>
      </w:tr>
    </w:tbl>
    <w:p>
      <w:pPr>
        <w:spacing w:after="40"/>
      </w:pPr>
    </w:p>
    <w:p>
      <w:pPr>
        <w:pStyle w:val="Heading2"/>
        <w:spacing w:after="150" w:before="300"/>
      </w:pPr>
      <w:r>
        <w:rPr>
          <w:rFonts w:ascii="Georgia" w:cs="Georgia" w:eastAsia="Georgia" w:hAnsi="Georgia"/>
          <w:b/>
          <w:bCs/>
          <w:color w:val="0E6655"/>
          <w:sz w:val="25"/>
          <w:szCs w:val="25"/>
        </w:rPr>
        <w:t xml:space="preserve">5.3 Immune Profiling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524"/>
        <w:gridCol w:w="3524"/>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Clinical Relevance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CyTOF / spectral flow cytometry</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Map T cell subsets, exhaustion markers (PD-1, TIM-3, LAG-3, TIGIT)</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Predict ICI response; guide mono vs. dual checkpoint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TCR repertoire sequencing (immunoSEQ)</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Identify expanded tumor-reactive clones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Longitudinal immune surveillance biomarker</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Neoantigen-reactive T cell detection</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Peptide-MHC multimer quantification</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Gold standard for immunogenicity confirmation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Cytokine profiling (Olink/Luminex)</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IFN-γ, TNF-α, CXCL9, CXCL10</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Elevated CXCL9/10 predicts ICI efficacy</w:t>
            </w:r>
          </w:p>
        </w:tc>
      </w:tr>
    </w:tbl>
    <w:p>
      <w:pPr>
        <w:spacing w:after="40"/>
      </w:pPr>
    </w:p>
    <w:p>
      <w:pPr>
        <w:pStyle w:val="Heading2"/>
        <w:spacing w:after="150" w:before="300"/>
      </w:pPr>
      <w:r>
        <w:rPr>
          <w:rFonts w:ascii="Georgia" w:cs="Georgia" w:eastAsia="Georgia" w:hAnsi="Georgia"/>
          <w:b/>
          <w:bCs/>
          <w:color w:val="0E6655"/>
          <w:sz w:val="25"/>
          <w:szCs w:val="25"/>
        </w:rPr>
        <w:t xml:space="preserve">5.4 Protein, Metabolic, and Standard Clinical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524"/>
        <w:gridCol w:w="3524"/>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POLE protein quantification</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SRM/PRM mass spectrometry on PBMCs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Wild-type POLE levels; aberrant product detection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dNTP pool quantification</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LC-MS/MS (dATP, dCTP, dGTP, dTTP)</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Nucleotide imbalance compounding proofreading deficit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CBC, CMP, LDH, CRP/ESR</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Standard clinical labs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Baseline organ function, inflammation, hematologic status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Tumor markers (CEA, CA-125)</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Standard clinical labs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Conventional monitoring benchmarks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TSH/free T4, HbA1c, cortisol</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Standard clinical labs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Pre-immunotherapy baselines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Immunoglobulin levels, lymphocyte subsets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Standard clinical flow cytometry</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Immune competence assessment</w:t>
            </w:r>
          </w:p>
        </w:tc>
      </w:tr>
    </w:tbl>
    <w:p>
      <w:r>
        <w:br w:type="page"/>
      </w:r>
    </w:p>
    <w:p>
      <w:pPr>
        <w:pStyle w:val="Heading1"/>
        <w:spacing w:after="200" w:before="400"/>
      </w:pPr>
      <w:r>
        <w:rPr>
          <w:rFonts w:ascii="Georgia" w:cs="Georgia" w:eastAsia="Georgia" w:hAnsi="Georgia"/>
          <w:b/>
          <w:bCs/>
          <w:color w:val="1B4F72"/>
          <w:sz w:val="30"/>
          <w:szCs w:val="30"/>
        </w:rPr>
        <w:t xml:space="preserve">6. Therapeutic Strategy</w:t>
      </w:r>
    </w:p>
    <w:p>
      <w:pPr>
        <w:pStyle w:val="Heading2"/>
        <w:spacing w:after="150" w:before="300"/>
      </w:pPr>
      <w:r>
        <w:rPr>
          <w:rFonts w:ascii="Georgia" w:cs="Georgia" w:eastAsia="Georgia" w:hAnsi="Georgia"/>
          <w:b/>
          <w:bCs/>
          <w:color w:val="0E6655"/>
          <w:sz w:val="25"/>
          <w:szCs w:val="25"/>
        </w:rPr>
        <w:t xml:space="preserve">6.1 Immunotherapy</w:t>
      </w:r>
    </w:p>
    <w:p>
      <w:pPr>
        <w:spacing w:after="120" w:line="264"/>
        <w:jc w:val="both"/>
      </w:pPr>
      <w:r>
        <w:rPr>
          <w:rFonts w:ascii="Arial" w:cs="Arial" w:eastAsia="Arial" w:hAnsi="Arial"/>
          <w:color w:val="2C3E50"/>
          <w:sz w:val="20"/>
          <w:szCs w:val="20"/>
        </w:rPr>
        <w:t xml:space="preserve">TMB &gt;100 mut/Mb places the patient well above the FDA tissue-agnostic threshold (≥10 mut/Mb) for pembrolizumab. Published data shows 82.4% CBR, 15.1 mo PFS, 29.5 mo OS for pathogenic POLE mutations (JCO Precision Oncology, 2022). POLE signature ≥78.5% predicts response (Annals of Oncology, 2024). The 2025 Cancer Research study showing preventive ICB efficacy in polymerase mutator mice supports adjuvant/maintenance ICI strategy.</w:t>
      </w:r>
    </w:p>
    <w:p>
      <w:pPr>
        <w:spacing w:after="120" w:line="264"/>
        <w:jc w:val="both"/>
      </w:pPr>
      <w:r>
        <w:rPr>
          <w:rFonts w:ascii="Arial" w:cs="Arial" w:eastAsia="Arial" w:hAnsi="Arial"/>
          <w:color w:val="2C3E50"/>
          <w:sz w:val="20"/>
          <w:szCs w:val="20"/>
        </w:rPr>
        <w:t xml:space="preserve">The specific mechanism matters for long-term strategy: LOH-driven tumors may have different clonal architecture, subclonal diversification, and resistance trajectories than canonical dominant-negative PPAP tumors.</w:t>
      </w:r>
    </w:p>
    <w:p>
      <w:pPr>
        <w:pStyle w:val="Heading2"/>
        <w:spacing w:after="150" w:before="300"/>
      </w:pPr>
      <w:r>
        <w:rPr>
          <w:rFonts w:ascii="Georgia" w:cs="Georgia" w:eastAsia="Georgia" w:hAnsi="Georgia"/>
          <w:b/>
          <w:bCs/>
          <w:color w:val="0E6655"/>
          <w:sz w:val="25"/>
          <w:szCs w:val="25"/>
        </w:rPr>
        <w:t xml:space="preserve">6.2 Synthetic Lethality Targets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848"/>
        <w:gridCol w:w="200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Drugs</w:t>
            </w:r>
          </w:p>
        </w:tc>
        <w:tc>
          <w:tcPr>
            <w:tcW w:type="dxa" w:w="38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Stage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ATR-CHK1</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Ceralasertib, Berzosertib, Elimusertib</w:t>
            </w:r>
          </w:p>
        </w:tc>
        <w:tc>
          <w:tcPr>
            <w:tcW w:type="dxa" w:w="38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POLE-deficient cells at viability threshold; ATR inhibition causes replication catastrophe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Phase I/II</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WRN helicase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WRN inhibitors</w:t>
            </w:r>
          </w:p>
        </w:tc>
        <w:tc>
          <w:tcPr>
            <w:tcW w:type="dxa" w:w="38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If secondary MMR loss creates MSI, WRN essential for fork stability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Preclinical</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PARP trapping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Olaparib, Talazoparib</w:t>
            </w:r>
          </w:p>
        </w:tc>
        <w:tc>
          <w:tcPr>
            <w:tcW w:type="dxa" w:w="38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Replication stress increases PARP1-dependent fork stabilization</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Phase II</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dNTP metabolism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Brequinar (DHODH), low-dose HU</w:t>
            </w:r>
          </w:p>
        </w:tc>
        <w:tc>
          <w:tcPr>
            <w:tcW w:type="dxa" w:w="38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Nucleotide imbalance compounds proofreading deficit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Experimental</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ATR + PARP</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AZD6738 + Olaparib</w:t>
            </w:r>
          </w:p>
        </w:tc>
        <w:tc>
          <w:tcPr>
            <w:tcW w:type="dxa" w:w="38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ATR inhibition causes HRR deficiency, synergizes with PARP trapping</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Phase I/II</w:t>
            </w:r>
          </w:p>
        </w:tc>
      </w:tr>
    </w:tbl>
    <w:p>
      <w:pPr>
        <w:spacing w:after="40"/>
      </w:pPr>
    </w:p>
    <w:p>
      <w:pPr>
        <w:pStyle w:val="Heading2"/>
        <w:spacing w:after="150" w:before="300"/>
      </w:pPr>
      <w:r>
        <w:rPr>
          <w:rFonts w:ascii="Georgia" w:cs="Georgia" w:eastAsia="Georgia" w:hAnsi="Georgia"/>
          <w:b/>
          <w:bCs/>
          <w:color w:val="0E6655"/>
          <w:sz w:val="25"/>
          <w:szCs w:val="25"/>
        </w:rPr>
        <w:t xml:space="preserve">6.3 Surveillance and Prevention</w:t>
      </w:r>
    </w:p>
    <w:p>
      <w:pPr>
        <w:pStyle w:val="ListParagraph"/>
        <w:numPr>
          <w:ilvl w:val="0"/>
          <w:numId w:val="2"/>
        </w:numPr>
        <w:spacing w:after="60" w:line="264"/>
      </w:pPr>
      <w:r>
        <w:rPr>
          <w:rFonts w:ascii="Arial" w:cs="Arial" w:eastAsia="Arial" w:hAnsi="Arial"/>
          <w:color w:val="2C3E50"/>
          <w:sz w:val="20"/>
          <w:szCs w:val="20"/>
        </w:rPr>
        <w:t xml:space="preserve">Expanded multi-organ surveillance: colonoscopy + endometrial + brain + thyroid + breast given multi-system phenotype</w:t>
      </w:r>
    </w:p>
    <w:p>
      <w:pPr>
        <w:pStyle w:val="ListParagraph"/>
        <w:numPr>
          <w:ilvl w:val="0"/>
          <w:numId w:val="2"/>
        </w:numPr>
        <w:spacing w:after="60" w:line="264"/>
      </w:pPr>
      <w:r>
        <w:rPr>
          <w:rFonts w:ascii="Arial" w:cs="Arial" w:eastAsia="Arial" w:hAnsi="Arial"/>
          <w:color w:val="2C3E50"/>
          <w:sz w:val="20"/>
          <w:szCs w:val="20"/>
        </w:rPr>
        <w:t xml:space="preserve">ctDNA monitoring for molecular-level recurrence and new primary tumor detection</w:t>
      </w:r>
    </w:p>
    <w:p>
      <w:pPr>
        <w:pStyle w:val="ListParagraph"/>
        <w:numPr>
          <w:ilvl w:val="0"/>
          <w:numId w:val="2"/>
        </w:numPr>
        <w:spacing w:after="60" w:line="264"/>
      </w:pPr>
      <w:r>
        <w:rPr>
          <w:rFonts w:ascii="Arial" w:cs="Arial" w:eastAsia="Arial" w:hAnsi="Arial"/>
          <w:color w:val="2C3E50"/>
          <w:sz w:val="20"/>
          <w:szCs w:val="20"/>
        </w:rPr>
        <w:t xml:space="preserve">Aspirin chemoprevention (CAPP2 trial rationale; n-of-1 design with biomarker endpoints)</w:t>
      </w:r>
    </w:p>
    <w:p>
      <w:pPr>
        <w:pStyle w:val="ListParagraph"/>
        <w:numPr>
          <w:ilvl w:val="0"/>
          <w:numId w:val="2"/>
        </w:numPr>
        <w:spacing w:after="60" w:line="264"/>
      </w:pPr>
      <w:r>
        <w:rPr>
          <w:rFonts w:ascii="Arial" w:cs="Arial" w:eastAsia="Arial" w:hAnsi="Arial"/>
          <w:color w:val="2C3E50"/>
          <w:sz w:val="20"/>
          <w:szCs w:val="20"/>
        </w:rPr>
        <w:t xml:space="preserve">Reproductive counseling with PGT-M, acknowledging penetrance uncertainty</w:t>
      </w:r>
    </w:p>
    <w:p>
      <w:r>
        <w:br w:type="page"/>
      </w:r>
    </w:p>
    <w:p>
      <w:pPr>
        <w:spacing w:after="100" w:before="200"/>
        <w:jc w:val="center"/>
      </w:pPr>
      <w:r>
        <w:rPr>
          <w:rFonts w:ascii="Arial" w:cs="Arial" w:eastAsia="Arial" w:hAnsi="Arial"/>
          <w:b/>
          <w:bCs/>
          <w:color w:val="0E6655"/>
          <w:sz w:val="22"/>
          <w:szCs w:val="22"/>
        </w:rPr>
        <w:t xml:space="preserve">PART III</w:t>
      </w:r>
    </w:p>
    <w:p>
      <w:pPr>
        <w:pBdr>
          <w:bottom w:val="single" w:color="0E6655" w:sz="2" w:space="8"/>
        </w:pBdr>
        <w:spacing w:after="300"/>
        <w:jc w:val="center"/>
      </w:pPr>
      <w:r>
        <w:rPr>
          <w:rFonts w:ascii="Georgia" w:cs="Georgia" w:eastAsia="Georgia" w:hAnsi="Georgia"/>
          <w:b/>
          <w:bCs/>
          <w:color w:val="1B4F72"/>
          <w:sz w:val="28"/>
          <w:szCs w:val="28"/>
        </w:rPr>
        <w:t xml:space="preserve">Advanced Research Investigations</w:t>
      </w:r>
    </w:p>
    <w:p>
      <w:pPr>
        <w:spacing w:after="120" w:line="264"/>
        <w:jc w:val="both"/>
      </w:pPr>
      <w:r>
        <w:rPr>
          <w:rFonts w:ascii="Arial" w:cs="Arial" w:eastAsia="Arial" w:hAnsi="Arial"/>
          <w:color w:val="2C3E50"/>
          <w:sz w:val="20"/>
          <w:szCs w:val="20"/>
        </w:rPr>
        <w:t xml:space="preserve">The following 20 research domains extend beyond the five core mechanistic models into unexplored areas of POLE biology. Each domain is independent and can be pursued in parallel. Investigations are tiered by feasibility.</w:t>
      </w:r>
    </w:p>
    <w:p>
      <w:pPr>
        <w:spacing w:after="40"/>
      </w:pPr>
    </w:p>
    <w:p>
      <w:pPr>
        <w:pStyle w:val="Heading2"/>
        <w:spacing w:after="150" w:before="300"/>
      </w:pPr>
      <w:r>
        <w:rPr>
          <w:rFonts w:ascii="Georgia" w:cs="Georgia" w:eastAsia="Georgia" w:hAnsi="Georgia"/>
          <w:b/>
          <w:bCs/>
          <w:color w:val="0E6655"/>
          <w:sz w:val="25"/>
          <w:szCs w:val="25"/>
        </w:rPr>
        <w:t xml:space="preserve">1. Sequence Context &amp; Reinitiation Mapping</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Is c.138 in a repeat (suggesting recurrence)? What downstream AUGs could support reinitiation? Does POLE mRNA contain an IRES?</w:t>
      </w:r>
    </w:p>
    <w:p>
      <w:pPr>
        <w:spacing w:after="120" w:line="264"/>
        <w:jc w:val="both"/>
      </w:pPr>
      <w:r>
        <w:rPr>
          <w:rFonts w:ascii="Arial" w:cs="Arial" w:eastAsia="Arial" w:hAnsi="Arial"/>
          <w:color w:val="2C3E50"/>
          <w:sz w:val="20"/>
          <w:szCs w:val="20"/>
        </w:rPr>
        <w:t xml:space="preserve">The reinitiation model depends on favorable Kozak contexts at downstream methionines. If the deletion arose through polymerase slippage in a repetitive sequence, it could arise independently in unrelated individuals. Computationally achievable now using publicly available reference sequences (ENST00000320574).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Analysis</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Downstream AUG mapping</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In-frame methionine annotation with Kozak scoring</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Ranked reinitiation sites, predicted protein MW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Local sequence context</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Bioinformatic analysis of repeat structure at position 138</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Slippage probability, recurrence estimate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IRES prediction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Query against IRESfinder, IRESite, IRESbase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Cap-independent translation element presence</w:t>
            </w:r>
          </w:p>
        </w:tc>
      </w:tr>
    </w:tbl>
    <w:p>
      <w:pPr>
        <w:spacing w:after="40"/>
      </w:pPr>
    </w:p>
    <w:p>
      <w:pPr>
        <w:pStyle w:val="Heading2"/>
        <w:spacing w:after="150" w:before="300"/>
      </w:pPr>
      <w:r>
        <w:rPr>
          <w:rFonts w:ascii="Georgia" w:cs="Georgia" w:eastAsia="Georgia" w:hAnsi="Georgia"/>
          <w:b/>
          <w:bCs/>
          <w:color w:val="0E6655"/>
          <w:sz w:val="25"/>
          <w:szCs w:val="25"/>
        </w:rPr>
        <w:t xml:space="preserve">2. Non-Replicative Functions of POLE</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POLE haploinsufficiency impair DNA repair synthesis? Does it disrupt POLE3/POLE4-mediated histone recycling, causing epigenetic instability?</w:t>
      </w:r>
    </w:p>
    <w:p>
      <w:pPr>
        <w:spacing w:after="120" w:line="264"/>
        <w:jc w:val="both"/>
      </w:pPr>
      <w:r>
        <w:rPr>
          <w:rFonts w:ascii="Arial" w:cs="Arial" w:eastAsia="Arial" w:hAnsi="Arial"/>
          <w:color w:val="2C3E50"/>
          <w:sz w:val="20"/>
          <w:szCs w:val="20"/>
        </w:rPr>
        <w:t xml:space="preserve">POLE3 and POLE4 function as histone H3-H4 chaperones maintaining epigenetic memory during replication. If c.138del disrupts holoenzyme assembly, impaired POLE3/POLE4 availability could cause epigenetic instability rather than mutagenesis — explaining non-cancer features (endometriosis, PASH, duplicated IVC). Mouse models with POLE3/POLE4 loss show heterochromatin defects.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Experiment</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Heterochromatin integrity</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ChIP-seq for H3K9me3 and H3K27me3</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Genome-wide heterochromatin map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Chromatin accessibility</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ATAC-seq in patient-derived cells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Global chromatin architecture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Replisome stability</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DNA fiber assays (CldU/IdU)</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Fork speed, symmetry, origin firing</w:t>
            </w:r>
          </w:p>
        </w:tc>
      </w:tr>
    </w:tbl>
    <w:p>
      <w:pPr>
        <w:spacing w:after="40"/>
      </w:pPr>
    </w:p>
    <w:p>
      <w:pPr>
        <w:pStyle w:val="Heading2"/>
        <w:spacing w:after="150" w:before="300"/>
      </w:pPr>
      <w:r>
        <w:rPr>
          <w:rFonts w:ascii="Georgia" w:cs="Georgia" w:eastAsia="Georgia" w:hAnsi="Georgia"/>
          <w:b/>
          <w:bCs/>
          <w:color w:val="0E6655"/>
          <w:sz w:val="25"/>
          <w:szCs w:val="25"/>
        </w:rPr>
        <w:t xml:space="preserve">3. Innate Immune Activation: cGAS-STING Pathway</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Is cGAS-STING constitutively activated from replication stress? Does chronic STING activation drive the inflammatory features?</w:t>
      </w:r>
    </w:p>
    <w:p>
      <w:pPr>
        <w:spacing w:after="120" w:line="264"/>
        <w:jc w:val="both"/>
      </w:pPr>
      <w:r>
        <w:rPr>
          <w:rFonts w:ascii="Arial" w:cs="Arial" w:eastAsia="Arial" w:hAnsi="Arial"/>
          <w:color w:val="2C3E50"/>
          <w:sz w:val="20"/>
          <w:szCs w:val="20"/>
        </w:rPr>
        <w:t xml:space="preserve">Cytoplasmic DNA from replication stress activates cGAS-STING, producing type I interferon signaling. If constitutive in non-tumor cells, this could explain chronic gastritis, endometriosis, and friable rectal mucosa. Therapeutic implication: STING agonists may be contraindicated if already activated.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cGAMP quantification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ELISA or LC-MS/MS on serum/PBMCs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Innate immune activation level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ISG expression panel</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RT-qPCR for ISG15, MX1, IFIT1, OAS1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Type I interferon pathway status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Phospho-STING</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Western blot for pSTING (Ser366), pTBK1 (Ser172)</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Direct pathway engagement</w:t>
            </w:r>
          </w:p>
        </w:tc>
      </w:tr>
    </w:tbl>
    <w:p>
      <w:pPr>
        <w:spacing w:after="40"/>
      </w:pPr>
    </w:p>
    <w:p>
      <w:pPr>
        <w:pStyle w:val="Heading2"/>
        <w:spacing w:after="150" w:before="300"/>
      </w:pPr>
      <w:r>
        <w:rPr>
          <w:rFonts w:ascii="Georgia" w:cs="Georgia" w:eastAsia="Georgia" w:hAnsi="Georgia"/>
          <w:b/>
          <w:bCs/>
          <w:color w:val="0E6655"/>
          <w:sz w:val="25"/>
          <w:szCs w:val="25"/>
        </w:rPr>
        <w:t xml:space="preserve">4. Telomere Biology</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Are telomeres shortened? Does POLE haploinsufficiency cause telomere-specific replication stress?</w:t>
      </w:r>
    </w:p>
    <w:p>
      <w:pPr>
        <w:spacing w:after="120" w:line="264"/>
        <w:jc w:val="both"/>
      </w:pPr>
      <w:r>
        <w:rPr>
          <w:rFonts w:ascii="Arial" w:cs="Arial" w:eastAsia="Arial" w:hAnsi="Arial"/>
          <w:color w:val="2C3E50"/>
          <w:sz w:val="20"/>
          <w:szCs w:val="20"/>
        </w:rPr>
        <w:t xml:space="preserve">Telomeric G-quadruplexes stall replication forks. If reduced POLE dosage makes telomere replication rate-limiting, accelerated attrition would compound cancer risk. Testable via clinical-grade FlowFISH assay.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Telomere length</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FlowFISH on peripheral blood lymphocytes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Age-adjusted telomere length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Telomere dysfunction foci</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Co-IF of telomeric FISH + γH2AX/53BP1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Telomere-specific replication stress</w:t>
            </w:r>
          </w:p>
        </w:tc>
      </w:tr>
    </w:tbl>
    <w:p>
      <w:pPr>
        <w:spacing w:after="40"/>
      </w:pPr>
    </w:p>
    <w:p>
      <w:pPr>
        <w:pStyle w:val="Heading2"/>
        <w:spacing w:after="150" w:before="300"/>
      </w:pPr>
      <w:r>
        <w:rPr>
          <w:rFonts w:ascii="Georgia" w:cs="Georgia" w:eastAsia="Georgia" w:hAnsi="Georgia"/>
          <w:b/>
          <w:bCs/>
          <w:color w:val="0E6655"/>
          <w:sz w:val="25"/>
          <w:szCs w:val="25"/>
        </w:rPr>
        <w:t xml:space="preserve">5. R-Loop Biology and Transcription-Replication Conflicts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slower fork progression from POLE haploinsufficiency increase R-loop accumulation? Are R-loops enriched at estrogen-responsive genes?</w:t>
      </w:r>
    </w:p>
    <w:p>
      <w:pPr>
        <w:spacing w:after="120" w:line="264"/>
        <w:jc w:val="both"/>
      </w:pPr>
      <w:r>
        <w:rPr>
          <w:rFonts w:ascii="Arial" w:cs="Arial" w:eastAsia="Arial" w:hAnsi="Arial"/>
          <w:color w:val="2C3E50"/>
          <w:sz w:val="20"/>
          <w:szCs w:val="20"/>
        </w:rPr>
        <w:t xml:space="preserve">Persistent R-loops cause DNA damage and activate ATR-CHK1 — directly linking POLE dosage to the checkpoint dependency exploited by synthetic lethality. R-loop accumulation at estrogen-responsive genes in endometrium would mechanistically connect POLE haploinsufficiency to severe endometriosis.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Global R-loop burden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S9.6 antibody immunofluorescence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Genome-wide R-loop quantification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R-loop genomic mapping</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DRIP-seq</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Locus-specific R-loop distribution</w:t>
            </w:r>
          </w:p>
        </w:tc>
      </w:tr>
    </w:tbl>
    <w:p>
      <w:pPr>
        <w:spacing w:after="40"/>
      </w:pPr>
    </w:p>
    <w:p>
      <w:pPr>
        <w:pStyle w:val="Heading2"/>
        <w:spacing w:after="150" w:before="300"/>
      </w:pPr>
      <w:r>
        <w:rPr>
          <w:rFonts w:ascii="Georgia" w:cs="Georgia" w:eastAsia="Georgia" w:hAnsi="Georgia"/>
          <w:b/>
          <w:bCs/>
          <w:color w:val="0E6655"/>
          <w:sz w:val="25"/>
          <w:szCs w:val="25"/>
        </w:rPr>
        <w:t xml:space="preserve">6. Translesion Synthesis Pathway Interactions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POLE haploinsufficiency shift balance toward error-prone TLS polymerases? Are TLS signatures detectable in the tumor?</w:t>
      </w:r>
    </w:p>
    <w:p>
      <w:pPr>
        <w:spacing w:after="120" w:line="264"/>
        <w:jc w:val="both"/>
      </w:pPr>
      <w:r>
        <w:rPr>
          <w:rFonts w:ascii="Arial" w:cs="Arial" w:eastAsia="Arial" w:hAnsi="Arial"/>
          <w:color w:val="2C3E50"/>
          <w:sz w:val="20"/>
          <w:szCs w:val="20"/>
        </w:rPr>
        <w:t xml:space="preserve">Increased fork stalling leads to TLS polymerase recruitment (Polη, Polκ, Polζ, Rev1). TLS-mediated mutagenesis has distinct signatures from POLE proofreading failure — their presence would indicate a compound mutational process.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TLS polymerase expression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RT-qPCR/western for REV1, REV3L, POLH, POLK</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Compensatory TLS upregulation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PCNA ubiquitination</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Western blot for monoUb-PCNA (K164)</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TLS pathway activation</w:t>
            </w:r>
          </w:p>
        </w:tc>
      </w:tr>
    </w:tbl>
    <w:p>
      <w:pPr>
        <w:spacing w:after="40"/>
      </w:pPr>
    </w:p>
    <w:p>
      <w:pPr>
        <w:pStyle w:val="Heading2"/>
        <w:spacing w:after="150" w:before="300"/>
      </w:pPr>
      <w:r>
        <w:rPr>
          <w:rFonts w:ascii="Georgia" w:cs="Georgia" w:eastAsia="Georgia" w:hAnsi="Georgia"/>
          <w:b/>
          <w:bCs/>
          <w:color w:val="0E6655"/>
          <w:sz w:val="25"/>
          <w:szCs w:val="25"/>
        </w:rPr>
        <w:t xml:space="preserve">7. Hormonal Interactions with POLE Function</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estrogen regulate POLE expression? Would hormonal suppression reduce endometrial mutation accumulation?</w:t>
      </w:r>
    </w:p>
    <w:p>
      <w:pPr>
        <w:spacing w:after="120" w:line="264"/>
        <w:jc w:val="both"/>
      </w:pPr>
      <w:r>
        <w:rPr>
          <w:rFonts w:ascii="Arial" w:cs="Arial" w:eastAsia="Arial" w:hAnsi="Arial"/>
          <w:color w:val="2C3E50"/>
          <w:sz w:val="20"/>
          <w:szCs w:val="20"/>
        </w:rPr>
        <w:t xml:space="preserve">The endometrium undergoes estrogen-driven proliferation monthly. If POLE expression is hormonally responsive, haploinsufficiency would be most consequential during the proliferative phase. This could explain endometrial vulnerability in PPAP and the severe endometriosis. Testable via POLE promoter ERE analysis using ENCODE ChIP-seq data (computationally achievable 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Analysis</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POLE promoter ERE scan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Bioinformatic analysis + ENCODE ERα ChIP-seq</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Hormonal regulation evidence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Estrogen-responsive POLE expression</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RT-qPCR in endometrial cell lines + estradiol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POLE estrogen responsiveness</w:t>
            </w:r>
          </w:p>
        </w:tc>
      </w:tr>
    </w:tbl>
    <w:p>
      <w:pPr>
        <w:spacing w:after="40"/>
      </w:pPr>
    </w:p>
    <w:p>
      <w:pPr>
        <w:pStyle w:val="Heading2"/>
        <w:spacing w:after="150" w:before="300"/>
      </w:pPr>
      <w:r>
        <w:rPr>
          <w:rFonts w:ascii="Georgia" w:cs="Georgia" w:eastAsia="Georgia" w:hAnsi="Georgia"/>
          <w:b/>
          <w:bCs/>
          <w:color w:val="0E6655"/>
          <w:sz w:val="25"/>
          <w:szCs w:val="25"/>
        </w:rPr>
        <w:t xml:space="preserve">8. Mitochondrial DNA and Oxidative Stress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elevated nuclear mutagenesis damage nuclear-encoded mitochondrial genes? Does resulting ROS create a feed-forward mutagenic loop?</w:t>
      </w:r>
    </w:p>
    <w:p>
      <w:pPr>
        <w:spacing w:after="120" w:line="264"/>
        <w:jc w:val="both"/>
      </w:pPr>
      <w:r>
        <w:rPr>
          <w:rFonts w:ascii="Arial" w:cs="Arial" w:eastAsia="Arial" w:hAnsi="Arial"/>
          <w:color w:val="2C3E50"/>
          <w:sz w:val="20"/>
          <w:szCs w:val="20"/>
        </w:rPr>
        <w:t xml:space="preserve">POLE doesn’t replicate mtDNA, but elevated nuclear mutations in ~1,500 nuclear-encoded mitochondrial genes could impair oxidative phosphorylation, increase ROS, and amplify DNA damage through a feed-forward loop.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Mitochondrial function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Seahorse XF Analyzer (OCR, ECAR)</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Oxidative phosphorylation status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ROS levels</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MitoSOX Red / CellROX flow cytometry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Oxidative stress burden</w:t>
            </w:r>
          </w:p>
        </w:tc>
      </w:tr>
    </w:tbl>
    <w:p>
      <w:pPr>
        <w:spacing w:after="40"/>
      </w:pPr>
    </w:p>
    <w:p>
      <w:pPr>
        <w:pStyle w:val="Heading2"/>
        <w:spacing w:after="150" w:before="300"/>
      </w:pPr>
      <w:r>
        <w:rPr>
          <w:rFonts w:ascii="Georgia" w:cs="Georgia" w:eastAsia="Georgia" w:hAnsi="Georgia"/>
          <w:b/>
          <w:bCs/>
          <w:color w:val="0E6655"/>
          <w:sz w:val="25"/>
          <w:szCs w:val="25"/>
        </w:rPr>
        <w:t xml:space="preserve">9. CMMRD as a Comparator Syndrome</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Which phenotypic features are POLE-specific vs. generic consequences of ultra-hypermutation?</w:t>
      </w:r>
    </w:p>
    <w:p>
      <w:pPr>
        <w:spacing w:after="120" w:line="264"/>
        <w:jc w:val="both"/>
      </w:pPr>
      <w:r>
        <w:rPr>
          <w:rFonts w:ascii="Arial" w:cs="Arial" w:eastAsia="Arial" w:hAnsi="Arial"/>
          <w:color w:val="2C3E50"/>
          <w:sz w:val="20"/>
          <w:szCs w:val="20"/>
        </w:rPr>
        <w:t xml:space="preserve">CMMRD (biallelic MMR mutations) also produces TMB &gt;100. Comparing phenotypes distinguishes POLE-specific biology from generic hypermutation. Thyroid carcinoma, endometriosis, and duplicated IVC have not been reported in CMMRD — suggesting they reflect POLE-specific mechanisms.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524"/>
        <w:gridCol w:w="3524"/>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CMMRD</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This POLE Case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GI polyposis/CRC</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Present</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Present (~15 polyps)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Brain tumors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Present</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Not reported</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Thyroid carcinoma</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Not reported</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Stage II papillary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Severe endometriosis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Not reported</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Stage IV+ deep infiltrating</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Congenital vascular anomaly</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Not reported</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Duplicated IVC</w:t>
            </w:r>
          </w:p>
        </w:tc>
      </w:tr>
    </w:tbl>
    <w:p>
      <w:pPr>
        <w:spacing w:after="40"/>
      </w:pPr>
    </w:p>
    <w:p>
      <w:pPr>
        <w:pStyle w:val="Heading2"/>
        <w:spacing w:after="150" w:before="300"/>
      </w:pPr>
      <w:r>
        <w:rPr>
          <w:rFonts w:ascii="Georgia" w:cs="Georgia" w:eastAsia="Georgia" w:hAnsi="Georgia"/>
          <w:b/>
          <w:bCs/>
          <w:color w:val="0E6655"/>
          <w:sz w:val="25"/>
          <w:szCs w:val="25"/>
        </w:rPr>
        <w:t xml:space="preserve">10. Structural Variant and Copy Number Landscape</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the tumor have the typical POLE-mutant copy number profile (stable)? Are there chromothripsis or kataegis events?</w:t>
      </w:r>
    </w:p>
    <w:p>
      <w:pPr>
        <w:spacing w:after="120" w:line="264"/>
        <w:jc w:val="both"/>
      </w:pPr>
      <w:r>
        <w:rPr>
          <w:rFonts w:ascii="Arial" w:cs="Arial" w:eastAsia="Arial" w:hAnsi="Arial"/>
          <w:color w:val="2C3E50"/>
          <w:sz w:val="20"/>
          <w:szCs w:val="20"/>
        </w:rPr>
        <w:t xml:space="preserve">POLE-mutant tumors are typically copy-number stable. Different patterns would indicate additional mutational processes. The LOH mechanism itself would produce specific copy number signatures.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Analysis</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Allele-specific copy number</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ASCAT, Sequenza, FACETS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Genome-wide CN and LOH map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Chromothripsis/kataegis</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ShatterSeek, SigProfiler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Catastrophic rearrangements, localized hypermutation</w:t>
            </w:r>
          </w:p>
        </w:tc>
      </w:tr>
    </w:tbl>
    <w:p>
      <w:pPr>
        <w:spacing w:after="40"/>
      </w:pPr>
    </w:p>
    <w:p>
      <w:pPr>
        <w:pStyle w:val="Heading2"/>
        <w:spacing w:after="150" w:before="300"/>
      </w:pPr>
      <w:r>
        <w:rPr>
          <w:rFonts w:ascii="Georgia" w:cs="Georgia" w:eastAsia="Georgia" w:hAnsi="Georgia"/>
          <w:b/>
          <w:bCs/>
          <w:color w:val="0E6655"/>
          <w:sz w:val="25"/>
          <w:szCs w:val="25"/>
        </w:rPr>
        <w:t xml:space="preserve">11. Multi-Polyp Genomics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 different polyps show independent LOH events (different breakpoints)? Do they carry different mutational signatures?</w:t>
      </w:r>
    </w:p>
    <w:p>
      <w:pPr>
        <w:spacing w:after="120" w:line="264"/>
        <w:jc w:val="both"/>
      </w:pPr>
      <w:r>
        <w:rPr>
          <w:rFonts w:ascii="Arial" w:cs="Arial" w:eastAsia="Arial" w:hAnsi="Arial"/>
          <w:color w:val="2C3E50"/>
          <w:sz w:val="20"/>
          <w:szCs w:val="20"/>
        </w:rPr>
        <w:t xml:space="preserve">Each of ~15 polyps is an independent clonal expansion. If LOH is present in some but absent in others, multiple concurrent pathogenic mechanisms operate. This would be the most definitive experiment for discriminating the mechanistic models.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Experiment</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Multi-polyp LOH comparison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Low-coverage WGS from multiple FFPE polyps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Independent vs. shared LOH events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Per-polyp signatures</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Signature decomposition per specimen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Mechanistic diversity across lesions</w:t>
            </w:r>
          </w:p>
        </w:tc>
      </w:tr>
    </w:tbl>
    <w:p>
      <w:pPr>
        <w:spacing w:after="40"/>
      </w:pPr>
    </w:p>
    <w:p>
      <w:pPr>
        <w:pStyle w:val="Heading2"/>
        <w:spacing w:after="150" w:before="300"/>
      </w:pPr>
      <w:r>
        <w:rPr>
          <w:rFonts w:ascii="Georgia" w:cs="Georgia" w:eastAsia="Georgia" w:hAnsi="Georgia"/>
          <w:b/>
          <w:bCs/>
          <w:color w:val="0E6655"/>
          <w:sz w:val="25"/>
          <w:szCs w:val="25"/>
        </w:rPr>
        <w:t xml:space="preserve">12. Epigenomics Beyond Methylation</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Is H3K36me3 (which recruits MutSα for MMR) disrupted? Are transposable elements reactivated?</w:t>
      </w:r>
    </w:p>
    <w:p>
      <w:pPr>
        <w:spacing w:after="120" w:line="264"/>
        <w:jc w:val="both"/>
      </w:pPr>
      <w:r>
        <w:rPr>
          <w:rFonts w:ascii="Arial" w:cs="Arial" w:eastAsia="Arial" w:hAnsi="Arial"/>
          <w:color w:val="2C3E50"/>
          <w:sz w:val="20"/>
          <w:szCs w:val="20"/>
        </w:rPr>
        <w:t xml:space="preserve">H3K36me3 disruption could indirectly impair MMR without MMR gene mutations — creating a compound fidelity deficit explaining ultra-hypermutation. LINE-1/Alu derepression from heterochromatin loss would produce insertional mutagenesis distinct from point mutations.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Histone modification profiling</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CUT&amp;RUN/CUT&amp;Tag for H3K36me3, H3K9me3, H3K27me3</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Epigenetic landscape map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LINE-1 activity</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ORF1p IHC; retrotransposon insertion detection in WGS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Transposable element reactivation</w:t>
            </w:r>
          </w:p>
        </w:tc>
      </w:tr>
    </w:tbl>
    <w:p>
      <w:pPr>
        <w:spacing w:after="40"/>
      </w:pPr>
    </w:p>
    <w:p>
      <w:pPr>
        <w:pStyle w:val="Heading2"/>
        <w:spacing w:after="150" w:before="300"/>
      </w:pPr>
      <w:r>
        <w:rPr>
          <w:rFonts w:ascii="Georgia" w:cs="Georgia" w:eastAsia="Georgia" w:hAnsi="Georgia"/>
          <w:b/>
          <w:bCs/>
          <w:color w:val="0E6655"/>
          <w:sz w:val="25"/>
          <w:szCs w:val="25"/>
        </w:rPr>
        <w:t xml:space="preserve">13. Pharmacogenomics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 CYP genotypes affect ATR inhibitor/ICI metabolism? What HLA alleles determine neoantigen presentation?</w:t>
      </w:r>
    </w:p>
    <w:p>
      <w:pPr>
        <w:spacing w:after="120" w:line="264"/>
        <w:jc w:val="both"/>
      </w:pPr>
      <w:r>
        <w:rPr>
          <w:rFonts w:ascii="Arial" w:cs="Arial" w:eastAsia="Arial" w:hAnsi="Arial"/>
          <w:color w:val="2C3E50"/>
          <w:sz w:val="20"/>
          <w:szCs w:val="20"/>
        </w:rPr>
        <w:t xml:space="preserve">All extractable from existing germline WGS. HLA type determines which neoantigens can be presented to CD8+ T cells. CYP3A4/2D6 status affects drug dosing. Immune checkpoint polymorphisms (PDCD1, CTLA4) may predict ICI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 Type</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Application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CYP genotyping</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Germline WGS extraction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Drug dose optimization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HLA typing</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OptiType/HLA-HD from WGS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Neoantigen prediction input (NetMHCpan, pVACseq)</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Checkpoint polymorphisms</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PDCD1, CD274, CTLA4, LAG3 from WGS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ICI response prediction</w:t>
            </w:r>
          </w:p>
        </w:tc>
      </w:tr>
    </w:tbl>
    <w:p>
      <w:pPr>
        <w:spacing w:after="40"/>
      </w:pPr>
    </w:p>
    <w:p>
      <w:pPr>
        <w:pStyle w:val="Heading2"/>
        <w:spacing w:after="150" w:before="300"/>
      </w:pPr>
      <w:r>
        <w:rPr>
          <w:rFonts w:ascii="Georgia" w:cs="Georgia" w:eastAsia="Georgia" w:hAnsi="Georgia"/>
          <w:b/>
          <w:bCs/>
          <w:color w:val="0E6655"/>
          <w:sz w:val="25"/>
          <w:szCs w:val="25"/>
        </w:rPr>
        <w:t xml:space="preserve">14. Microbiome Interactions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Has POLE-driven colonic mutagenesis altered the gut microbiome? Does baseline microbiome predict ICI response?</w:t>
      </w:r>
    </w:p>
    <w:p>
      <w:pPr>
        <w:spacing w:after="120" w:line="264"/>
        <w:jc w:val="both"/>
      </w:pPr>
      <w:r>
        <w:rPr>
          <w:rFonts w:ascii="Arial" w:cs="Arial" w:eastAsia="Arial" w:hAnsi="Arial"/>
          <w:color w:val="2C3E50"/>
          <w:sz w:val="20"/>
          <w:szCs w:val="20"/>
        </w:rPr>
        <w:t xml:space="preserve">Altered colonocyte mutagenesis could change surface proteins, mucin secretion, and tight junctions. Specific species (Akkermansia, Bifidobacterium) predict ICI response. The ~15 polyps and mucosal inflammation may already have altered microbial ecology.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Gut microbiome</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16S rRNA or shotgun metagenomics from stool</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Species-level profile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Mucosal microbiome</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16S from polyp biopsy + adjacent normal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Lesion-associated changes</w:t>
            </w:r>
          </w:p>
        </w:tc>
      </w:tr>
    </w:tbl>
    <w:p>
      <w:pPr>
        <w:spacing w:after="40"/>
      </w:pPr>
    </w:p>
    <w:p>
      <w:pPr>
        <w:pStyle w:val="Heading2"/>
        <w:spacing w:after="150" w:before="300"/>
      </w:pPr>
      <w:r>
        <w:rPr>
          <w:rFonts w:ascii="Georgia" w:cs="Georgia" w:eastAsia="Georgia" w:hAnsi="Georgia"/>
          <w:b/>
          <w:bCs/>
          <w:color w:val="0E6655"/>
          <w:sz w:val="25"/>
          <w:szCs w:val="25"/>
        </w:rPr>
        <w:t xml:space="preserve">15. Radiation Sensitivity</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Are POLE-haploinsufficient cells more radiosensitive due to impaired repair synthesis?</w:t>
      </w:r>
    </w:p>
    <w:p>
      <w:pPr>
        <w:spacing w:after="120" w:line="264"/>
        <w:jc w:val="both"/>
      </w:pPr>
      <w:r>
        <w:rPr>
          <w:rFonts w:ascii="Arial" w:cs="Arial" w:eastAsia="Arial" w:hAnsi="Arial"/>
          <w:color w:val="2C3E50"/>
          <w:sz w:val="20"/>
          <w:szCs w:val="20"/>
        </w:rPr>
        <w:t xml:space="preserve">Clinically relevant for thyroid cancer treatment. If haploinsufficient cells have reduced repair synthesis, lower radiation doses may achieve tumor control but with increased normal tissue toxicity risk.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Radiosensitivity</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Clonogenic survival assay (0–8 Gy) in patient fibroblasts vs. controls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Survival curve with radiosensitivity index</w:t>
            </w:r>
          </w:p>
        </w:tc>
      </w:tr>
    </w:tbl>
    <w:p>
      <w:pPr>
        <w:spacing w:after="40"/>
      </w:pPr>
    </w:p>
    <w:p>
      <w:pPr>
        <w:pStyle w:val="Heading2"/>
        <w:spacing w:after="150" w:before="300"/>
      </w:pPr>
      <w:r>
        <w:rPr>
          <w:rFonts w:ascii="Georgia" w:cs="Georgia" w:eastAsia="Georgia" w:hAnsi="Georgia"/>
          <w:b/>
          <w:bCs/>
          <w:color w:val="0E6655"/>
          <w:sz w:val="25"/>
          <w:szCs w:val="25"/>
        </w:rPr>
        <w:t xml:space="preserve">16. Long-Read Sequencing Applications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Can long-read sequencing phase the POLE locus haplotype? Can direct RNA-seq detect NMD escape and full isoform landscape?</w:t>
      </w:r>
    </w:p>
    <w:p>
      <w:pPr>
        <w:spacing w:after="120" w:line="264"/>
        <w:jc w:val="both"/>
      </w:pPr>
      <w:r>
        <w:rPr>
          <w:rFonts w:ascii="Arial" w:cs="Arial" w:eastAsia="Arial" w:hAnsi="Arial"/>
          <w:color w:val="2C3E50"/>
          <w:sz w:val="20"/>
          <w:szCs w:val="20"/>
        </w:rPr>
        <w:t xml:space="preserve">Short-read sequencing cannot phase haplotypes across long distances. Oxford Nanopore provides phased alleles, direct methylation calling per allele (testing wild-type silencing), and NMD escape quantification without RT bias.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Application</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Haplotype phasing</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ONT/PacBio HiFi targeted sequencing</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Phased allele structure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Direct promoter methylation</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ONT native 5mC detection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Per-allele methylation status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Full-length transcripts</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ONT direct RNA-seq</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Complete isoform catalog, NMD escape</w:t>
            </w:r>
          </w:p>
        </w:tc>
      </w:tr>
    </w:tbl>
    <w:p>
      <w:pPr>
        <w:spacing w:after="40"/>
      </w:pPr>
    </w:p>
    <w:p>
      <w:pPr>
        <w:pStyle w:val="Heading2"/>
        <w:spacing w:after="150" w:before="300"/>
      </w:pPr>
      <w:r>
        <w:rPr>
          <w:rFonts w:ascii="Georgia" w:cs="Georgia" w:eastAsia="Georgia" w:hAnsi="Georgia"/>
          <w:b/>
          <w:bCs/>
          <w:color w:val="0E6655"/>
          <w:sz w:val="25"/>
          <w:szCs w:val="25"/>
        </w:rPr>
        <w:t xml:space="preserve">17. Ferroptosis Susceptibility</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Are POLE-haploinsufficient cells sensitized to ferroptosis (iron-dependent lipid peroxidation cell death)?</w:t>
      </w:r>
    </w:p>
    <w:p>
      <w:pPr>
        <w:spacing w:after="120" w:line="264"/>
        <w:jc w:val="both"/>
      </w:pPr>
      <w:r>
        <w:rPr>
          <w:rFonts w:ascii="Arial" w:cs="Arial" w:eastAsia="Arial" w:hAnsi="Arial"/>
          <w:color w:val="2C3E50"/>
          <w:sz w:val="20"/>
          <w:szCs w:val="20"/>
        </w:rPr>
        <w:t xml:space="preserve">Replication stress connects to ferroptosis through altered lipid metabolism. If POLE deficiency sensitizes cells, GPX4 inhibitors or erastin-class agents represent an additional therapeutic modality.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Ferroptosis sensitivity</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Viability after erastin/RSL3; rescue by ferrostatin-1</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Ferroptosis vulnerability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Lipid peroxidation</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C11-BODIPY flow cytometry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Lipid ROS levels</w:t>
            </w:r>
          </w:p>
        </w:tc>
      </w:tr>
    </w:tbl>
    <w:p>
      <w:pPr>
        <w:spacing w:after="40"/>
      </w:pPr>
    </w:p>
    <w:p>
      <w:pPr>
        <w:pStyle w:val="Heading2"/>
        <w:spacing w:after="150" w:before="300"/>
      </w:pPr>
      <w:r>
        <w:rPr>
          <w:rFonts w:ascii="Georgia" w:cs="Georgia" w:eastAsia="Georgia" w:hAnsi="Georgia"/>
          <w:b/>
          <w:bCs/>
          <w:color w:val="0E6655"/>
          <w:sz w:val="25"/>
          <w:szCs w:val="25"/>
        </w:rPr>
        <w:t xml:space="preserve">18. Replication Fork Proteomics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Is the replisome composition altered at active forks in POLE-haploinsufficient cells?</w:t>
      </w:r>
    </w:p>
    <w:p>
      <w:pPr>
        <w:spacing w:after="120" w:line="264"/>
        <w:jc w:val="both"/>
      </w:pPr>
      <w:r>
        <w:rPr>
          <w:rFonts w:ascii="Arial" w:cs="Arial" w:eastAsia="Arial" w:hAnsi="Arial"/>
          <w:color w:val="2C3E50"/>
          <w:sz w:val="20"/>
          <w:szCs w:val="20"/>
        </w:rPr>
        <w:t xml:space="preserve">POLE is a structural replisome component. Reduced occupancy could destabilize the entire complex. iPOND-MS reveals actual protein composition at active forks — testing whether error-prone polymerases are recruited or checkpoint proteins are altered.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Fork proteomics</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iPOND-MS or NCC-MS in haploinsufficient vs. WT cells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Quantitative replisome composition map</w:t>
            </w:r>
          </w:p>
        </w:tc>
      </w:tr>
    </w:tbl>
    <w:p>
      <w:pPr>
        <w:spacing w:after="40"/>
      </w:pPr>
    </w:p>
    <w:p>
      <w:pPr>
        <w:pStyle w:val="Heading2"/>
        <w:spacing w:after="150" w:before="300"/>
      </w:pPr>
      <w:r>
        <w:rPr>
          <w:rFonts w:ascii="Georgia" w:cs="Georgia" w:eastAsia="Georgia" w:hAnsi="Georgia"/>
          <w:b/>
          <w:bCs/>
          <w:color w:val="0E6655"/>
          <w:sz w:val="25"/>
          <w:szCs w:val="25"/>
        </w:rPr>
        <w:t xml:space="preserve">19. Senescence and Aging Markers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POLE haploinsufficiency accelerate subclinical senescence? Is the SASP elevated, driving systemic inflammation?</w:t>
      </w:r>
    </w:p>
    <w:p>
      <w:pPr>
        <w:spacing w:after="120" w:line="264"/>
        <w:jc w:val="both"/>
      </w:pPr>
      <w:r>
        <w:rPr>
          <w:rFonts w:ascii="Arial" w:cs="Arial" w:eastAsia="Arial" w:hAnsi="Arial"/>
          <w:color w:val="2C3E50"/>
          <w:sz w:val="20"/>
          <w:szCs w:val="20"/>
        </w:rPr>
        <w:t xml:space="preserve">Robinson et al. noted no overt premature aging despite elevated mutations. But subclinical senescence (SA-β-gal, p16, SASP) has not been assessed. Elevated SASP would create pro-inflammatory microenvironment contributing to endometriosis and chronic gastritis.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Senescence markers</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SA-β-gal staining; p16/p21 expression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Cellular senescence burden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SASP quantification</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Multiplex ELISA for IL-6, IL-8, MMP3, PAI-1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Secretory phenotype activation</w:t>
            </w:r>
          </w:p>
        </w:tc>
      </w:tr>
    </w:tbl>
    <w:p>
      <w:pPr>
        <w:spacing w:after="40"/>
      </w:pPr>
    </w:p>
    <w:p>
      <w:pPr>
        <w:pStyle w:val="Heading2"/>
        <w:spacing w:after="150" w:before="300"/>
      </w:pPr>
      <w:r>
        <w:rPr>
          <w:rFonts w:ascii="Georgia" w:cs="Georgia" w:eastAsia="Georgia" w:hAnsi="Georgia"/>
          <w:b/>
          <w:bCs/>
          <w:color w:val="0E6655"/>
          <w:sz w:val="25"/>
          <w:szCs w:val="25"/>
        </w:rPr>
        <w:t xml:space="preserve">20. Cell-Free DNA Fragmentomics</w:t>
      </w:r>
    </w:p>
    <w:p>
      <w:pPr>
        <w:spacing w:after="120" w:line="264"/>
        <w:jc w:val="both"/>
      </w:pPr>
      <w:r>
        <w:rPr>
          <w:rFonts w:ascii="Arial" w:cs="Arial" w:eastAsia="Arial" w:hAnsi="Arial"/>
          <w:b/>
          <w:bCs/>
          <w:color w:val="0E6655"/>
          <w:sz w:val="20"/>
          <w:szCs w:val="20"/>
        </w:rPr>
        <w:t xml:space="preserve">Questions: </w:t>
      </w:r>
      <w:r>
        <w:rPr>
          <w:rFonts w:ascii="Arial" w:cs="Arial" w:eastAsia="Arial" w:hAnsi="Arial"/>
          <w:color w:val="2C3E50"/>
          <w:sz w:val="20"/>
          <w:szCs w:val="20"/>
        </w:rPr>
        <w:t xml:space="preserve">Does POLE dysfunction alter chromatin organization detectable through cfDNA fragmentation? Can this serve as a biomarker?</w:t>
      </w:r>
    </w:p>
    <w:p>
      <w:pPr>
        <w:spacing w:after="120" w:line="264"/>
        <w:jc w:val="both"/>
      </w:pPr>
      <w:r>
        <w:rPr>
          <w:rFonts w:ascii="Arial" w:cs="Arial" w:eastAsia="Arial" w:hAnsi="Arial"/>
          <w:color w:val="2C3E50"/>
          <w:sz w:val="20"/>
          <w:szCs w:val="20"/>
        </w:rPr>
        <w:t xml:space="preserve">cfDNA retains fragmentation patterns reflecting chromatin structure. POLE3/POLE4 histone recycling defects could alter nucleosome positioning, producing distinctive fragment size distributions — a non-invasive liquid biopsy biomarker.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3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Assay</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Fragment size distribution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Shallow WGS of plasma cfDNA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Nucleosome positioning patterns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End-motif analysis</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Computational cfDNA end sequence analysis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Chromatin organization signature</w:t>
            </w:r>
          </w:p>
        </w:tc>
      </w:tr>
    </w:tbl>
    <w:p>
      <w:pPr>
        <w:spacing w:after="40"/>
      </w:pPr>
    </w:p>
    <w:p>
      <w:r>
        <w:br w:type="page"/>
      </w:r>
    </w:p>
    <w:p>
      <w:pPr>
        <w:spacing w:after="100" w:before="200"/>
        <w:jc w:val="center"/>
      </w:pPr>
      <w:r>
        <w:rPr>
          <w:rFonts w:ascii="Arial" w:cs="Arial" w:eastAsia="Arial" w:hAnsi="Arial"/>
          <w:b/>
          <w:bCs/>
          <w:color w:val="0E6655"/>
          <w:sz w:val="22"/>
          <w:szCs w:val="22"/>
        </w:rPr>
        <w:t xml:space="preserve">PART IV</w:t>
      </w:r>
    </w:p>
    <w:p>
      <w:pPr>
        <w:pBdr>
          <w:bottom w:val="single" w:color="0E6655" w:sz="2" w:space="8"/>
        </w:pBdr>
        <w:spacing w:after="300"/>
        <w:jc w:val="center"/>
      </w:pPr>
      <w:r>
        <w:rPr>
          <w:rFonts w:ascii="Georgia" w:cs="Georgia" w:eastAsia="Georgia" w:hAnsi="Georgia"/>
          <w:b/>
          <w:bCs/>
          <w:color w:val="1B4F72"/>
          <w:sz w:val="28"/>
          <w:szCs w:val="28"/>
        </w:rPr>
        <w:t xml:space="preserve">Experimental Models, Prioritization, and References</w:t>
      </w:r>
    </w:p>
    <w:p>
      <w:pPr>
        <w:pStyle w:val="Heading1"/>
        <w:spacing w:after="200" w:before="400"/>
      </w:pPr>
      <w:r>
        <w:rPr>
          <w:rFonts w:ascii="Georgia" w:cs="Georgia" w:eastAsia="Georgia" w:hAnsi="Georgia"/>
          <w:b/>
          <w:bCs/>
          <w:color w:val="1B4F72"/>
          <w:sz w:val="30"/>
          <w:szCs w:val="30"/>
        </w:rPr>
        <w:t xml:space="preserve">7. Experimental Model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48"/>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5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Patient-derived organoids (tumor + normal)</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3–6 months</w:t>
            </w:r>
          </w:p>
        </w:tc>
        <w:tc>
          <w:tcPr>
            <w:tcW w:type="dxa" w:w="5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Drug screening (ICI, ATR/PARP/WRN inhibitors); signature dynamics; LOH timing</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Isogenic CRISPR cell lines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6–12 months</w:t>
            </w:r>
          </w:p>
        </w:tc>
        <w:tc>
          <w:tcPr>
            <w:tcW w:type="dxa" w:w="5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c.138del in RPE1-hTERT/HCT116/HAP1; parallel P286R/V411L panels; fluctuation assays, fiber assays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Conditional knock-in mouse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18–36 months</w:t>
            </w:r>
          </w:p>
        </w:tc>
        <w:tc>
          <w:tcPr>
            <w:tcW w:type="dxa" w:w="5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Cre-inducible murine equivalent; tissue-specific tumor spectrum; LOH requirement; cross with MMR-null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Computational / digital twin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3–6 months</w:t>
            </w:r>
          </w:p>
        </w:tc>
        <w:tc>
          <w:tcPr>
            <w:tcW w:type="dxa" w:w="52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Stochastic crypt dynamics: POLE dosage vs. mutation rate, LOH rates, clonal competition</w:t>
            </w:r>
          </w:p>
        </w:tc>
      </w:tr>
    </w:tbl>
    <w:p>
      <w:r>
        <w:br w:type="page"/>
      </w:r>
    </w:p>
    <w:p>
      <w:pPr>
        <w:pStyle w:val="Heading1"/>
        <w:spacing w:after="200" w:before="400"/>
      </w:pPr>
      <w:r>
        <w:rPr>
          <w:rFonts w:ascii="Georgia" w:cs="Georgia" w:eastAsia="Georgia" w:hAnsi="Georgia"/>
          <w:b/>
          <w:bCs/>
          <w:color w:val="1B4F72"/>
          <w:sz w:val="30"/>
          <w:szCs w:val="30"/>
        </w:rPr>
        <w:t xml:space="preserve">8. Unified Research Prioritization</w:t>
      </w:r>
    </w:p>
    <w:p>
      <w:pPr>
        <w:pStyle w:val="Heading2"/>
        <w:spacing w:after="150" w:before="300"/>
      </w:pPr>
      <w:r>
        <w:rPr>
          <w:rFonts w:ascii="Georgia" w:cs="Georgia" w:eastAsia="Georgia" w:hAnsi="Georgia"/>
          <w:b/>
          <w:bCs/>
          <w:color w:val="0E6655"/>
          <w:sz w:val="25"/>
          <w:szCs w:val="25"/>
        </w:rPr>
        <w:t xml:space="preserve">8.1 Immediate (0–3 months) — Tier 1</w:t>
      </w:r>
    </w:p>
    <w:p>
      <w:pPr>
        <w:spacing w:after="120" w:line="264"/>
        <w:jc w:val="both"/>
      </w:pPr>
      <w:r>
        <w:rPr>
          <w:rFonts w:ascii="Arial" w:cs="Arial" w:eastAsia="Arial" w:hAnsi="Arial"/>
          <w:color w:val="2C3E50"/>
          <w:sz w:val="20"/>
          <w:szCs w:val="20"/>
        </w:rPr>
        <w:t xml:space="preserve">Achievable with existing banked tissue, standard pipelines, computational tools, or standard clinical assays.</w:t>
      </w:r>
    </w:p>
    <w:p>
      <w:pPr>
        <w:pStyle w:val="ListParagraph"/>
        <w:numPr>
          <w:ilvl w:val="0"/>
          <w:numId w:val="3"/>
        </w:numPr>
        <w:spacing w:after="60" w:line="264"/>
      </w:pPr>
      <w:r>
        <w:rPr>
          <w:rFonts w:ascii="Arial" w:cs="Arial" w:eastAsia="Arial" w:hAnsi="Arial"/>
          <w:color w:val="2C3E50"/>
          <w:sz w:val="20"/>
          <w:szCs w:val="20"/>
        </w:rPr>
        <w:t xml:space="preserve">Paired tumor-normal WGS with LOH analysis at POLE locus (ASCAT/FACETS)</w:t>
      </w:r>
    </w:p>
    <w:p>
      <w:pPr>
        <w:pStyle w:val="ListParagraph"/>
        <w:numPr>
          <w:ilvl w:val="0"/>
          <w:numId w:val="3"/>
        </w:numPr>
        <w:spacing w:after="60" w:line="264"/>
      </w:pPr>
      <w:r>
        <w:rPr>
          <w:rFonts w:ascii="Arial" w:cs="Arial" w:eastAsia="Arial" w:hAnsi="Arial"/>
          <w:color w:val="2C3E50"/>
          <w:sz w:val="20"/>
          <w:szCs w:val="20"/>
        </w:rPr>
        <w:t xml:space="preserve">Mutational signature decomposition (SBS10a/b/28 vs. alternatives) via SigProfiler</w:t>
      </w:r>
    </w:p>
    <w:p>
      <w:pPr>
        <w:pStyle w:val="ListParagraph"/>
        <w:numPr>
          <w:ilvl w:val="0"/>
          <w:numId w:val="3"/>
        </w:numPr>
        <w:spacing w:after="60" w:line="264"/>
      </w:pPr>
      <w:r>
        <w:rPr>
          <w:rFonts w:ascii="Arial" w:cs="Arial" w:eastAsia="Arial" w:hAnsi="Arial"/>
          <w:color w:val="2C3E50"/>
          <w:sz w:val="20"/>
          <w:szCs w:val="20"/>
        </w:rPr>
        <w:t xml:space="preserve">Allele-specific expression from blood RNA (NMD escape test)</w:t>
      </w:r>
    </w:p>
    <w:p>
      <w:pPr>
        <w:pStyle w:val="ListParagraph"/>
        <w:numPr>
          <w:ilvl w:val="0"/>
          <w:numId w:val="3"/>
        </w:numPr>
        <w:spacing w:after="60" w:line="264"/>
      </w:pPr>
      <w:r>
        <w:rPr>
          <w:rFonts w:ascii="Arial" w:cs="Arial" w:eastAsia="Arial" w:hAnsi="Arial"/>
          <w:color w:val="2C3E50"/>
          <w:sz w:val="20"/>
          <w:szCs w:val="20"/>
        </w:rPr>
        <w:t xml:space="preserve">CHIP profiling and duplex sequencing (NanoSeq) of normal blood cells</w:t>
      </w:r>
    </w:p>
    <w:p>
      <w:pPr>
        <w:pStyle w:val="ListParagraph"/>
        <w:numPr>
          <w:ilvl w:val="0"/>
          <w:numId w:val="3"/>
        </w:numPr>
        <w:spacing w:after="60" w:line="264"/>
      </w:pPr>
      <w:r>
        <w:rPr>
          <w:rFonts w:ascii="Arial" w:cs="Arial" w:eastAsia="Arial" w:hAnsi="Arial"/>
          <w:color w:val="2C3E50"/>
          <w:sz w:val="20"/>
          <w:szCs w:val="20"/>
        </w:rPr>
        <w:t xml:space="preserve">Immunophenotyping, TCR repertoire sequencing, cytokine profiling</w:t>
      </w:r>
    </w:p>
    <w:p>
      <w:pPr>
        <w:pStyle w:val="ListParagraph"/>
        <w:numPr>
          <w:ilvl w:val="0"/>
          <w:numId w:val="3"/>
        </w:numPr>
        <w:spacing w:after="60" w:line="264"/>
      </w:pPr>
      <w:r>
        <w:rPr>
          <w:rFonts w:ascii="Arial" w:cs="Arial" w:eastAsia="Arial" w:hAnsi="Arial"/>
          <w:color w:val="2C3E50"/>
          <w:sz w:val="20"/>
          <w:szCs w:val="20"/>
        </w:rPr>
        <w:t xml:space="preserve">IHC for MMR proteins, MSI testing, MLH1 methylation analysis</w:t>
      </w:r>
    </w:p>
    <w:p>
      <w:pPr>
        <w:pStyle w:val="ListParagraph"/>
        <w:numPr>
          <w:ilvl w:val="0"/>
          <w:numId w:val="3"/>
        </w:numPr>
        <w:spacing w:after="60" w:line="264"/>
      </w:pPr>
      <w:r>
        <w:rPr>
          <w:rFonts w:ascii="Arial" w:cs="Arial" w:eastAsia="Arial" w:hAnsi="Arial"/>
          <w:color w:val="2C3E50"/>
          <w:sz w:val="20"/>
          <w:szCs w:val="20"/>
        </w:rPr>
        <w:t xml:space="preserve">Sequence context analysis: downstream AUG mapping, Kozak scoring, IRES prediction</w:t>
      </w:r>
    </w:p>
    <w:p>
      <w:pPr>
        <w:pStyle w:val="ListParagraph"/>
        <w:numPr>
          <w:ilvl w:val="0"/>
          <w:numId w:val="3"/>
        </w:numPr>
        <w:spacing w:after="60" w:line="264"/>
      </w:pPr>
      <w:r>
        <w:rPr>
          <w:rFonts w:ascii="Arial" w:cs="Arial" w:eastAsia="Arial" w:hAnsi="Arial"/>
          <w:color w:val="2C3E50"/>
          <w:sz w:val="20"/>
          <w:szCs w:val="20"/>
        </w:rPr>
        <w:t xml:space="preserve">POLE promoter ERE analysis (bioinformatic scan using ENCODE data)</w:t>
      </w:r>
    </w:p>
    <w:p>
      <w:pPr>
        <w:pStyle w:val="ListParagraph"/>
        <w:numPr>
          <w:ilvl w:val="0"/>
          <w:numId w:val="3"/>
        </w:numPr>
        <w:spacing w:after="60" w:line="264"/>
      </w:pPr>
      <w:r>
        <w:rPr>
          <w:rFonts w:ascii="Arial" w:cs="Arial" w:eastAsia="Arial" w:hAnsi="Arial"/>
          <w:color w:val="2C3E50"/>
          <w:sz w:val="20"/>
          <w:szCs w:val="20"/>
        </w:rPr>
        <w:t xml:space="preserve">CMMRD phenotype comparison (systematic literature review)</w:t>
      </w:r>
    </w:p>
    <w:p>
      <w:pPr>
        <w:pStyle w:val="ListParagraph"/>
        <w:numPr>
          <w:ilvl w:val="0"/>
          <w:numId w:val="3"/>
        </w:numPr>
        <w:spacing w:after="60" w:line="264"/>
      </w:pPr>
      <w:r>
        <w:rPr>
          <w:rFonts w:ascii="Arial" w:cs="Arial" w:eastAsia="Arial" w:hAnsi="Arial"/>
          <w:color w:val="2C3E50"/>
          <w:sz w:val="20"/>
          <w:szCs w:val="20"/>
        </w:rPr>
        <w:t xml:space="preserve">Telomere length (clinical-grade FlowFISH)</w:t>
      </w:r>
    </w:p>
    <w:p>
      <w:pPr>
        <w:pStyle w:val="ListParagraph"/>
        <w:numPr>
          <w:ilvl w:val="0"/>
          <w:numId w:val="3"/>
        </w:numPr>
        <w:spacing w:after="60" w:line="264"/>
      </w:pPr>
      <w:r>
        <w:rPr>
          <w:rFonts w:ascii="Arial" w:cs="Arial" w:eastAsia="Arial" w:hAnsi="Arial"/>
          <w:color w:val="2C3E50"/>
          <w:sz w:val="20"/>
          <w:szCs w:val="20"/>
        </w:rPr>
        <w:t xml:space="preserve">Pharmacogenomics extraction from germline WGS (CYP, HLA, checkpoint polymorphisms)</w:t>
      </w:r>
    </w:p>
    <w:p>
      <w:pPr>
        <w:pStyle w:val="Heading2"/>
        <w:spacing w:after="150" w:before="300"/>
      </w:pPr>
      <w:r>
        <w:rPr>
          <w:rFonts w:ascii="Georgia" w:cs="Georgia" w:eastAsia="Georgia" w:hAnsi="Georgia"/>
          <w:b/>
          <w:bCs/>
          <w:color w:val="0E6655"/>
          <w:sz w:val="25"/>
          <w:szCs w:val="25"/>
        </w:rPr>
        <w:t xml:space="preserve">8.2 Medium-Term (3–12 months) — Tier 2</w:t>
      </w:r>
    </w:p>
    <w:p>
      <w:pPr>
        <w:spacing w:after="120" w:line="264"/>
        <w:jc w:val="both"/>
      </w:pPr>
      <w:r>
        <w:rPr>
          <w:rFonts w:ascii="Arial" w:cs="Arial" w:eastAsia="Arial" w:hAnsi="Arial"/>
          <w:color w:val="2C3E50"/>
          <w:sz w:val="20"/>
          <w:szCs w:val="20"/>
        </w:rPr>
        <w:t xml:space="preserve">Requires living tissue, patient-derived cells, or specialized assays.</w:t>
      </w:r>
    </w:p>
    <w:p>
      <w:pPr>
        <w:pStyle w:val="ListParagraph"/>
        <w:numPr>
          <w:ilvl w:val="0"/>
          <w:numId w:val="3"/>
        </w:numPr>
        <w:spacing w:after="60" w:line="264"/>
      </w:pPr>
      <w:r>
        <w:rPr>
          <w:rFonts w:ascii="Arial" w:cs="Arial" w:eastAsia="Arial" w:hAnsi="Arial"/>
          <w:color w:val="2C3E50"/>
          <w:sz w:val="20"/>
          <w:szCs w:val="20"/>
        </w:rPr>
        <w:t xml:space="preserve">Ribosome profiling (Ribo-seq) and proteomics for aberrant POLE products</w:t>
      </w:r>
    </w:p>
    <w:p>
      <w:pPr>
        <w:pStyle w:val="ListParagraph"/>
        <w:numPr>
          <w:ilvl w:val="0"/>
          <w:numId w:val="3"/>
        </w:numPr>
        <w:spacing w:after="60" w:line="264"/>
      </w:pPr>
      <w:r>
        <w:rPr>
          <w:rFonts w:ascii="Arial" w:cs="Arial" w:eastAsia="Arial" w:hAnsi="Arial"/>
          <w:color w:val="2C3E50"/>
          <w:sz w:val="20"/>
          <w:szCs w:val="20"/>
        </w:rPr>
        <w:t xml:space="preserve">Patient-derived organoid establishment (tumor + normal)</w:t>
      </w:r>
    </w:p>
    <w:p>
      <w:pPr>
        <w:pStyle w:val="ListParagraph"/>
        <w:numPr>
          <w:ilvl w:val="0"/>
          <w:numId w:val="3"/>
        </w:numPr>
        <w:spacing w:after="60" w:line="264"/>
      </w:pPr>
      <w:r>
        <w:rPr>
          <w:rFonts w:ascii="Arial" w:cs="Arial" w:eastAsia="Arial" w:hAnsi="Arial"/>
          <w:color w:val="2C3E50"/>
          <w:sz w:val="20"/>
          <w:szCs w:val="20"/>
        </w:rPr>
        <w:t xml:space="preserve">Neoantigen prediction and MHC multimer T cell detection</w:t>
      </w:r>
    </w:p>
    <w:p>
      <w:pPr>
        <w:pStyle w:val="ListParagraph"/>
        <w:numPr>
          <w:ilvl w:val="0"/>
          <w:numId w:val="3"/>
        </w:numPr>
        <w:spacing w:after="60" w:line="264"/>
      </w:pPr>
      <w:r>
        <w:rPr>
          <w:rFonts w:ascii="Arial" w:cs="Arial" w:eastAsia="Arial" w:hAnsi="Arial"/>
          <w:color w:val="2C3E50"/>
          <w:sz w:val="20"/>
          <w:szCs w:val="20"/>
        </w:rPr>
        <w:t xml:space="preserve">Drug sensitivity screening in organoid models</w:t>
      </w:r>
    </w:p>
    <w:p>
      <w:pPr>
        <w:pStyle w:val="ListParagraph"/>
        <w:numPr>
          <w:ilvl w:val="0"/>
          <w:numId w:val="3"/>
        </w:numPr>
        <w:spacing w:after="60" w:line="264"/>
      </w:pPr>
      <w:r>
        <w:rPr>
          <w:rFonts w:ascii="Arial" w:cs="Arial" w:eastAsia="Arial" w:hAnsi="Arial"/>
          <w:color w:val="2C3E50"/>
          <w:sz w:val="20"/>
          <w:szCs w:val="20"/>
        </w:rPr>
        <w:t xml:space="preserve">ctDNA monitoring panel design and baseline measurement</w:t>
      </w:r>
    </w:p>
    <w:p>
      <w:pPr>
        <w:pStyle w:val="ListParagraph"/>
        <w:numPr>
          <w:ilvl w:val="0"/>
          <w:numId w:val="3"/>
        </w:numPr>
        <w:spacing w:after="60" w:line="264"/>
      </w:pPr>
      <w:r>
        <w:rPr>
          <w:rFonts w:ascii="Arial" w:cs="Arial" w:eastAsia="Arial" w:hAnsi="Arial"/>
          <w:color w:val="2C3E50"/>
          <w:sz w:val="20"/>
          <w:szCs w:val="20"/>
        </w:rPr>
        <w:t xml:space="preserve">POLE protein quantification and dNTP pool analysis</w:t>
      </w:r>
    </w:p>
    <w:p>
      <w:pPr>
        <w:pStyle w:val="ListParagraph"/>
        <w:numPr>
          <w:ilvl w:val="0"/>
          <w:numId w:val="3"/>
        </w:numPr>
        <w:spacing w:after="60" w:line="264"/>
      </w:pPr>
      <w:r>
        <w:rPr>
          <w:rFonts w:ascii="Arial" w:cs="Arial" w:eastAsia="Arial" w:hAnsi="Arial"/>
          <w:color w:val="2C3E50"/>
          <w:sz w:val="20"/>
          <w:szCs w:val="20"/>
        </w:rPr>
        <w:t xml:space="preserve">cGAS-STING pathway assessment (cGAMP ELISA, ISG panel, phospho-STING)</w:t>
      </w:r>
    </w:p>
    <w:p>
      <w:pPr>
        <w:pStyle w:val="ListParagraph"/>
        <w:numPr>
          <w:ilvl w:val="0"/>
          <w:numId w:val="3"/>
        </w:numPr>
        <w:spacing w:after="60" w:line="264"/>
      </w:pPr>
      <w:r>
        <w:rPr>
          <w:rFonts w:ascii="Arial" w:cs="Arial" w:eastAsia="Arial" w:hAnsi="Arial"/>
          <w:color w:val="2C3E50"/>
          <w:sz w:val="20"/>
          <w:szCs w:val="20"/>
        </w:rPr>
        <w:t xml:space="preserve">Senescence markers (SA-β-gal, SASP panel)</w:t>
      </w:r>
    </w:p>
    <w:p>
      <w:pPr>
        <w:pStyle w:val="ListParagraph"/>
        <w:numPr>
          <w:ilvl w:val="0"/>
          <w:numId w:val="3"/>
        </w:numPr>
        <w:spacing w:after="60" w:line="264"/>
      </w:pPr>
      <w:r>
        <w:rPr>
          <w:rFonts w:ascii="Arial" w:cs="Arial" w:eastAsia="Arial" w:hAnsi="Arial"/>
          <w:color w:val="2C3E50"/>
          <w:sz w:val="20"/>
          <w:szCs w:val="20"/>
        </w:rPr>
        <w:t xml:space="preserve">Mitochondrial function (Seahorse XF, ROS measurement)</w:t>
      </w:r>
    </w:p>
    <w:p>
      <w:pPr>
        <w:pStyle w:val="ListParagraph"/>
        <w:numPr>
          <w:ilvl w:val="0"/>
          <w:numId w:val="3"/>
        </w:numPr>
        <w:spacing w:after="60" w:line="264"/>
      </w:pPr>
      <w:r>
        <w:rPr>
          <w:rFonts w:ascii="Arial" w:cs="Arial" w:eastAsia="Arial" w:hAnsi="Arial"/>
          <w:color w:val="2C3E50"/>
          <w:sz w:val="20"/>
          <w:szCs w:val="20"/>
        </w:rPr>
        <w:t xml:space="preserve">Radiosensitivity (clonogenic survival assay)</w:t>
      </w:r>
    </w:p>
    <w:p>
      <w:pPr>
        <w:pStyle w:val="ListParagraph"/>
        <w:numPr>
          <w:ilvl w:val="0"/>
          <w:numId w:val="3"/>
        </w:numPr>
        <w:spacing w:after="60" w:line="264"/>
      </w:pPr>
      <w:r>
        <w:rPr>
          <w:rFonts w:ascii="Arial" w:cs="Arial" w:eastAsia="Arial" w:hAnsi="Arial"/>
          <w:color w:val="2C3E50"/>
          <w:sz w:val="20"/>
          <w:szCs w:val="20"/>
        </w:rPr>
        <w:t xml:space="preserve">Microbiome (stool sample for 16S/metagenomics)</w:t>
      </w:r>
    </w:p>
    <w:p>
      <w:pPr>
        <w:pStyle w:val="Heading2"/>
        <w:spacing w:after="150" w:before="300"/>
      </w:pPr>
      <w:r>
        <w:rPr>
          <w:rFonts w:ascii="Georgia" w:cs="Georgia" w:eastAsia="Georgia" w:hAnsi="Georgia"/>
          <w:b/>
          <w:bCs/>
          <w:color w:val="0E6655"/>
          <w:sz w:val="25"/>
          <w:szCs w:val="25"/>
        </w:rPr>
        <w:t xml:space="preserve">8.3 Long-Term (1–3 years) — Tier 3</w:t>
      </w:r>
    </w:p>
    <w:p>
      <w:pPr>
        <w:spacing w:after="120" w:line="264"/>
        <w:jc w:val="both"/>
      </w:pPr>
      <w:r>
        <w:rPr>
          <w:rFonts w:ascii="Arial" w:cs="Arial" w:eastAsia="Arial" w:hAnsi="Arial"/>
          <w:color w:val="2C3E50"/>
          <w:sz w:val="20"/>
          <w:szCs w:val="20"/>
        </w:rPr>
        <w:t xml:space="preserve">Foundational investments requiring research infrastructure or collaboration.</w:t>
      </w:r>
    </w:p>
    <w:p>
      <w:pPr>
        <w:pStyle w:val="ListParagraph"/>
        <w:numPr>
          <w:ilvl w:val="0"/>
          <w:numId w:val="3"/>
        </w:numPr>
        <w:spacing w:after="60" w:line="264"/>
      </w:pPr>
      <w:r>
        <w:rPr>
          <w:rFonts w:ascii="Arial" w:cs="Arial" w:eastAsia="Arial" w:hAnsi="Arial"/>
          <w:color w:val="2C3E50"/>
          <w:sz w:val="20"/>
          <w:szCs w:val="20"/>
        </w:rPr>
        <w:t xml:space="preserve">Isogenic CRISPR cell line panels (c.138del vs. P286R vs. V411L)</w:t>
      </w:r>
    </w:p>
    <w:p>
      <w:pPr>
        <w:pStyle w:val="ListParagraph"/>
        <w:numPr>
          <w:ilvl w:val="0"/>
          <w:numId w:val="3"/>
        </w:numPr>
        <w:spacing w:after="60" w:line="264"/>
      </w:pPr>
      <w:r>
        <w:rPr>
          <w:rFonts w:ascii="Arial" w:cs="Arial" w:eastAsia="Arial" w:hAnsi="Arial"/>
          <w:color w:val="2C3E50"/>
          <w:sz w:val="20"/>
          <w:szCs w:val="20"/>
        </w:rPr>
        <w:t xml:space="preserve">Conditional knock-in mouse model generation</w:t>
      </w:r>
    </w:p>
    <w:p>
      <w:pPr>
        <w:pStyle w:val="ListParagraph"/>
        <w:numPr>
          <w:ilvl w:val="0"/>
          <w:numId w:val="3"/>
        </w:numPr>
        <w:spacing w:after="60" w:line="264"/>
      </w:pPr>
      <w:r>
        <w:rPr>
          <w:rFonts w:ascii="Arial" w:cs="Arial" w:eastAsia="Arial" w:hAnsi="Arial"/>
          <w:color w:val="2C3E50"/>
          <w:sz w:val="20"/>
          <w:szCs w:val="20"/>
        </w:rPr>
        <w:t xml:space="preserve">Single-cell WGS of normal colonic crypts (haploinsufficiency test)</w:t>
      </w:r>
    </w:p>
    <w:p>
      <w:pPr>
        <w:pStyle w:val="ListParagraph"/>
        <w:numPr>
          <w:ilvl w:val="0"/>
          <w:numId w:val="3"/>
        </w:numPr>
        <w:spacing w:after="60" w:line="264"/>
      </w:pPr>
      <w:r>
        <w:rPr>
          <w:rFonts w:ascii="Arial" w:cs="Arial" w:eastAsia="Arial" w:hAnsi="Arial"/>
          <w:color w:val="2C3E50"/>
          <w:sz w:val="20"/>
          <w:szCs w:val="20"/>
        </w:rPr>
        <w:t xml:space="preserve">Extended family genotyping for penetrance estimation</w:t>
      </w:r>
    </w:p>
    <w:p>
      <w:pPr>
        <w:pStyle w:val="ListParagraph"/>
        <w:numPr>
          <w:ilvl w:val="0"/>
          <w:numId w:val="3"/>
        </w:numPr>
        <w:spacing w:after="60" w:line="264"/>
      </w:pPr>
      <w:r>
        <w:rPr>
          <w:rFonts w:ascii="Arial" w:cs="Arial" w:eastAsia="Arial" w:hAnsi="Arial"/>
          <w:color w:val="2C3E50"/>
          <w:sz w:val="20"/>
          <w:szCs w:val="20"/>
        </w:rPr>
        <w:t xml:space="preserve">Histone modification profiling (CUT&amp;RUN/CUT&amp;Tag)</w:t>
      </w:r>
    </w:p>
    <w:p>
      <w:pPr>
        <w:pStyle w:val="ListParagraph"/>
        <w:numPr>
          <w:ilvl w:val="0"/>
          <w:numId w:val="3"/>
        </w:numPr>
        <w:spacing w:after="60" w:line="264"/>
      </w:pPr>
      <w:r>
        <w:rPr>
          <w:rFonts w:ascii="Arial" w:cs="Arial" w:eastAsia="Arial" w:hAnsi="Arial"/>
          <w:color w:val="2C3E50"/>
          <w:sz w:val="20"/>
          <w:szCs w:val="20"/>
        </w:rPr>
        <w:t xml:space="preserve">R-loop mapping (DRIP-seq)</w:t>
      </w:r>
    </w:p>
    <w:p>
      <w:pPr>
        <w:pStyle w:val="ListParagraph"/>
        <w:numPr>
          <w:ilvl w:val="0"/>
          <w:numId w:val="3"/>
        </w:numPr>
        <w:spacing w:after="60" w:line="264"/>
      </w:pPr>
      <w:r>
        <w:rPr>
          <w:rFonts w:ascii="Arial" w:cs="Arial" w:eastAsia="Arial" w:hAnsi="Arial"/>
          <w:color w:val="2C3E50"/>
          <w:sz w:val="20"/>
          <w:szCs w:val="20"/>
        </w:rPr>
        <w:t xml:space="preserve">Multi-polyp genomics (per-lesion WGS with LOH)</w:t>
      </w:r>
    </w:p>
    <w:p>
      <w:pPr>
        <w:pStyle w:val="ListParagraph"/>
        <w:numPr>
          <w:ilvl w:val="0"/>
          <w:numId w:val="3"/>
        </w:numPr>
        <w:spacing w:after="60" w:line="264"/>
      </w:pPr>
      <w:r>
        <w:rPr>
          <w:rFonts w:ascii="Arial" w:cs="Arial" w:eastAsia="Arial" w:hAnsi="Arial"/>
          <w:color w:val="2C3E50"/>
          <w:sz w:val="20"/>
          <w:szCs w:val="20"/>
        </w:rPr>
        <w:t xml:space="preserve">Long-read sequencing (Nanopore direct RNA-seq)</w:t>
      </w:r>
    </w:p>
    <w:p>
      <w:pPr>
        <w:pStyle w:val="ListParagraph"/>
        <w:numPr>
          <w:ilvl w:val="0"/>
          <w:numId w:val="3"/>
        </w:numPr>
        <w:spacing w:after="60" w:line="264"/>
      </w:pPr>
      <w:r>
        <w:rPr>
          <w:rFonts w:ascii="Arial" w:cs="Arial" w:eastAsia="Arial" w:hAnsi="Arial"/>
          <w:color w:val="2C3E50"/>
          <w:sz w:val="20"/>
          <w:szCs w:val="20"/>
        </w:rPr>
        <w:t xml:space="preserve">Replication fork proteomics (iPOND-MS)</w:t>
      </w:r>
    </w:p>
    <w:p>
      <w:pPr>
        <w:pStyle w:val="ListParagraph"/>
        <w:numPr>
          <w:ilvl w:val="0"/>
          <w:numId w:val="3"/>
        </w:numPr>
        <w:spacing w:after="60" w:line="264"/>
      </w:pPr>
      <w:r>
        <w:rPr>
          <w:rFonts w:ascii="Arial" w:cs="Arial" w:eastAsia="Arial" w:hAnsi="Arial"/>
          <w:color w:val="2C3E50"/>
          <w:sz w:val="20"/>
          <w:szCs w:val="20"/>
        </w:rPr>
        <w:t xml:space="preserve">cfDNA fragmentomics</w:t>
      </w:r>
    </w:p>
    <w:p>
      <w:pPr>
        <w:pStyle w:val="ListParagraph"/>
        <w:numPr>
          <w:ilvl w:val="0"/>
          <w:numId w:val="3"/>
        </w:numPr>
        <w:spacing w:after="60" w:line="264"/>
      </w:pPr>
      <w:r>
        <w:rPr>
          <w:rFonts w:ascii="Arial" w:cs="Arial" w:eastAsia="Arial" w:hAnsi="Arial"/>
          <w:color w:val="2C3E50"/>
          <w:sz w:val="20"/>
          <w:szCs w:val="20"/>
        </w:rPr>
        <w:t xml:space="preserve">Assessment of preventive immunotherapy strategy</w:t>
      </w:r>
    </w:p>
    <w:p>
      <w:pPr>
        <w:pStyle w:val="ListParagraph"/>
        <w:numPr>
          <w:ilvl w:val="0"/>
          <w:numId w:val="3"/>
        </w:numPr>
        <w:spacing w:after="60" w:line="264"/>
      </w:pPr>
      <w:r>
        <w:rPr>
          <w:rFonts w:ascii="Arial" w:cs="Arial" w:eastAsia="Arial" w:hAnsi="Arial"/>
          <w:color w:val="2C3E50"/>
          <w:sz w:val="20"/>
          <w:szCs w:val="20"/>
        </w:rPr>
        <w:t xml:space="preserve">Computational modeling for surveillance optimization</w:t>
      </w:r>
    </w:p>
    <w:p>
      <w:r>
        <w:br w:type="page"/>
      </w:r>
    </w:p>
    <w:p>
      <w:pPr>
        <w:pStyle w:val="Heading1"/>
        <w:spacing w:after="200" w:before="400"/>
      </w:pPr>
      <w:r>
        <w:rPr>
          <w:rFonts w:ascii="Georgia" w:cs="Georgia" w:eastAsia="Georgia" w:hAnsi="Georgia"/>
          <w:b/>
          <w:bCs/>
          <w:color w:val="1B4F72"/>
          <w:sz w:val="30"/>
          <w:szCs w:val="30"/>
        </w:rPr>
        <w:t xml:space="preserve">9. Mechanistic Model Discrimination</w:t>
      </w:r>
    </w:p>
    <w:p>
      <w:pPr>
        <w:spacing w:after="120" w:line="264"/>
        <w:jc w:val="both"/>
      </w:pPr>
      <w:r>
        <w:rPr>
          <w:rFonts w:ascii="Arial" w:cs="Arial" w:eastAsia="Arial" w:hAnsi="Arial"/>
          <w:color w:val="2C3E50"/>
          <w:sz w:val="20"/>
          <w:szCs w:val="20"/>
        </w:rPr>
        <w:t xml:space="preserve">Each investigation domain maps to which candidate mechanistic model it supports or weakens, enabling researchers to prioritize experiments by the model they are testing.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224"/>
        <w:gridCol w:w="3224"/>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Investigation Domain</w:t>
            </w:r>
          </w:p>
        </w:tc>
        <w:tc>
          <w:tcPr>
            <w:tcW w:type="dxa" w:w="32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Favors Model(s) if Positive</w:t>
            </w:r>
          </w:p>
        </w:tc>
        <w:tc>
          <w:tcPr>
            <w:tcW w:type="dxa" w:w="32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Disfavors Model(s) if Positive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cGAS-STING constitutive activation</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Models 3, 4 (constitutive dysfunction)</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1 (LOH-only)</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Telomere shortening</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4 (threshold haploinsufficiency)</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1 (LOH-only)</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R-loop accumulation</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4 (replication stress)</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TLS pathway upregulation</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4 (fork stalling → TLS)</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2 (functional reinitiated polymerase)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H3K36me3 disruption</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3 (holoenzyme → POLE3/4 effect)</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Hormonal POLE regulation</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4 (context-dependent haploinsufficiency)</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Multi-polyp LOH diversity</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1 (if LOH in all polyps)</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1 (if LOH absent in some)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LINE-1 reactivation</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3 (holoenzyme → chromatin)</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CMMRD comparison</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POLE-specific (if absent in CMMRD)</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Generic hypermutation (if present)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Duplicated IVC (congenital)</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Models 3, 4, 5 (constitutive effect)</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1 (LOH = somatic, not developmental)</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Severe endometriosis</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4 (high-turnover tissue vulnerability)</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Senescence/SASP elevated</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4 (constitutive mutagenesis)</w:t>
            </w:r>
          </w:p>
        </w:tc>
        <w:tc>
          <w:tcPr>
            <w:tcW w:type="dxa" w:w="322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8"/>
                <w:szCs w:val="18"/>
              </w:rPr>
              <w:t xml:space="preserve">Model 1 (LOH-only: tissue-specific)</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Replisome composition altered</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Models 3, 4 (structural destabilization)</w:t>
            </w:r>
          </w:p>
        </w:tc>
        <w:tc>
          <w:tcPr>
            <w:tcW w:type="dxa" w:w="32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18"/>
                <w:szCs w:val="18"/>
              </w:rPr>
              <w:t xml:space="preserve">Model 2 (reinitiation → functional polymerase)</w:t>
            </w:r>
          </w:p>
        </w:tc>
      </w:tr>
    </w:tbl>
    <w:p>
      <w:r>
        <w:br w:type="page"/>
      </w:r>
    </w:p>
    <w:p>
      <w:pPr>
        <w:pStyle w:val="Heading1"/>
        <w:spacing w:after="200" w:before="400"/>
      </w:pPr>
      <w:r>
        <w:rPr>
          <w:rFonts w:ascii="Georgia" w:cs="Georgia" w:eastAsia="Georgia" w:hAnsi="Georgia"/>
          <w:b/>
          <w:bCs/>
          <w:color w:val="1B4F72"/>
          <w:sz w:val="30"/>
          <w:szCs w:val="30"/>
        </w:rPr>
        <w:t xml:space="preserve">10. Key Literature References</w:t>
      </w:r>
    </w:p>
    <w:p>
      <w:pPr>
        <w:pStyle w:val="Heading2"/>
        <w:spacing w:after="150" w:before="300"/>
      </w:pPr>
      <w:r>
        <w:rPr>
          <w:rFonts w:ascii="Georgia" w:cs="Georgia" w:eastAsia="Georgia" w:hAnsi="Georgia"/>
          <w:b/>
          <w:bCs/>
          <w:color w:val="0E6655"/>
          <w:sz w:val="25"/>
          <w:szCs w:val="25"/>
        </w:rPr>
        <w:t xml:space="preserve">10.1 PPAP Clinical Characterization</w:t>
      </w:r>
    </w:p>
    <w:p>
      <w:pPr>
        <w:pStyle w:val="ListParagraph"/>
        <w:numPr>
          <w:ilvl w:val="0"/>
          <w:numId w:val="2"/>
        </w:numPr>
        <w:spacing w:after="60" w:line="264"/>
      </w:pPr>
      <w:r>
        <w:rPr>
          <w:rFonts w:ascii="Arial" w:cs="Arial" w:eastAsia="Arial" w:hAnsi="Arial"/>
          <w:color w:val="2C3E50"/>
          <w:sz w:val="20"/>
          <w:szCs w:val="20"/>
        </w:rPr>
        <w:t xml:space="preserve">Palles C et al. (2013) Germline mutations affecting proofreading domains of POLE and POLD1. Nature Genetics 45:136–144. PMID: 23263490</w:t>
      </w:r>
    </w:p>
    <w:p>
      <w:pPr>
        <w:pStyle w:val="ListParagraph"/>
        <w:numPr>
          <w:ilvl w:val="0"/>
          <w:numId w:val="2"/>
        </w:numPr>
        <w:spacing w:after="60" w:line="264"/>
      </w:pPr>
      <w:r>
        <w:rPr>
          <w:rFonts w:ascii="Arial" w:cs="Arial" w:eastAsia="Arial" w:hAnsi="Arial"/>
          <w:color w:val="2C3E50"/>
          <w:sz w:val="20"/>
          <w:szCs w:val="20"/>
        </w:rPr>
        <w:t xml:space="preserve">Palles C et al. (2022) Clinical features of PPAP and recommendations for patient management. Familial Cancer 21:197–209. PMID: 33948826</w:t>
      </w:r>
    </w:p>
    <w:p>
      <w:pPr>
        <w:pStyle w:val="ListParagraph"/>
        <w:numPr>
          <w:ilvl w:val="0"/>
          <w:numId w:val="2"/>
        </w:numPr>
        <w:spacing w:after="60" w:line="264"/>
      </w:pPr>
      <w:r>
        <w:rPr>
          <w:rFonts w:ascii="Arial" w:cs="Arial" w:eastAsia="Arial" w:hAnsi="Arial"/>
          <w:color w:val="2C3E50"/>
          <w:sz w:val="20"/>
          <w:szCs w:val="20"/>
        </w:rPr>
        <w:t xml:space="preserve">Bellido F et al. (2016) POLE and POLD1 mutations in 529 kindred. Genetics in Medicine 18:325–332. PMID: 26133394</w:t>
      </w:r>
    </w:p>
    <w:p>
      <w:pPr>
        <w:pStyle w:val="ListParagraph"/>
        <w:numPr>
          <w:ilvl w:val="0"/>
          <w:numId w:val="2"/>
        </w:numPr>
        <w:spacing w:after="60" w:line="264"/>
      </w:pPr>
      <w:r>
        <w:rPr>
          <w:rFonts w:ascii="Arial" w:cs="Arial" w:eastAsia="Arial" w:hAnsi="Arial"/>
          <w:color w:val="2C3E50"/>
          <w:sz w:val="20"/>
          <w:szCs w:val="20"/>
        </w:rPr>
        <w:t xml:space="preserve">Rayner E et al. (2016) A panoply of errors: Polymerase proofreading domain mutations in cancer. Nature Reviews Cancer 16:71–81</w:t>
      </w:r>
    </w:p>
    <w:p>
      <w:pPr>
        <w:pStyle w:val="Heading2"/>
        <w:spacing w:after="150" w:before="300"/>
      </w:pPr>
      <w:r>
        <w:rPr>
          <w:rFonts w:ascii="Georgia" w:cs="Georgia" w:eastAsia="Georgia" w:hAnsi="Georgia"/>
          <w:b/>
          <w:bCs/>
          <w:color w:val="0E6655"/>
          <w:sz w:val="25"/>
          <w:szCs w:val="25"/>
        </w:rPr>
        <w:t xml:space="preserve">10.2 POLE/POLD1 Variant Classification (Valle Lab, IDIBELL)</w:t>
      </w:r>
    </w:p>
    <w:p>
      <w:pPr>
        <w:pStyle w:val="ListParagraph"/>
        <w:numPr>
          <w:ilvl w:val="0"/>
          <w:numId w:val="2"/>
        </w:numPr>
        <w:spacing w:after="60" w:line="264"/>
      </w:pPr>
      <w:r>
        <w:rPr>
          <w:rFonts w:ascii="Arial" w:cs="Arial" w:eastAsia="Arial" w:hAnsi="Arial"/>
          <w:color w:val="2C3E50"/>
          <w:sz w:val="20"/>
          <w:szCs w:val="20"/>
        </w:rPr>
        <w:t xml:space="preserve">Mur P, Viana-Errasti J et al. (2023) Recommendations for classification of germline variants in the ED of POLE and POLD1. Genome Medicine 15:85. PMID: 37848928</w:t>
      </w:r>
    </w:p>
    <w:p>
      <w:pPr>
        <w:pStyle w:val="ListParagraph"/>
        <w:numPr>
          <w:ilvl w:val="0"/>
          <w:numId w:val="2"/>
        </w:numPr>
        <w:spacing w:after="60" w:line="264"/>
      </w:pPr>
      <w:r>
        <w:rPr>
          <w:rFonts w:ascii="Arial" w:cs="Arial" w:eastAsia="Arial" w:hAnsi="Arial"/>
          <w:color w:val="2C3E50"/>
          <w:sz w:val="20"/>
          <w:szCs w:val="20"/>
        </w:rPr>
        <w:t xml:space="preserve">Mur P, García-Mulero S et al. (2020) Role of POLE and POLD1 in familial cancer. Genetics in Medicine 22:2089–2100. PMID: 32792570</w:t>
      </w:r>
    </w:p>
    <w:p>
      <w:pPr>
        <w:pStyle w:val="ListParagraph"/>
        <w:numPr>
          <w:ilvl w:val="0"/>
          <w:numId w:val="2"/>
        </w:numPr>
        <w:spacing w:after="60" w:line="264"/>
      </w:pPr>
      <w:r>
        <w:rPr>
          <w:rFonts w:ascii="Arial" w:cs="Arial" w:eastAsia="Arial" w:hAnsi="Arial"/>
          <w:color w:val="2C3E50"/>
          <w:sz w:val="20"/>
          <w:szCs w:val="20"/>
        </w:rPr>
        <w:t xml:space="preserve">Valle L et al. (2014) New insights into POLE and POLD1 germline mutations. Human Molecular Genetics 23(13):3506–3512</w:t>
      </w:r>
    </w:p>
    <w:p>
      <w:pPr>
        <w:pStyle w:val="ListParagraph"/>
        <w:numPr>
          <w:ilvl w:val="0"/>
          <w:numId w:val="2"/>
        </w:numPr>
        <w:spacing w:after="60" w:line="264"/>
      </w:pPr>
      <w:r>
        <w:rPr>
          <w:rFonts w:ascii="Arial" w:cs="Arial" w:eastAsia="Arial" w:hAnsi="Arial"/>
          <w:color w:val="2C3E50"/>
          <w:sz w:val="20"/>
          <w:szCs w:val="20"/>
        </w:rPr>
        <w:t xml:space="preserve">Shah SM et al. (2024) Co-occurring POLE exonuclease and non-exonuclease domain mutations. Cancer Research Communications 4(1):213–225</w:t>
      </w:r>
    </w:p>
    <w:p>
      <w:pPr>
        <w:pStyle w:val="ListParagraph"/>
        <w:numPr>
          <w:ilvl w:val="0"/>
          <w:numId w:val="2"/>
        </w:numPr>
        <w:spacing w:after="60" w:line="264"/>
      </w:pPr>
      <w:r>
        <w:rPr>
          <w:rFonts w:ascii="Arial" w:cs="Arial" w:eastAsia="Arial" w:hAnsi="Arial"/>
          <w:color w:val="2C3E50"/>
          <w:sz w:val="20"/>
          <w:szCs w:val="20"/>
        </w:rPr>
        <w:t xml:space="preserve">Viana-Errasti J et al. (2025) Comparative analysis of somatic and germline polymerase proofreading deficiencies. Modern Pathology</w:t>
      </w:r>
    </w:p>
    <w:p>
      <w:pPr>
        <w:pStyle w:val="ListParagraph"/>
        <w:numPr>
          <w:ilvl w:val="0"/>
          <w:numId w:val="2"/>
        </w:numPr>
        <w:spacing w:after="60" w:line="264"/>
      </w:pPr>
      <w:r>
        <w:rPr>
          <w:rFonts w:ascii="Arial" w:cs="Arial" w:eastAsia="Arial" w:hAnsi="Arial"/>
          <w:color w:val="2C3E50"/>
          <w:sz w:val="20"/>
          <w:szCs w:val="20"/>
        </w:rPr>
        <w:t xml:space="preserve">PolED database (2025) Curated functional studies of POLE/POLD1 variants. Database. PMID: 41263451</w:t>
      </w:r>
    </w:p>
    <w:p>
      <w:pPr>
        <w:pStyle w:val="Heading2"/>
        <w:spacing w:after="150" w:before="300"/>
      </w:pPr>
      <w:r>
        <w:rPr>
          <w:rFonts w:ascii="Georgia" w:cs="Georgia" w:eastAsia="Georgia" w:hAnsi="Georgia"/>
          <w:b/>
          <w:bCs/>
          <w:color w:val="0E6655"/>
          <w:sz w:val="25"/>
          <w:szCs w:val="25"/>
        </w:rPr>
        <w:t xml:space="preserve">10.3 POLE Frameshift Variants &amp; Epigenetic Interactions</w:t>
      </w:r>
    </w:p>
    <w:p>
      <w:pPr>
        <w:pStyle w:val="ListParagraph"/>
        <w:numPr>
          <w:ilvl w:val="0"/>
          <w:numId w:val="2"/>
        </w:numPr>
        <w:spacing w:after="60" w:line="264"/>
      </w:pPr>
      <w:r>
        <w:rPr>
          <w:rFonts w:ascii="Arial" w:cs="Arial" w:eastAsia="Arial" w:hAnsi="Arial"/>
          <w:color w:val="2C3E50"/>
          <w:sz w:val="20"/>
          <w:szCs w:val="20"/>
        </w:rPr>
        <w:t xml:space="preserve">Shinbrot E et al. (2019) MSI-positive colon tumor with aberrant DNA methylation in PPAP. J Hum Genet (POLE c.4191_4192delCT; epigenetic MLH1 silencing)</w:t>
      </w:r>
    </w:p>
    <w:p>
      <w:pPr>
        <w:pStyle w:val="ListParagraph"/>
        <w:numPr>
          <w:ilvl w:val="0"/>
          <w:numId w:val="2"/>
        </w:numPr>
        <w:spacing w:after="60" w:line="264"/>
      </w:pPr>
      <w:r>
        <w:rPr>
          <w:rFonts w:ascii="Arial" w:cs="Arial" w:eastAsia="Arial" w:hAnsi="Arial"/>
          <w:color w:val="2C3E50"/>
          <w:sz w:val="20"/>
          <w:szCs w:val="20"/>
        </w:rPr>
        <w:t xml:space="preserve">García-Mulero S et al. (2019) New adenomatous polyposis genes in attenuated Spanish cohort. Sci Rep (POLE frameshift + NTHL1)</w:t>
      </w:r>
    </w:p>
    <w:p>
      <w:pPr>
        <w:pStyle w:val="ListParagraph"/>
        <w:numPr>
          <w:ilvl w:val="0"/>
          <w:numId w:val="2"/>
        </w:numPr>
        <w:spacing w:after="60" w:line="264"/>
      </w:pPr>
      <w:r>
        <w:rPr>
          <w:rFonts w:ascii="Arial" w:cs="Arial" w:eastAsia="Arial" w:hAnsi="Arial"/>
          <w:color w:val="2C3E50"/>
          <w:sz w:val="20"/>
          <w:szCs w:val="20"/>
        </w:rPr>
        <w:t xml:space="preserve">Frontiers in Oncology (2025) Expansion of POLD1-related PPAP: first duodenal adenocarcinomas</w:t>
      </w:r>
    </w:p>
    <w:p>
      <w:pPr>
        <w:pStyle w:val="Heading2"/>
        <w:spacing w:after="150" w:before="300"/>
      </w:pPr>
      <w:r>
        <w:rPr>
          <w:rFonts w:ascii="Georgia" w:cs="Georgia" w:eastAsia="Georgia" w:hAnsi="Georgia"/>
          <w:b/>
          <w:bCs/>
          <w:color w:val="0E6655"/>
          <w:sz w:val="25"/>
          <w:szCs w:val="25"/>
        </w:rPr>
        <w:t xml:space="preserve">10.4 Somatic Mutation in Normal Tissues</w:t>
      </w:r>
    </w:p>
    <w:p>
      <w:pPr>
        <w:pStyle w:val="ListParagraph"/>
        <w:numPr>
          <w:ilvl w:val="0"/>
          <w:numId w:val="2"/>
        </w:numPr>
        <w:spacing w:after="60" w:line="264"/>
      </w:pPr>
      <w:r>
        <w:rPr>
          <w:rFonts w:ascii="Arial" w:cs="Arial" w:eastAsia="Arial" w:hAnsi="Arial"/>
          <w:color w:val="2C3E50"/>
          <w:sz w:val="20"/>
          <w:szCs w:val="20"/>
        </w:rPr>
        <w:t xml:space="preserve">Robinson PS et al. (2021) Increased somatic mutation burdens in normal cells from defective DNA polymerases. Nature Genetics (SBS10a/b in normal tissues of POLE/POLD1 carriers)</w:t>
      </w:r>
    </w:p>
    <w:p>
      <w:pPr>
        <w:pStyle w:val="ListParagraph"/>
        <w:numPr>
          <w:ilvl w:val="0"/>
          <w:numId w:val="2"/>
        </w:numPr>
        <w:spacing w:after="60" w:line="264"/>
      </w:pPr>
      <w:r>
        <w:rPr>
          <w:rFonts w:ascii="Arial" w:cs="Arial" w:eastAsia="Arial" w:hAnsi="Arial"/>
          <w:color w:val="2C3E50"/>
          <w:sz w:val="20"/>
          <w:szCs w:val="20"/>
        </w:rPr>
        <w:t xml:space="preserve">Abascal F et al. (2021) Somatic mutation landscapes at single-molecule resolution. Nature 593:405–410 (original NanoSeq)</w:t>
      </w:r>
    </w:p>
    <w:p>
      <w:pPr>
        <w:pStyle w:val="ListParagraph"/>
        <w:numPr>
          <w:ilvl w:val="0"/>
          <w:numId w:val="2"/>
        </w:numPr>
        <w:spacing w:after="60" w:line="264"/>
      </w:pPr>
      <w:r>
        <w:rPr>
          <w:rFonts w:ascii="Arial" w:cs="Arial" w:eastAsia="Arial" w:hAnsi="Arial"/>
          <w:color w:val="2C3E50"/>
          <w:sz w:val="20"/>
          <w:szCs w:val="20"/>
        </w:rPr>
        <w:t xml:space="preserve">Pich O et al. (2025) Somatic mutation and selection at population scale. Nature 647:411–420 (NanoSeq &lt;5 errors/billion bp)</w:t>
      </w:r>
    </w:p>
    <w:p>
      <w:pPr>
        <w:pStyle w:val="ListParagraph"/>
        <w:numPr>
          <w:ilvl w:val="0"/>
          <w:numId w:val="2"/>
        </w:numPr>
        <w:spacing w:after="60" w:line="264"/>
      </w:pPr>
      <w:r>
        <w:rPr>
          <w:rFonts w:ascii="Arial" w:cs="Arial" w:eastAsia="Arial" w:hAnsi="Arial"/>
          <w:color w:val="2C3E50"/>
          <w:sz w:val="20"/>
          <w:szCs w:val="20"/>
        </w:rPr>
        <w:t xml:space="preserve">Pich O et al. (2025) Somatic evolution following cancer treatment in normal tissue. Nature (duplex sequencing &gt;30,000x)</w:t>
      </w:r>
    </w:p>
    <w:p>
      <w:pPr>
        <w:pStyle w:val="ListParagraph"/>
        <w:numPr>
          <w:ilvl w:val="0"/>
          <w:numId w:val="2"/>
        </w:numPr>
        <w:spacing w:after="60" w:line="264"/>
      </w:pPr>
      <w:r>
        <w:rPr>
          <w:rFonts w:ascii="Arial" w:cs="Arial" w:eastAsia="Arial" w:hAnsi="Arial"/>
          <w:color w:val="2C3E50"/>
          <w:sz w:val="20"/>
          <w:szCs w:val="20"/>
        </w:rPr>
        <w:t xml:space="preserve">Robinson PS et al. (2022) Inherited MUTYH mutations cause elevated somatic mutation rates. Nature Comms (NanoSeq precedent)</w:t>
      </w:r>
    </w:p>
    <w:p>
      <w:pPr>
        <w:pStyle w:val="Heading2"/>
        <w:spacing w:after="150" w:before="300"/>
      </w:pPr>
      <w:r>
        <w:rPr>
          <w:rFonts w:ascii="Georgia" w:cs="Georgia" w:eastAsia="Georgia" w:hAnsi="Georgia"/>
          <w:b/>
          <w:bCs/>
          <w:color w:val="0E6655"/>
          <w:sz w:val="25"/>
          <w:szCs w:val="25"/>
        </w:rPr>
        <w:t xml:space="preserve">10.5 Immunotherapy in POLE-Mutated Cancers</w:t>
      </w:r>
    </w:p>
    <w:p>
      <w:pPr>
        <w:pStyle w:val="ListParagraph"/>
        <w:numPr>
          <w:ilvl w:val="0"/>
          <w:numId w:val="2"/>
        </w:numPr>
        <w:spacing w:after="60" w:line="264"/>
      </w:pPr>
      <w:r>
        <w:rPr>
          <w:rFonts w:ascii="Arial" w:cs="Arial" w:eastAsia="Arial" w:hAnsi="Arial"/>
          <w:color w:val="2C3E50"/>
          <w:sz w:val="20"/>
          <w:szCs w:val="20"/>
        </w:rPr>
        <w:t xml:space="preserve">Garmezy B et al. (2022) POLE mutations as predictive biomarkers for ICIs. JCO Precision Oncology (82.4% CBR, 15.1 mo PFS)</w:t>
      </w:r>
    </w:p>
    <w:p>
      <w:pPr>
        <w:pStyle w:val="ListParagraph"/>
        <w:numPr>
          <w:ilvl w:val="0"/>
          <w:numId w:val="2"/>
        </w:numPr>
        <w:spacing w:after="60" w:line="264"/>
      </w:pPr>
      <w:r>
        <w:rPr>
          <w:rFonts w:ascii="Arial" w:cs="Arial" w:eastAsia="Arial" w:hAnsi="Arial"/>
          <w:color w:val="2C3E50"/>
          <w:sz w:val="20"/>
          <w:szCs w:val="20"/>
        </w:rPr>
        <w:t xml:space="preserve">Pietrantonio F et al. (2024) ICIs for POLE/POLD1 proofreading-deficient mCRC. Annals of Oncology (signature ≥78.5% predicts response)</w:t>
      </w:r>
    </w:p>
    <w:p>
      <w:pPr>
        <w:pStyle w:val="ListParagraph"/>
        <w:numPr>
          <w:ilvl w:val="0"/>
          <w:numId w:val="2"/>
        </w:numPr>
        <w:spacing w:after="60" w:line="264"/>
      </w:pPr>
      <w:r>
        <w:rPr>
          <w:rFonts w:ascii="Arial" w:cs="Arial" w:eastAsia="Arial" w:hAnsi="Arial"/>
          <w:color w:val="2C3E50"/>
          <w:sz w:val="20"/>
          <w:szCs w:val="20"/>
        </w:rPr>
        <w:t xml:space="preserve">Sawant A et al. (2025) ICB delays cancer in polymerase mutator syndromes. Cancer Research 85(6):1130–1144 (preventive ICB)</w:t>
      </w:r>
    </w:p>
    <w:p>
      <w:pPr>
        <w:pStyle w:val="ListParagraph"/>
        <w:numPr>
          <w:ilvl w:val="0"/>
          <w:numId w:val="2"/>
        </w:numPr>
        <w:spacing w:after="60" w:line="264"/>
      </w:pPr>
      <w:r>
        <w:rPr>
          <w:rFonts w:ascii="Arial" w:cs="Arial" w:eastAsia="Arial" w:hAnsi="Arial"/>
          <w:color w:val="2C3E50"/>
          <w:sz w:val="20"/>
          <w:szCs w:val="20"/>
        </w:rPr>
        <w:t xml:space="preserve">Wang F et al. (2019) POLE/POLD1 as biomarkers for immunotherapy. JAMA Oncology 5(10):1504–1506</w:t>
      </w:r>
    </w:p>
    <w:p>
      <w:pPr>
        <w:pStyle w:val="ListParagraph"/>
        <w:numPr>
          <w:ilvl w:val="0"/>
          <w:numId w:val="2"/>
        </w:numPr>
        <w:spacing w:after="60" w:line="264"/>
      </w:pPr>
      <w:r>
        <w:rPr>
          <w:rFonts w:ascii="Arial" w:cs="Arial" w:eastAsia="Arial" w:hAnsi="Arial"/>
          <w:color w:val="2C3E50"/>
          <w:sz w:val="20"/>
          <w:szCs w:val="20"/>
        </w:rPr>
        <w:t xml:space="preserve">Rousseau B et al. (2021) Spectrum of benefit from checkpoint blockade in hypermutated tumors. NEJM 384(12):1168–1170</w:t>
      </w:r>
    </w:p>
    <w:p>
      <w:pPr>
        <w:pStyle w:val="Heading2"/>
        <w:spacing w:after="150" w:before="300"/>
      </w:pPr>
      <w:r>
        <w:rPr>
          <w:rFonts w:ascii="Georgia" w:cs="Georgia" w:eastAsia="Georgia" w:hAnsi="Georgia"/>
          <w:b/>
          <w:bCs/>
          <w:color w:val="0E6655"/>
          <w:sz w:val="25"/>
          <w:szCs w:val="25"/>
        </w:rPr>
        <w:t xml:space="preserve">10.6 Synthetic Lethality &amp; DNA Damage Response</w:t>
      </w:r>
    </w:p>
    <w:p>
      <w:pPr>
        <w:pStyle w:val="ListParagraph"/>
        <w:numPr>
          <w:ilvl w:val="0"/>
          <w:numId w:val="2"/>
        </w:numPr>
        <w:spacing w:after="60" w:line="264"/>
      </w:pPr>
      <w:r>
        <w:rPr>
          <w:rFonts w:ascii="Arial" w:cs="Arial" w:eastAsia="Arial" w:hAnsi="Arial"/>
          <w:color w:val="2C3E50"/>
          <w:sz w:val="20"/>
          <w:szCs w:val="20"/>
        </w:rPr>
        <w:t xml:space="preserve">Deppas JJ et al. (2025) ATR inhibitors: exploiting synthetic lethality. Eur J Med Chem 296:117863</w:t>
      </w:r>
    </w:p>
    <w:p>
      <w:pPr>
        <w:pStyle w:val="ListParagraph"/>
        <w:numPr>
          <w:ilvl w:val="0"/>
          <w:numId w:val="2"/>
        </w:numPr>
        <w:spacing w:after="60" w:line="264"/>
      </w:pPr>
      <w:r>
        <w:rPr>
          <w:rFonts w:ascii="Arial" w:cs="Arial" w:eastAsia="Arial" w:hAnsi="Arial"/>
          <w:color w:val="2C3E50"/>
          <w:sz w:val="20"/>
          <w:szCs w:val="20"/>
        </w:rPr>
        <w:t xml:space="preserve">Marciniak B et al. (2024) Synthetic lethality between ATR and POLA1. DNA Repair</w:t>
      </w:r>
    </w:p>
    <w:p>
      <w:pPr>
        <w:pStyle w:val="ListParagraph"/>
        <w:numPr>
          <w:ilvl w:val="0"/>
          <w:numId w:val="2"/>
        </w:numPr>
        <w:spacing w:after="60" w:line="264"/>
      </w:pPr>
      <w:r>
        <w:rPr>
          <w:rFonts w:ascii="Arial" w:cs="Arial" w:eastAsia="Arial" w:hAnsi="Arial"/>
          <w:color w:val="2C3E50"/>
          <w:sz w:val="20"/>
          <w:szCs w:val="20"/>
        </w:rPr>
        <w:t xml:space="preserve">Smith HL et al. (2024) ATR/CHK1/WEE1 inhibitors + PARP synthetic lethality. Br J Cancer 131:905–917</w:t>
      </w:r>
    </w:p>
    <w:p>
      <w:pPr>
        <w:pStyle w:val="Heading2"/>
        <w:spacing w:after="150" w:before="300"/>
      </w:pPr>
      <w:r>
        <w:rPr>
          <w:rFonts w:ascii="Georgia" w:cs="Georgia" w:eastAsia="Georgia" w:hAnsi="Georgia"/>
          <w:b/>
          <w:bCs/>
          <w:color w:val="0E6655"/>
          <w:sz w:val="25"/>
          <w:szCs w:val="25"/>
        </w:rPr>
        <w:t xml:space="preserve">10.7 Loss of Heterozygosity</w:t>
      </w:r>
    </w:p>
    <w:p>
      <w:pPr>
        <w:pStyle w:val="ListParagraph"/>
        <w:numPr>
          <w:ilvl w:val="0"/>
          <w:numId w:val="2"/>
        </w:numPr>
        <w:spacing w:after="60" w:line="264"/>
      </w:pPr>
      <w:r>
        <w:rPr>
          <w:rFonts w:ascii="Arial" w:cs="Arial" w:eastAsia="Arial" w:hAnsi="Arial"/>
          <w:color w:val="2C3E50"/>
          <w:sz w:val="20"/>
          <w:szCs w:val="20"/>
        </w:rPr>
        <w:t xml:space="preserve">Knudson AG (1971) Mutation and cancer: retinoblastoma. PNAS 68:820–823</w:t>
      </w:r>
    </w:p>
    <w:p>
      <w:pPr>
        <w:pStyle w:val="ListParagraph"/>
        <w:numPr>
          <w:ilvl w:val="0"/>
          <w:numId w:val="2"/>
        </w:numPr>
        <w:spacing w:after="60" w:line="264"/>
      </w:pPr>
      <w:r>
        <w:rPr>
          <w:rFonts w:ascii="Arial" w:cs="Arial" w:eastAsia="Arial" w:hAnsi="Arial"/>
          <w:color w:val="2C3E50"/>
          <w:sz w:val="20"/>
          <w:szCs w:val="20"/>
        </w:rPr>
        <w:t xml:space="preserve">Yoshida M et al. (2022) Somatic gene conversion as LOH mechanism. Genome Research (14.8% of LOH across 6,285 patients)</w:t>
      </w:r>
    </w:p>
    <w:p>
      <w:r>
        <w:br w:type="page"/>
      </w:r>
    </w:p>
    <w:p>
      <w:pPr>
        <w:pStyle w:val="Heading1"/>
        <w:spacing w:after="200" w:before="400"/>
      </w:pPr>
      <w:r>
        <w:rPr>
          <w:rFonts w:ascii="Georgia" w:cs="Georgia" w:eastAsia="Georgia" w:hAnsi="Georgia"/>
          <w:b/>
          <w:bCs/>
          <w:color w:val="1B4F72"/>
          <w:sz w:val="30"/>
          <w:szCs w:val="30"/>
        </w:rPr>
        <w:t xml:space="preserve">11. Conclusion and Broader Impact</w:t>
      </w:r>
    </w:p>
    <w:p>
      <w:pPr>
        <w:spacing w:after="120" w:line="264"/>
        <w:jc w:val="both"/>
      </w:pPr>
      <w:r>
        <w:rPr>
          <w:rFonts w:ascii="Arial" w:cs="Arial" w:eastAsia="Arial" w:hAnsi="Arial"/>
          <w:color w:val="2C3E50"/>
          <w:sz w:val="20"/>
          <w:szCs w:val="20"/>
        </w:rPr>
        <w:t xml:space="preserve">This POLE c.138del variant represents a natural experiment at the intersection of replication biology, cancer genetics, immunotherapy, and developmental biology. The mechanistic paradox — a truncating variant that eliminates all functional domains yet produces classical PPAP with ultra-hypermutation — directly challenges current models of how polymerase proofreading fidelity relates to cancer risk.</w:t>
      </w:r>
    </w:p>
    <w:p>
      <w:pPr>
        <w:spacing w:after="120" w:line="264"/>
        <w:jc w:val="both"/>
      </w:pPr>
      <w:r>
        <w:rPr>
          <w:rFonts w:ascii="Arial" w:cs="Arial" w:eastAsia="Arial" w:hAnsi="Arial"/>
          <w:color w:val="2C3E50"/>
          <w:sz w:val="20"/>
          <w:szCs w:val="20"/>
        </w:rPr>
        <w:t xml:space="preserve">The clinical phenotype extends the challenge further. The thyroid carcinoma could expand the PPAP tumor spectrum. The severe endometriosis raises the novel question of whether POLE dysfunction contributes to endometrial biology beyond cancer. The congenital duplicated IVC suggests developmental effects that cannot be explained by somatic LOH. Together, these findings argue that POLE dysfunction in this variant operates at a systemic level affecting tissue homeostasis, differentiation, and developmental patterning.</w:t>
      </w:r>
    </w:p>
    <w:p>
      <w:pPr>
        <w:spacing w:after="120" w:line="264"/>
        <w:jc w:val="both"/>
      </w:pPr>
      <w:r>
        <w:rPr>
          <w:rFonts w:ascii="Arial" w:cs="Arial" w:eastAsia="Arial" w:hAnsi="Arial"/>
          <w:color w:val="2C3E50"/>
          <w:sz w:val="20"/>
          <w:szCs w:val="20"/>
        </w:rPr>
        <w:t xml:space="preserve">If the two-hit / LOH model is confirmed, truncating POLE variants currently classified as VUS may need reclassification as pathogenic cancer predisposition alleles. If replication stress-dependent haploinsufficiency is confirmed, POLE proofreading operates at a threshold rather than linear dose-response, altering risk models for all heterozygous carriers. If translational reinitiation is demonstrated, it establishes an unprecedented route to phenocopying PPAP with implications for premature stop codon interpretation genome-wide.</w:t>
      </w:r>
    </w:p>
    <w:p>
      <w:pPr>
        <w:spacing w:after="120" w:line="264"/>
        <w:jc w:val="both"/>
      </w:pPr>
      <w:r>
        <w:rPr>
          <w:rFonts w:ascii="Arial" w:cs="Arial" w:eastAsia="Arial" w:hAnsi="Arial"/>
          <w:color w:val="2C3E50"/>
          <w:sz w:val="20"/>
          <w:szCs w:val="20"/>
        </w:rPr>
        <w:t xml:space="preserve">Regardless of mechanism, the ultra-hypermutated phenotype opens immediate therapeutic opportunities: checkpoint inhibitor therapy, neoantigen vaccination, and synthetic lethality strategies. Blood-based assays and the 20 advanced research domains outlined here can simultaneously drive mechanistic understanding and clinical management.</w:t>
      </w:r>
    </w:p>
    <w:p>
      <w:pPr>
        <w:spacing w:after="40"/>
      </w:pPr>
    </w:p>
    <w:p>
      <w:pPr>
        <w:spacing w:after="120" w:line="264"/>
        <w:jc w:val="both"/>
      </w:pPr>
      <w:r>
        <w:rPr>
          <w:rFonts w:ascii="Arial" w:cs="Arial" w:eastAsia="Arial" w:hAnsi="Arial"/>
          <w:b/>
          <w:bCs/>
          <w:i/>
          <w:iCs/>
          <w:color w:val="1B4F72"/>
          <w:sz w:val="20"/>
          <w:szCs w:val="20"/>
        </w:rPr>
        <w:t xml:space="preserve">This single variant, properly investigated, could restructure the clinical genetics framework for an entire gene.</w:t>
      </w:r>
    </w:p>
    <w:sectPr>
      <w:headerReference w:type="default" r:id="rId7"/>
      <w:footerReference w:type="default" r:id="rId8"/>
      <w:pgSz w:w="12240" w:h="15840" w:orient="portrait"/>
      <w:pgMar w:top="1296"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POLE c.138del — Comprehensive Research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4F72"/>
      <w:sz w:val="30"/>
      <w:szCs w:val="30"/>
    </w:rPr>
  </w:style>
  <w:style w:type="paragraph" w:styleId="Heading2">
    <w:name w:val="Heading 2"/>
    <w:basedOn w:val="Normal"/>
    <w:next w:val="Normal"/>
    <w:qFormat/>
    <w:pPr>
      <w:spacing w:after="150" w:before="300"/>
      <w:outlineLvl w:val="1"/>
    </w:pPr>
    <w:rPr>
      <w:rFonts w:ascii="Georgia" w:cs="Georgia" w:eastAsia="Georgia" w:hAnsi="Georgia"/>
      <w:b/>
      <w:bCs/>
      <w:color w:val="0E66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2026-04-15T00:21:30.964Z</dcterms:created>
  <dcterms:modified xsi:type="dcterms:W3CDTF">2026-04-15T00:21:30.965Z</dcterms:modified>
</cp:coreProperties>
</file>

<file path=docProps/custom.xml><?xml version="1.0" encoding="utf-8"?>
<Properties xmlns="http://schemas.openxmlformats.org/officeDocument/2006/custom-properties" xmlns:vt="http://schemas.openxmlformats.org/officeDocument/2006/docPropsVTypes"/>
</file>