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Arial" w:cs="Arial" w:eastAsia="Arial" w:hAnsi="Arial"/>
          <w:b/>
          <w:bCs/>
          <w:color w:val="5D6D7E"/>
          <w:sz w:val="22"/>
          <w:szCs w:val="22"/>
        </w:rPr>
        <w:t xml:space="preserve">POLE HAPLOINSUFFICIENCY AND ENDOMETRIOSIS</w:t>
      </w:r>
    </w:p>
    <w:p>
      <w:pPr>
        <w:spacing w:after="100"/>
        <w:jc w:val="center"/>
      </w:pPr>
      <w:r>
        <w:rPr>
          <w:rFonts w:ascii="Georgia" w:cs="Georgia" w:eastAsia="Georgia" w:hAnsi="Georgia"/>
          <w:b/>
          <w:bCs/>
          <w:color w:val="1B4F72"/>
          <w:sz w:val="40"/>
          <w:szCs w:val="40"/>
        </w:rPr>
        <w:t xml:space="preserve">A Novel Research Hypothesis</w:t>
      </w:r>
    </w:p>
    <w:p>
      <w:pPr>
        <w:spacing w:after="160"/>
        <w:jc w:val="center"/>
      </w:pPr>
      <w:r>
        <w:rPr>
          <w:rFonts w:ascii="Georgia" w:cs="Georgia" w:eastAsia="Georgia" w:hAnsi="Georgia"/>
          <w:color w:val="0E6655"/>
          <w:sz w:val="24"/>
          <w:szCs w:val="24"/>
        </w:rPr>
        <w:t xml:space="preserve">Does Germline POLE Dysfunction Contribute to Endometriosis Severity?</w:t>
      </w:r>
    </w:p>
    <w:p>
      <w:pPr>
        <w:spacing w:after="80"/>
        <w:jc w:val="center"/>
      </w:pPr>
      <w:r>
        <w:rPr>
          <w:rFonts w:ascii="Arial" w:cs="Arial" w:eastAsia="Arial" w:hAnsi="Arial"/>
          <w:color w:val="5D6D7E"/>
          <w:sz w:val="20"/>
          <w:szCs w:val="20"/>
        </w:rPr>
        <w:t xml:space="preserve">Estrogen-Driven Replication Demand | Somatic Mutation Burden | Tissue-Specific Vulnerability</w:t>
      </w:r>
    </w:p>
    <w:p>
      <w:pPr>
        <w:spacing w:after="300"/>
        <w:jc w:val="center"/>
      </w:pPr>
      <w:r>
        <w:rPr>
          <w:rFonts w:ascii="Arial" w:cs="Arial" w:eastAsia="Arial" w:hAnsi="Arial"/>
          <w:color w:val="5D6D7E"/>
          <w:sz w:val="20"/>
          <w:szCs w:val="20"/>
        </w:rPr>
        <w:t xml:space="preserve">Evidence from POLE c.138del (p.Leu46Phefs*8) with Stage IV+ Deep Infiltrating Endometriosis</w:t>
      </w:r>
    </w:p>
    <w:p>
      <w:pPr>
        <w:jc w:val="center"/>
      </w:pPr>
      <w:r>
        <w:rPr>
          <w:rFonts w:ascii="Arial" w:cs="Arial" w:eastAsia="Arial" w:hAnsi="Arial"/>
          <w:i/>
          <w:iCs/>
          <w:color w:val="7F8C8D"/>
          <w:sz w:val="18"/>
          <w:szCs w:val="18"/>
        </w:rPr>
        <w:t xml:space="preserve">Companion document to the POLE c.138del Research Framework</w:t>
      </w:r>
    </w:p>
    <w:p>
      <w:pPr>
        <w:jc w:val="center"/>
      </w:pPr>
      <w:r>
        <w:rPr>
          <w:rFonts w:ascii="Arial" w:cs="Arial" w:eastAsia="Arial" w:hAnsi="Arial"/>
          <w:i/>
          <w:iCs/>
          <w:color w:val="0E6655"/>
          <w:sz w:val="18"/>
          <w:szCs w:val="18"/>
        </w:rPr>
        <w:t xml:space="preserve">https://github.com/Bloomed-Health/POLE-Frameshift</w:t>
      </w:r>
    </w:p>
    <w:p>
      <w:r>
        <w:br w:type="page"/>
      </w:r>
    </w:p>
    <w:p>
      <w:pPr>
        <w:pStyle w:val="Heading1"/>
        <w:spacing w:after="200" w:before="400"/>
      </w:pPr>
      <w:r>
        <w:rPr>
          <w:rFonts w:ascii="Georgia" w:cs="Georgia" w:eastAsia="Georgia" w:hAnsi="Georgia"/>
          <w:b/>
          <w:bCs/>
          <w:color w:val="1B4F72"/>
          <w:sz w:val="30"/>
          <w:szCs w:val="30"/>
        </w:rPr>
        <w:t xml:space="preserve">1. The Hypothesis</w:t>
      </w:r>
    </w:p>
    <w:p>
      <w:pPr>
        <w:spacing w:after="120" w:line="276"/>
        <w:jc w:val="both"/>
      </w:pPr>
      <w:r>
        <w:rPr>
          <w:rFonts w:ascii="Arial" w:cs="Arial" w:eastAsia="Arial" w:hAnsi="Arial"/>
          <w:color w:val="2C3E50"/>
          <w:sz w:val="20"/>
          <w:szCs w:val="20"/>
        </w:rPr>
        <w:t xml:space="preserve">This document presents a novel research hypothesis that has never been investigated in the published literature: that germline POLE haploinsufficiency contributes to the severity and invasiveness of endometriosis. The hypothesis arises from the convergence of two observations in a single patient — a germline POLE c.138del (p.Leu46Phefs*8) frameshift variant producing Polymerase Proofreading-Associated Polyposis (PPAP), and an extraordinarily severe presentation of deep infiltrating endometriosis with trans-diaphragmatic extension.</w:t>
      </w:r>
    </w:p>
    <w:p>
      <w:pPr>
        <w:spacing w:after="120" w:line="276"/>
        <w:jc w:val="both"/>
      </w:pPr>
      <w:r>
        <w:rPr>
          <w:rFonts w:ascii="Arial" w:cs="Arial" w:eastAsia="Arial" w:hAnsi="Arial"/>
          <w:color w:val="2C3E50"/>
          <w:sz w:val="20"/>
          <w:szCs w:val="20"/>
        </w:rPr>
        <w:t xml:space="preserve">The hypothesis rests on three pillars. First, the endometrium is among the most POLE-vulnerable tissues in the body: somatic POLE mutations occur in 7–13% of sporadic endometrial cancers, more than any other solid tumor type except colorectal cancer. Second, deep infiltrating endometriosis has recently been shown to harbor somatic mutations in cancer driver genes in approximately 79% of lesions, with mutational signatures suggesting defective DNA repair. Third, the endometrium undergoes estrogen-driven proliferative cycling approximately 450 times in a woman’s lifetime, creating extraordinary cumulative replication demand — demand that depends on POLE proofreading fidelity.</w:t>
      </w:r>
    </w:p>
    <w:p>
      <w:pPr>
        <w:spacing w:after="120" w:line="276"/>
        <w:jc w:val="both"/>
      </w:pPr>
      <w:r>
        <w:rPr>
          <w:rFonts w:ascii="Arial" w:cs="Arial" w:eastAsia="Arial" w:hAnsi="Arial"/>
          <w:color w:val="2C3E50"/>
          <w:sz w:val="20"/>
          <w:szCs w:val="20"/>
        </w:rPr>
        <w:t xml:space="preserve">If POLE haploinsufficiency increases the somatic mutation rate in endometrial stem cells, it would generate more mutant clones with proliferative and invasive advantages — clones that seed, survive, and invade at ectopic sites. This would predict more severe endometriosis in germline POLE variant carriers. The patient described here represents the first known case in which these two conditions coexist, and her surgical findings are consistent with this prediction.</w:t>
      </w:r>
    </w:p>
    <w:p>
      <w:r>
        <w:br w:type="page"/>
      </w:r>
    </w:p>
    <w:p>
      <w:pPr>
        <w:pStyle w:val="Heading1"/>
        <w:spacing w:after="200" w:before="400"/>
      </w:pPr>
      <w:r>
        <w:rPr>
          <w:rFonts w:ascii="Georgia" w:cs="Georgia" w:eastAsia="Georgia" w:hAnsi="Georgia"/>
          <w:b/>
          <w:bCs/>
          <w:color w:val="1B4F72"/>
          <w:sz w:val="30"/>
          <w:szCs w:val="30"/>
        </w:rPr>
        <w:t xml:space="preserve">2. Clinical Endometriosis Findings</w:t>
      </w:r>
    </w:p>
    <w:p>
      <w:pPr>
        <w:spacing w:after="120" w:line="276"/>
        <w:jc w:val="both"/>
      </w:pPr>
      <w:r>
        <w:rPr>
          <w:rFonts w:ascii="Arial" w:cs="Arial" w:eastAsia="Arial" w:hAnsi="Arial"/>
          <w:color w:val="2C3E50"/>
          <w:sz w:val="20"/>
          <w:szCs w:val="20"/>
        </w:rPr>
        <w:t xml:space="preserve">Two surgical interventions documented extensive disease. The findings are summarized here in terms of their scientific and pathological significance.</w:t>
      </w:r>
    </w:p>
    <w:p>
      <w:pPr>
        <w:spacing w:after="40"/>
      </w:pPr>
    </w:p>
    <w:p>
      <w:pPr>
        <w:pStyle w:val="Heading2"/>
        <w:spacing w:after="150" w:before="300"/>
      </w:pPr>
      <w:r>
        <w:rPr>
          <w:rFonts w:ascii="Georgia" w:cs="Georgia" w:eastAsia="Georgia" w:hAnsi="Georgia"/>
          <w:b/>
          <w:bCs/>
          <w:color w:val="0E6655"/>
          <w:sz w:val="25"/>
          <w:szCs w:val="25"/>
        </w:rPr>
        <w:t xml:space="preserve">2.1 Anatomical Distribution and Disease Burden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3724"/>
        <w:gridCol w:w="3724"/>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Anatomical Site</w:t>
            </w:r>
          </w:p>
        </w:tc>
        <w:tc>
          <w:tcPr>
            <w:tcW w:type="dxa" w:w="37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37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Clinical Significance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Diaphragm (abdominal surface)</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Multiple endometriotic nodules over 5 cm² area on muscular diaphragm</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Trans-peritoneal spread to upper abdomen; indicates aggressive dissemination beyond the pelvis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Diaphragm (thoracic surface)</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Thoracic cavity entered; thoracic diaphragmatic surface covered with endometriosis nodules</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Trans-diaphragmatic penetration — full-thickness muscular invasion; diaphragmatic endometriosis occurs in only ~1.5% of all cases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Right pelvic brim peritoneum</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Powder burn and foci lesions requiring complete peritoneal excision</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Both active (powder burn) and established (fibrotic) lesions present simultaneously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Bilateral ovarian fossae</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Bilateral disease; 5 cm endometrioma (right), 2 cm hemorrhagic cyst (left); bilateral ovarian cystectomy performed</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Bilateral ovarian involvement with endometriomas indicates chronic, recurrent disease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Uterosacral ligaments</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2 cm right uterosacral nodule; bilateral uterosacral ligament implants</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Classical deep infiltrating endometriosis location; nodular morphology indicates invasive growth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Retroperitoneal space</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Retroperitoneal fibrosis from endometriosis requiring right ureterolysis; ureter encased by endometriotic tissue</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Fibrotic remodeling indicates chronic inflammatory process; ureteral involvement is a hallmark of severe disease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Ascending colon / bowel</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Ascending colon adherent to right peritoneum; filmy adhesions of bowel to lateral pelvic sidewalls</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GI involvement; adhesion formation reflects chronic peritoneal inflammation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Appendix</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Appendectomy performed due to endometriosis involving appendiceal tissue; histology confirmed hemosiderin-laden macrophages</w:t>
            </w:r>
          </w:p>
        </w:tc>
        <w:tc>
          <w:tcPr>
            <w:tcW w:type="dxa" w:w="37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Appendiceal endometriosis is uncommon (~3–5% of cases); histological confirmation with hemosiderin-laden macrophages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Posterior cul-de-sac</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Diffuse endometriotic implants</w:t>
            </w:r>
          </w:p>
        </w:tc>
        <w:tc>
          <w:tcPr>
            <w:tcW w:type="dxa" w:w="37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Classic location; diffuse pattern indicates widespread seeding</w:t>
            </w:r>
          </w:p>
        </w:tc>
      </w:tr>
    </w:tbl>
    <w:p>
      <w:pPr>
        <w:spacing w:after="40"/>
      </w:pPr>
    </w:p>
    <w:p>
      <w:pPr>
        <w:pStyle w:val="Heading2"/>
        <w:spacing w:after="150" w:before="300"/>
      </w:pPr>
      <w:r>
        <w:rPr>
          <w:rFonts w:ascii="Georgia" w:cs="Georgia" w:eastAsia="Georgia" w:hAnsi="Georgia"/>
          <w:b/>
          <w:bCs/>
          <w:color w:val="0E6655"/>
          <w:sz w:val="25"/>
          <w:szCs w:val="25"/>
        </w:rPr>
        <w:t xml:space="preserve">2.2 Disease Characterization</w:t>
      </w:r>
    </w:p>
    <w:p>
      <w:pPr>
        <w:spacing w:after="120" w:line="276"/>
        <w:jc w:val="both"/>
      </w:pPr>
      <w:r>
        <w:rPr>
          <w:rFonts w:ascii="Arial" w:cs="Arial" w:eastAsia="Arial" w:hAnsi="Arial"/>
          <w:b/>
          <w:bCs/>
          <w:color w:val="0E6655"/>
          <w:sz w:val="20"/>
          <w:szCs w:val="20"/>
        </w:rPr>
        <w:t xml:space="preserve">Classification: </w:t>
      </w:r>
      <w:r>
        <w:rPr>
          <w:rFonts w:ascii="Arial" w:cs="Arial" w:eastAsia="Arial" w:hAnsi="Arial"/>
          <w:color w:val="2C3E50"/>
          <w:sz w:val="20"/>
          <w:szCs w:val="20"/>
        </w:rPr>
        <w:t xml:space="preserve">rASRM/ASRM Stage IV (severe) deep infiltrating endometriosis with extrapelvic extension. The combination of bilateral ovarian endometriomas, deep nodular implants on uterosacral ligaments, retroperitoneal fibrosis with ureteral involvement, bowel/appendiceal involvement, and trans-diaphragmatic penetration into the thoracic cavity places this presentation at the extreme end of disease severity.</w:t>
      </w:r>
    </w:p>
    <w:p>
      <w:pPr>
        <w:spacing w:after="40"/>
      </w:pPr>
    </w:p>
    <w:p>
      <w:pPr>
        <w:spacing w:after="120" w:line="276"/>
        <w:jc w:val="both"/>
      </w:pPr>
      <w:r>
        <w:rPr>
          <w:rFonts w:ascii="Arial" w:cs="Arial" w:eastAsia="Arial" w:hAnsi="Arial"/>
          <w:b/>
          <w:bCs/>
          <w:color w:val="0E6655"/>
          <w:sz w:val="20"/>
          <w:szCs w:val="20"/>
        </w:rPr>
        <w:t xml:space="preserve">Morphological subtypes present: </w:t>
      </w:r>
      <w:r>
        <w:rPr>
          <w:rFonts w:ascii="Arial" w:cs="Arial" w:eastAsia="Arial" w:hAnsi="Arial"/>
          <w:color w:val="2C3E50"/>
          <w:sz w:val="20"/>
          <w:szCs w:val="20"/>
        </w:rPr>
        <w:t xml:space="preserve">The operative findings document at least three morphological subtypes coexisting: superficial peritoneal lesions (powder burn foci), deep infiltrating nodules (uterosacral, diaphragmatic), and ovarian endometriomas. This heterogeneity within a single patient is consistent with the oligoclonal dissemination model described in genomic studies (Anglesio et al., 2017; Lac et al., 2022), where distinct endometriotic lesions arise from clones carrying different somatic mutations.</w:t>
      </w:r>
    </w:p>
    <w:p>
      <w:pPr>
        <w:spacing w:after="40"/>
      </w:pPr>
    </w:p>
    <w:p>
      <w:pPr>
        <w:spacing w:after="120" w:line="276"/>
        <w:jc w:val="both"/>
      </w:pPr>
      <w:r>
        <w:rPr>
          <w:rFonts w:ascii="Arial" w:cs="Arial" w:eastAsia="Arial" w:hAnsi="Arial"/>
          <w:b/>
          <w:bCs/>
          <w:color w:val="0E6655"/>
          <w:sz w:val="20"/>
          <w:szCs w:val="20"/>
        </w:rPr>
        <w:t xml:space="preserve">Tissue remodeling: </w:t>
      </w:r>
      <w:r>
        <w:rPr>
          <w:rFonts w:ascii="Arial" w:cs="Arial" w:eastAsia="Arial" w:hAnsi="Arial"/>
          <w:color w:val="2C3E50"/>
          <w:sz w:val="20"/>
          <w:szCs w:val="20"/>
        </w:rPr>
        <w:t xml:space="preserve">The retroperitoneal fibrosis requiring ureterolysis indicates chronic tissue injury-repair cycling — a process known to promote somatic mutagenesis. Each cycle of tissue damage and regeneration in the context of POLE haploinsufficiency would be expected to introduce additional replication errors, accelerating the accumulation of mutations that confer invasive potential.</w:t>
      </w:r>
    </w:p>
    <w:p>
      <w:pPr>
        <w:spacing w:after="40"/>
      </w:pPr>
    </w:p>
    <w:p>
      <w:pPr>
        <w:pStyle w:val="Heading2"/>
        <w:spacing w:after="150" w:before="300"/>
      </w:pPr>
      <w:r>
        <w:rPr>
          <w:rFonts w:ascii="Georgia" w:cs="Georgia" w:eastAsia="Georgia" w:hAnsi="Georgia"/>
          <w:b/>
          <w:bCs/>
          <w:color w:val="0E6655"/>
          <w:sz w:val="25"/>
          <w:szCs w:val="25"/>
        </w:rPr>
        <w:t xml:space="preserve">2.3 Gastrointestinal Comorbidities</w:t>
      </w:r>
    </w:p>
    <w:p>
      <w:pPr>
        <w:spacing w:after="120" w:line="276"/>
        <w:jc w:val="both"/>
      </w:pPr>
      <w:r>
        <w:rPr>
          <w:rFonts w:ascii="Arial" w:cs="Arial" w:eastAsia="Arial" w:hAnsi="Arial"/>
          <w:color w:val="2C3E50"/>
          <w:sz w:val="20"/>
          <w:szCs w:val="20"/>
        </w:rPr>
        <w:t xml:space="preserve">The patient also has documented recurrent small intestinal bacterial overgrowth (SIBO) and gastric dysmotility requiring medication. These findings may be interconnected with the endometriosis in multiple ways:</w:t>
      </w:r>
    </w:p>
    <w:p>
      <w:pPr>
        <w:pStyle w:val="ListParagraph"/>
        <w:numPr>
          <w:ilvl w:val="0"/>
          <w:numId w:val="2"/>
        </w:numPr>
        <w:spacing w:after="60" w:line="276"/>
      </w:pPr>
      <w:r>
        <w:rPr>
          <w:rFonts w:ascii="Arial" w:cs="Arial" w:eastAsia="Arial" w:hAnsi="Arial"/>
          <w:color w:val="2C3E50"/>
          <w:sz w:val="20"/>
          <w:szCs w:val="20"/>
        </w:rPr>
        <w:t xml:space="preserve">Anatomical: Bowel adhesions from endometriosis (ascending colon adherence to peritoneum, bowel-to-sidewall adhesions) can physically impair intestinal motility, creating conditions for bacterial overgrowth.</w:t>
      </w:r>
    </w:p>
    <w:p>
      <w:pPr>
        <w:pStyle w:val="ListParagraph"/>
        <w:numPr>
          <w:ilvl w:val="0"/>
          <w:numId w:val="2"/>
        </w:numPr>
        <w:spacing w:after="60" w:line="276"/>
      </w:pPr>
      <w:r>
        <w:rPr>
          <w:rFonts w:ascii="Arial" w:cs="Arial" w:eastAsia="Arial" w:hAnsi="Arial"/>
          <w:color w:val="2C3E50"/>
          <w:sz w:val="20"/>
          <w:szCs w:val="20"/>
        </w:rPr>
        <w:t xml:space="preserve">Inflammatory: Chronic peritoneal inflammation from endometriosis can affect enteric nervous system function and gut motility through inflammatory cytokine signaling.</w:t>
      </w:r>
    </w:p>
    <w:p>
      <w:pPr>
        <w:pStyle w:val="ListParagraph"/>
        <w:numPr>
          <w:ilvl w:val="0"/>
          <w:numId w:val="2"/>
        </w:numPr>
        <w:spacing w:after="60" w:line="276"/>
      </w:pPr>
      <w:r>
        <w:rPr>
          <w:rFonts w:ascii="Arial" w:cs="Arial" w:eastAsia="Arial" w:hAnsi="Arial"/>
          <w:color w:val="2C3E50"/>
          <w:sz w:val="20"/>
          <w:szCs w:val="20"/>
        </w:rPr>
        <w:t xml:space="preserve">The combination of adenomatous polyps (PPAP), endometriotic bowel involvement, adhesions, and dysmotility creates a complex GI phenotype where multiple POLE-related pathologies may synergistically impair intestinal function.</w:t>
      </w:r>
    </w:p>
    <w:p>
      <w:pPr>
        <w:pStyle w:val="ListParagraph"/>
        <w:numPr>
          <w:ilvl w:val="0"/>
          <w:numId w:val="2"/>
        </w:numPr>
        <w:spacing w:after="60" w:line="276"/>
      </w:pPr>
      <w:r>
        <w:rPr>
          <w:rFonts w:ascii="Arial" w:cs="Arial" w:eastAsia="Arial" w:hAnsi="Arial"/>
          <w:color w:val="2C3E50"/>
          <w:sz w:val="20"/>
          <w:szCs w:val="20"/>
        </w:rPr>
        <w:t xml:space="preserve">Alternatively, POLE dysfunction itself could affect the enteric nervous system or interstitial cells of Cajal (GI pacemaker cells) if POLE haploinsufficiency impairs DNA repair in these post-mitotic cells during their initial development, though this is speculative.</w:t>
      </w:r>
    </w:p>
    <w:p>
      <w:r>
        <w:br w:type="page"/>
      </w:r>
    </w:p>
    <w:p>
      <w:pPr>
        <w:pStyle w:val="Heading1"/>
        <w:spacing w:after="200" w:before="400"/>
      </w:pPr>
      <w:r>
        <w:rPr>
          <w:rFonts w:ascii="Georgia" w:cs="Georgia" w:eastAsia="Georgia" w:hAnsi="Georgia"/>
          <w:b/>
          <w:bCs/>
          <w:color w:val="1B4F72"/>
          <w:sz w:val="30"/>
          <w:szCs w:val="30"/>
        </w:rPr>
        <w:t xml:space="preserve">3. Why the Endometrium Is Uniquely POLE-Vulnerable</w:t>
      </w:r>
    </w:p>
    <w:p>
      <w:pPr>
        <w:pStyle w:val="Heading2"/>
        <w:spacing w:after="150" w:before="300"/>
      </w:pPr>
      <w:r>
        <w:rPr>
          <w:rFonts w:ascii="Georgia" w:cs="Georgia" w:eastAsia="Georgia" w:hAnsi="Georgia"/>
          <w:b/>
          <w:bCs/>
          <w:color w:val="0E6655"/>
          <w:sz w:val="25"/>
          <w:szCs w:val="25"/>
        </w:rPr>
        <w:t xml:space="preserve">3.1 Replication Demand</w:t>
      </w:r>
    </w:p>
    <w:p>
      <w:pPr>
        <w:spacing w:after="120" w:line="276"/>
        <w:jc w:val="both"/>
      </w:pPr>
      <w:r>
        <w:rPr>
          <w:rFonts w:ascii="Arial" w:cs="Arial" w:eastAsia="Arial" w:hAnsi="Arial"/>
          <w:color w:val="2C3E50"/>
          <w:sz w:val="20"/>
          <w:szCs w:val="20"/>
        </w:rPr>
        <w:t xml:space="preserve">The endometrium is one of the most proliferatively active tissues in the human body. During each menstrual cycle, the functional layer regenerates from approximately 3 mm to 9–12 mm thickness in the space of approximately 14 days. This estrogen-driven proliferative expansion requires massive DNA replication — and therefore massive POLE proofreading activity.</w:t>
      </w:r>
    </w:p>
    <w:p>
      <w:pPr>
        <w:spacing w:after="120" w:line="276"/>
        <w:jc w:val="both"/>
      </w:pPr>
      <w:r>
        <w:rPr>
          <w:rFonts w:ascii="Arial" w:cs="Arial" w:eastAsia="Arial" w:hAnsi="Arial"/>
          <w:color w:val="2C3E50"/>
          <w:sz w:val="20"/>
          <w:szCs w:val="20"/>
        </w:rPr>
        <w:t xml:space="preserve">Over a reproductive lifespan, the endometrium is regenerated approximately 400–450 times. Each regeneration cycle involves the clonal expansion of stem cells in the basalis layer, with DNA replication errors accumulating with each division. POLE proofreading corrects the majority of these errors, but in a heterozygous carrier with only one functional POLE allele, the error correction capacity is reduced — particularly during periods of peak replication demand.</w:t>
      </w:r>
    </w:p>
    <w:p>
      <w:pPr>
        <w:pStyle w:val="Heading2"/>
        <w:spacing w:after="150" w:before="300"/>
      </w:pPr>
      <w:r>
        <w:rPr>
          <w:rFonts w:ascii="Georgia" w:cs="Georgia" w:eastAsia="Georgia" w:hAnsi="Georgia"/>
          <w:b/>
          <w:bCs/>
          <w:color w:val="0E6655"/>
          <w:sz w:val="25"/>
          <w:szCs w:val="25"/>
        </w:rPr>
        <w:t xml:space="preserve">3.2 POLE in Endometrial Cancer: The Established Connection</w:t>
      </w:r>
    </w:p>
    <w:p>
      <w:pPr>
        <w:spacing w:after="120" w:line="276"/>
        <w:jc w:val="both"/>
      </w:pPr>
      <w:r>
        <w:rPr>
          <w:rFonts w:ascii="Arial" w:cs="Arial" w:eastAsia="Arial" w:hAnsi="Arial"/>
          <w:color w:val="2C3E50"/>
          <w:sz w:val="20"/>
          <w:szCs w:val="20"/>
        </w:rPr>
        <w:t xml:space="preserve">The endometrium is already recognized as one of the most POLE-sensitive tissues in cancer genetics. TCGA molecular classification of endometrial carcinoma identifies POLE-ultramutated as one of four molecular subtypes, representing approximately 7–13% of all endometrial cancers. POLE expression levels in endometrial tumors are significantly higher than in adjacent normal tissue (Cell Death &amp; Disease, 2024). Type I endometrial cancer — which constitutes 70–80% of all EC — is estrogen-dependent, arising from prolonged estrogen stimulation and endometrial hyperplasia.</w:t>
      </w:r>
    </w:p>
    <w:p>
      <w:pPr>
        <w:spacing w:after="120" w:line="276"/>
        <w:jc w:val="both"/>
      </w:pPr>
      <w:r>
        <w:rPr>
          <w:rFonts w:ascii="Arial" w:cs="Arial" w:eastAsia="Arial" w:hAnsi="Arial"/>
          <w:color w:val="2C3E50"/>
          <w:sz w:val="20"/>
          <w:szCs w:val="20"/>
        </w:rPr>
        <w:t xml:space="preserve">This established connection between POLE, estrogen, and endometrial cancer provides the biological foundation for asking whether POLE dysfunction also affects the non-malignant endometrial conditions that share the same tissue biology — specifically endometriosis.</w:t>
      </w:r>
    </w:p>
    <w:p>
      <w:pPr>
        <w:pStyle w:val="Heading2"/>
        <w:spacing w:after="150" w:before="300"/>
      </w:pPr>
      <w:r>
        <w:rPr>
          <w:rFonts w:ascii="Georgia" w:cs="Georgia" w:eastAsia="Georgia" w:hAnsi="Georgia"/>
          <w:b/>
          <w:bCs/>
          <w:color w:val="0E6655"/>
          <w:sz w:val="25"/>
          <w:szCs w:val="25"/>
        </w:rPr>
        <w:t xml:space="preserve">3.3 The Estrogen-POLE Axis: An Untested Hypothesis</w:t>
      </w:r>
    </w:p>
    <w:p>
      <w:pPr>
        <w:spacing w:after="120" w:line="276"/>
        <w:jc w:val="both"/>
      </w:pPr>
      <w:r>
        <w:rPr>
          <w:rFonts w:ascii="Arial" w:cs="Arial" w:eastAsia="Arial" w:hAnsi="Arial"/>
          <w:color w:val="2C3E50"/>
          <w:sz w:val="20"/>
          <w:szCs w:val="20"/>
        </w:rPr>
        <w:t xml:space="preserve">The central question is whether estrogen directly regulates POLE gene expression, or whether POLE expression rises only passively as estrogen drives more cells into S-phase. This distinction matters:</w:t>
      </w:r>
    </w:p>
    <w:p>
      <w:pPr>
        <w:pStyle w:val="ListParagraph"/>
        <w:numPr>
          <w:ilvl w:val="0"/>
          <w:numId w:val="2"/>
        </w:numPr>
        <w:spacing w:after="60" w:line="276"/>
      </w:pPr>
      <w:r>
        <w:rPr>
          <w:rFonts w:ascii="Arial" w:cs="Arial" w:eastAsia="Arial" w:hAnsi="Arial"/>
          <w:color w:val="2C3E50"/>
          <w:sz w:val="20"/>
          <w:szCs w:val="20"/>
        </w:rPr>
        <w:t xml:space="preserve">If POLE is a direct estrogen target gene (with ERE elements in its promoter bound by ERα), then estrogen surges during the proliferative phase would simultaneously increase both replication demand and POLE expression. In a heterozygous carrier, the single functional allele might be unable to meet this demand, creating a periodic window of insufficient proofreading.</w:t>
      </w:r>
    </w:p>
    <w:p>
      <w:pPr>
        <w:pStyle w:val="ListParagraph"/>
        <w:numPr>
          <w:ilvl w:val="0"/>
          <w:numId w:val="2"/>
        </w:numPr>
        <w:spacing w:after="60" w:line="276"/>
      </w:pPr>
      <w:r>
        <w:rPr>
          <w:rFonts w:ascii="Arial" w:cs="Arial" w:eastAsia="Arial" w:hAnsi="Arial"/>
          <w:color w:val="2C3E50"/>
          <w:sz w:val="20"/>
          <w:szCs w:val="20"/>
        </w:rPr>
        <w:t xml:space="preserve">If POLE expression rises only passively with cell cycle progression, the vulnerability is still real (more dividing cells = more opportunities for uncorrected errors) but operates through a different mechanism — population-level statistics rather than per-cell enzymatic insufficiency.</w:t>
      </w:r>
    </w:p>
    <w:p>
      <w:pPr>
        <w:spacing w:after="40"/>
      </w:pPr>
    </w:p>
    <w:p>
      <w:pPr>
        <w:spacing w:after="120" w:line="276"/>
        <w:jc w:val="both"/>
      </w:pPr>
      <w:r>
        <w:rPr>
          <w:rFonts w:ascii="Arial" w:cs="Arial" w:eastAsia="Arial" w:hAnsi="Arial"/>
          <w:b/>
          <w:bCs/>
          <w:color w:val="C0392B"/>
          <w:sz w:val="20"/>
          <w:szCs w:val="20"/>
        </w:rPr>
        <w:t xml:space="preserve">Status: </w:t>
      </w:r>
      <w:r>
        <w:rPr>
          <w:rFonts w:ascii="Arial" w:cs="Arial" w:eastAsia="Arial" w:hAnsi="Arial"/>
          <w:color w:val="2C3E50"/>
          <w:sz w:val="20"/>
          <w:szCs w:val="20"/>
        </w:rPr>
        <w:t xml:space="preserve">No study has examined whether the POLE promoter contains functional estrogen response elements (EREs). No study has measured POLE expression across the menstrual cycle in normal endometrium. No ENCODE ChIP-seq dataset has been queried for ERα binding at the POLE locus (12q24.33). All three analyses are computationally achievable now.</w:t>
      </w:r>
    </w:p>
    <w:p>
      <w:r>
        <w:br w:type="page"/>
      </w:r>
    </w:p>
    <w:p>
      <w:pPr>
        <w:pStyle w:val="Heading1"/>
        <w:spacing w:after="200" w:before="400"/>
      </w:pPr>
      <w:r>
        <w:rPr>
          <w:rFonts w:ascii="Georgia" w:cs="Georgia" w:eastAsia="Georgia" w:hAnsi="Georgia"/>
          <w:b/>
          <w:bCs/>
          <w:color w:val="1B4F72"/>
          <w:sz w:val="30"/>
          <w:szCs w:val="30"/>
        </w:rPr>
        <w:t xml:space="preserve">4. Endometriosis as a Genomic Disease: The Published Evidence</w:t>
      </w:r>
    </w:p>
    <w:p>
      <w:pPr>
        <w:spacing w:after="120" w:line="276"/>
        <w:jc w:val="both"/>
      </w:pPr>
      <w:r>
        <w:rPr>
          <w:rFonts w:ascii="Arial" w:cs="Arial" w:eastAsia="Arial" w:hAnsi="Arial"/>
          <w:color w:val="2C3E50"/>
          <w:sz w:val="20"/>
          <w:szCs w:val="20"/>
        </w:rPr>
        <w:t xml:space="preserve">A series of landmark studies in the past decade have established that endometriosis is not merely a hormonal or inflammatory disorder — it is a disease with a significant genomic component. This evidence directly connects to the POLE haploinsufficiency hypothesis.</w:t>
      </w:r>
    </w:p>
    <w:p>
      <w:pPr>
        <w:pStyle w:val="Heading2"/>
        <w:spacing w:after="150" w:before="300"/>
      </w:pPr>
      <w:r>
        <w:rPr>
          <w:rFonts w:ascii="Georgia" w:cs="Georgia" w:eastAsia="Georgia" w:hAnsi="Georgia"/>
          <w:b/>
          <w:bCs/>
          <w:color w:val="0E6655"/>
          <w:sz w:val="25"/>
          <w:szCs w:val="25"/>
        </w:rPr>
        <w:t xml:space="preserve">4.1 Somatic Mutations in Deep Infiltrating Endometriosis</w:t>
      </w:r>
    </w:p>
    <w:p>
      <w:pPr>
        <w:spacing w:after="120" w:line="276"/>
        <w:jc w:val="both"/>
      </w:pPr>
      <w:r>
        <w:rPr>
          <w:rFonts w:ascii="Arial" w:cs="Arial" w:eastAsia="Arial" w:hAnsi="Arial"/>
          <w:color w:val="2C3E50"/>
          <w:sz w:val="20"/>
          <w:szCs w:val="20"/>
        </w:rPr>
        <w:t xml:space="preserve">Anglesio et al. (NEJM, 2017) performed whole-exome sequencing of deep infiltrating endometriotic lesions from 27 patients. Somatic mutations were identified in 79% of lesions, with a mean of 3.3 mutations per lesion. Five lesions harbored mutations in established cancer driver genes: ARID1A, PIK3CA, KRAS, and PPP2R1A. This finding challenged the classification of endometriosis as a purely benign inflammatory condition and raised the question of whether deep infiltrating endometriosis should be considered a benign neoplasm.</w:t>
      </w:r>
    </w:p>
    <w:p>
      <w:pPr>
        <w:spacing w:after="120" w:line="276"/>
        <w:jc w:val="both"/>
      </w:pPr>
      <w:r>
        <w:rPr>
          <w:rFonts w:ascii="Arial" w:cs="Arial" w:eastAsia="Arial" w:hAnsi="Arial"/>
          <w:color w:val="2C3E50"/>
          <w:sz w:val="20"/>
          <w:szCs w:val="20"/>
        </w:rPr>
        <w:t xml:space="preserve">Critically, these somatic mutations were found exclusively in epithelial glands, not in stroma. This is consistent with the known biology of endometrial stem cells: each gland arises from clonal expansion of a single stem cell, and mutations in that stem cell propagate through the gland. POLE proofreading operates during the replication of these stem cells. If POLE haploinsufficiency increases the per-division error rate, it would increase the probability that any given stem cell acquires a driver mutation — increasing the fraction of glands carrying growth-promoting mutations.</w:t>
      </w:r>
    </w:p>
    <w:p>
      <w:pPr>
        <w:pStyle w:val="Heading2"/>
        <w:spacing w:after="150" w:before="300"/>
      </w:pPr>
      <w:r>
        <w:rPr>
          <w:rFonts w:ascii="Georgia" w:cs="Georgia" w:eastAsia="Georgia" w:hAnsi="Georgia"/>
          <w:b/>
          <w:bCs/>
          <w:color w:val="0E6655"/>
          <w:sz w:val="25"/>
          <w:szCs w:val="25"/>
        </w:rPr>
        <w:t xml:space="preserve">4.2 Mutation Signatures Suggest Defective DNA Repair</w:t>
      </w:r>
    </w:p>
    <w:p>
      <w:pPr>
        <w:spacing w:after="120" w:line="276"/>
        <w:jc w:val="both"/>
      </w:pPr>
      <w:r>
        <w:rPr>
          <w:rFonts w:ascii="Arial" w:cs="Arial" w:eastAsia="Arial" w:hAnsi="Arial"/>
          <w:color w:val="2C3E50"/>
          <w:sz w:val="20"/>
          <w:szCs w:val="20"/>
        </w:rPr>
        <w:t xml:space="preserve">Multiple studies have identified mutational signatures consistent with defective DNA mismatch repair in endometriotic lesions. A 2024 study of endometriosis-associated ovarian carcinoma found that mutational burdens and signatures suggested faulty DNA repair mechanisms in all cases examined. Signatures attributed to MMR deficiency (SBS6, SBS15, SBS26, SBS44) were observed in the majority of both endometriotic and carcinoma samples.</w:t>
      </w:r>
    </w:p>
    <w:p>
      <w:pPr>
        <w:spacing w:after="120" w:line="276"/>
        <w:jc w:val="both"/>
      </w:pPr>
      <w:r>
        <w:rPr>
          <w:rFonts w:ascii="Arial" w:cs="Arial" w:eastAsia="Arial" w:hAnsi="Arial"/>
          <w:color w:val="2C3E50"/>
          <w:sz w:val="20"/>
          <w:szCs w:val="20"/>
        </w:rPr>
        <w:t xml:space="preserve">No study has looked for POLE-specific mutational signatures (SBS10a/b) in endometriotic tissue. If this patient’s endometriotic lesions were sequenced and SBS10a/b signatures were detected, it would directly demonstrate that POLE proofreading failure is occurring in ectopic endometrial cells — a finding not previously reported.</w:t>
      </w:r>
    </w:p>
    <w:p>
      <w:pPr>
        <w:pStyle w:val="Heading2"/>
        <w:spacing w:after="150" w:before="300"/>
      </w:pPr>
      <w:r>
        <w:rPr>
          <w:rFonts w:ascii="Georgia" w:cs="Georgia" w:eastAsia="Georgia" w:hAnsi="Georgia"/>
          <w:b/>
          <w:bCs/>
          <w:color w:val="0E6655"/>
          <w:sz w:val="25"/>
          <w:szCs w:val="25"/>
        </w:rPr>
        <w:t xml:space="preserve">4.3 Oligoclonal Dissemination</w:t>
      </w:r>
    </w:p>
    <w:p>
      <w:pPr>
        <w:spacing w:after="120" w:line="276"/>
        <w:jc w:val="both"/>
      </w:pPr>
      <w:r>
        <w:rPr>
          <w:rFonts w:ascii="Arial" w:cs="Arial" w:eastAsia="Arial" w:hAnsi="Arial"/>
          <w:color w:val="2C3E50"/>
          <w:sz w:val="20"/>
          <w:szCs w:val="20"/>
        </w:rPr>
        <w:t xml:space="preserve">Lac et al. (Fertility and Sterility, 2022) performed targeted sequencing across anatomically distinct endometriotic lesion types (ovarian, deep infiltrating, superficial) from 27 patients. In 9 of 13 patients with informative mutations, identical somatic mutations were found across lesions at different anatomical sites, suggesting oligoclonal dissemination rather than independent origin. Endometriomas showed the highest mutational complexity, with functionally redundant driver mutations within the same lesions.</w:t>
      </w:r>
    </w:p>
    <w:p>
      <w:pPr>
        <w:spacing w:after="120" w:line="276"/>
        <w:jc w:val="both"/>
      </w:pPr>
      <w:r>
        <w:rPr>
          <w:rFonts w:ascii="Arial" w:cs="Arial" w:eastAsia="Arial" w:hAnsi="Arial"/>
          <w:color w:val="2C3E50"/>
          <w:sz w:val="20"/>
          <w:szCs w:val="20"/>
        </w:rPr>
        <w:t xml:space="preserve">This oligoclonal model is directly relevant to the present case: the coexistence of multiple morphological subtypes (powder burn foci, deep nodules, endometriomas) across widely separated anatomical sites (pelvis, diaphragm, thorax, appendix) is consistent with dissemination of clones carrying growth-advantageous mutations. If POLE haploinsufficiency produces more such clones, it would predict more widespread and morphologically diverse disease — exactly what this patient presents.</w:t>
      </w:r>
    </w:p>
    <w:p>
      <w:r>
        <w:br w:type="page"/>
      </w:r>
    </w:p>
    <w:p>
      <w:pPr>
        <w:pStyle w:val="Heading1"/>
        <w:spacing w:after="200" w:before="400"/>
      </w:pPr>
      <w:r>
        <w:rPr>
          <w:rFonts w:ascii="Georgia" w:cs="Georgia" w:eastAsia="Georgia" w:hAnsi="Georgia"/>
          <w:b/>
          <w:bCs/>
          <w:color w:val="1B4F72"/>
          <w:sz w:val="30"/>
          <w:szCs w:val="30"/>
        </w:rPr>
        <w:t xml:space="preserve">5. Testable Predictions</w:t>
      </w:r>
    </w:p>
    <w:p>
      <w:pPr>
        <w:spacing w:after="120" w:line="276"/>
        <w:jc w:val="both"/>
      </w:pPr>
      <w:r>
        <w:rPr>
          <w:rFonts w:ascii="Arial" w:cs="Arial" w:eastAsia="Arial" w:hAnsi="Arial"/>
          <w:color w:val="2C3E50"/>
          <w:sz w:val="20"/>
          <w:szCs w:val="20"/>
        </w:rPr>
        <w:t xml:space="preserve">The POLE-endometriosis hypothesis generates specific, falsifiable predictions. Each prediction is paired with the experiment that would test it.</w:t>
      </w:r>
    </w:p>
    <w:p>
      <w:pPr>
        <w:spacing w:after="4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3524"/>
        <w:gridCol w:w="3524"/>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Prediction</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Experiment</w:t>
            </w:r>
          </w:p>
        </w:tc>
        <w:tc>
          <w:tcPr>
            <w:tcW w:type="dxa" w:w="35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Result if Hypothesis Is Correct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Endometriotic lesions from this patient carry POLE-specific mutational signatures (SBS10a/b)</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Targeted or whole-exome sequencing of archived FFPE endometriotic tissue with laser-capture microdissection of epithelial glands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SBS10a/b detectable; mutation burden exceeds published mean of 3.3 per lesion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Somatic mutation burden is higher in this patient’s endometriotic tissue than in non-POLE-carrier endometriosis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Compare mutation counts to Anglesio et al. (2017) and Lac et al. (2022) datasets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Statistically higher mutation count per lesion; enrichment for replication-error signatures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Female POLE variant carriers have higher endometriosis prevalence than the general population (~10%)</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Retrospective chart review of female carriers in existing POLE cohorts (e.g., Valle lab, 2,813 probands)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Endometriosis prevalence &gt;10% among female carriers, particularly LoF variant carriers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POLE expression is directly estrogen-responsive</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POLE promoter ERE scan + ENCODE ERα ChIP-seq query at 12q24.33; RT-qPCR in Ishikawa cells ± estradiol</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ERα binding at POLE locus; POLE mRNA increases with estradiol treatment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Endometriotic lesions from POLE carriers show more aggressive histological features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Compare mitotic index, nuclear atypia, and cytological features in POLE-carrier endometriosis vs. sporadic endometriosis</w:t>
            </w:r>
          </w:p>
        </w:tc>
        <w:tc>
          <w:tcPr>
            <w:tcW w:type="dxa" w:w="35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spacing w:after="40"/>
            </w:pPr>
            <w:r>
              <w:rPr>
                <w:rFonts w:ascii="Arial" w:cs="Arial" w:eastAsia="Arial" w:hAnsi="Arial"/>
                <w:color w:val="2C3E50"/>
                <w:sz w:val="18"/>
                <w:szCs w:val="18"/>
              </w:rPr>
              <w:t xml:space="preserve">Higher mitotic activity, more nuclear atypia in POLE-carrier lesions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Hormonal suppression reduces somatic mutation accumulation in endometrial tissue of POLE carriers</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Serial endometrial biopsies with duplex sequencing pre/post GnRH agonist therapy</w:t>
            </w:r>
          </w:p>
        </w:tc>
        <w:tc>
          <w:tcPr>
            <w:tcW w:type="dxa" w:w="3524"/>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pPr>
            <w:r>
              <w:rPr>
                <w:rFonts w:ascii="Arial" w:cs="Arial" w:eastAsia="Arial" w:hAnsi="Arial"/>
                <w:color w:val="2C3E50"/>
                <w:sz w:val="18"/>
                <w:szCs w:val="18"/>
              </w:rPr>
              <w:t xml:space="preserve">Mutation accumulation rate decreases during hormonal suppression</w:t>
            </w:r>
          </w:p>
        </w:tc>
      </w:tr>
    </w:tbl>
    <w:p>
      <w:r>
        <w:br w:type="page"/>
      </w:r>
    </w:p>
    <w:p>
      <w:pPr>
        <w:pStyle w:val="Heading1"/>
        <w:spacing w:after="200" w:before="400"/>
      </w:pPr>
      <w:r>
        <w:rPr>
          <w:rFonts w:ascii="Georgia" w:cs="Georgia" w:eastAsia="Georgia" w:hAnsi="Georgia"/>
          <w:b/>
          <w:bCs/>
          <w:color w:val="1B4F72"/>
          <w:sz w:val="30"/>
          <w:szCs w:val="30"/>
        </w:rPr>
        <w:t xml:space="preserve">6. How This Patient’s Surgical Findings Fit the Model</w:t>
      </w:r>
    </w:p>
    <w:p>
      <w:pPr>
        <w:spacing w:after="120" w:line="276"/>
        <w:jc w:val="both"/>
      </w:pPr>
      <w:r>
        <w:rPr>
          <w:rFonts w:ascii="Arial" w:cs="Arial" w:eastAsia="Arial" w:hAnsi="Arial"/>
          <w:color w:val="2C3E50"/>
          <w:sz w:val="20"/>
          <w:szCs w:val="20"/>
        </w:rPr>
        <w:t xml:space="preserve">The operative findings are consistent with the POLE-endometriosis hypothesis in several ways:</w:t>
      </w:r>
    </w:p>
    <w:p>
      <w:pPr>
        <w:spacing w:after="40"/>
      </w:pPr>
    </w:p>
    <w:p>
      <w:pPr>
        <w:spacing w:after="100" w:before="200"/>
      </w:pPr>
      <w:r>
        <w:rPr>
          <w:rFonts w:ascii="Arial" w:cs="Arial" w:eastAsia="Arial" w:hAnsi="Arial"/>
          <w:b/>
          <w:bCs/>
          <w:color w:val="1B4F72"/>
          <w:sz w:val="21"/>
          <w:szCs w:val="21"/>
        </w:rPr>
        <w:t xml:space="preserve">Trans-diaphragmatic penetration</w:t>
      </w:r>
    </w:p>
    <w:p>
      <w:pPr>
        <w:spacing w:after="120" w:line="276"/>
        <w:jc w:val="both"/>
      </w:pPr>
      <w:r>
        <w:rPr>
          <w:rFonts w:ascii="Arial" w:cs="Arial" w:eastAsia="Arial" w:hAnsi="Arial"/>
          <w:color w:val="2C3E50"/>
          <w:sz w:val="20"/>
          <w:szCs w:val="20"/>
        </w:rPr>
        <w:t xml:space="preserve">The disease penetrated the full thickness of the diaphragm from the abdominal surface to the thoracic surface. Diaphragmatic endometriosis itself is rare (~1.5% of all cases), and full-thickness trans-diaphragmatic invasion is rarer still. This degree of invasive behavior requires sustained proliferative and tissue-remodeling capacity in the endometriotic cells — capacity that could be facilitated by the accumulation of growth-promoting somatic mutations at an elevated rate due to POLE haploinsufficiency.</w:t>
      </w:r>
    </w:p>
    <w:p>
      <w:pPr>
        <w:spacing w:after="100" w:before="200"/>
      </w:pPr>
      <w:r>
        <w:rPr>
          <w:rFonts w:ascii="Arial" w:cs="Arial" w:eastAsia="Arial" w:hAnsi="Arial"/>
          <w:b/>
          <w:bCs/>
          <w:color w:val="1B4F72"/>
          <w:sz w:val="21"/>
          <w:szCs w:val="21"/>
        </w:rPr>
        <w:t xml:space="preserve">Multi-organ involvement with coexisting morphological subtypes</w:t>
      </w:r>
    </w:p>
    <w:p>
      <w:pPr>
        <w:spacing w:after="120" w:line="276"/>
        <w:jc w:val="both"/>
      </w:pPr>
      <w:r>
        <w:rPr>
          <w:rFonts w:ascii="Arial" w:cs="Arial" w:eastAsia="Arial" w:hAnsi="Arial"/>
          <w:color w:val="2C3E50"/>
          <w:sz w:val="20"/>
          <w:szCs w:val="20"/>
        </w:rPr>
        <w:t xml:space="preserve">The simultaneous presence of superficial peritoneal lesions (powder burn), deep infiltrating nodules (uterosacral, diaphragmatic), and ovarian endometriomas across distant anatomical sites is consistent with oligoclonal dissemination of mutant clones. In the POLE-haploinsufficiency model, the endometrial stem cell population generates more mutant clones per unit time, increasing the probability that some acquire the specific driver mutations (KRAS, ARID1A, PIK3CA) that confer invasive and survival advantages at ectopic sites.</w:t>
      </w:r>
    </w:p>
    <w:p>
      <w:pPr>
        <w:spacing w:after="100" w:before="200"/>
      </w:pPr>
      <w:r>
        <w:rPr>
          <w:rFonts w:ascii="Arial" w:cs="Arial" w:eastAsia="Arial" w:hAnsi="Arial"/>
          <w:b/>
          <w:bCs/>
          <w:color w:val="1B4F72"/>
          <w:sz w:val="21"/>
          <w:szCs w:val="21"/>
        </w:rPr>
        <w:t xml:space="preserve">Retroperitoneal fibrosis and tissue remodeling</w:t>
      </w:r>
    </w:p>
    <w:p>
      <w:pPr>
        <w:spacing w:after="120" w:line="276"/>
        <w:jc w:val="both"/>
      </w:pPr>
      <w:r>
        <w:rPr>
          <w:rFonts w:ascii="Arial" w:cs="Arial" w:eastAsia="Arial" w:hAnsi="Arial"/>
          <w:color w:val="2C3E50"/>
          <w:sz w:val="20"/>
          <w:szCs w:val="20"/>
        </w:rPr>
        <w:t xml:space="preserve">The retroperitoneal fibrosis severe enough to require ureterolysis indicates chronic, repeated cycles of tissue injury and repair. Each repair cycle involves DNA replication in the regenerating tissue. In POLE-haploinsufficient cells, each repair cycle introduces additional uncorrected replication errors, creating a progressive accumulation of mutations — a feed-forward loop between tissue damage, repair-driven replication, and mutagenesis.</w:t>
      </w:r>
    </w:p>
    <w:p>
      <w:pPr>
        <w:spacing w:after="100" w:before="200"/>
      </w:pPr>
      <w:r>
        <w:rPr>
          <w:rFonts w:ascii="Arial" w:cs="Arial" w:eastAsia="Arial" w:hAnsi="Arial"/>
          <w:b/>
          <w:bCs/>
          <w:color w:val="1B4F72"/>
          <w:sz w:val="21"/>
          <w:szCs w:val="21"/>
        </w:rPr>
        <w:t xml:space="preserve">Appendiceal involvement</w:t>
      </w:r>
    </w:p>
    <w:p>
      <w:pPr>
        <w:spacing w:after="120" w:line="276"/>
        <w:jc w:val="both"/>
      </w:pPr>
      <w:r>
        <w:rPr>
          <w:rFonts w:ascii="Arial" w:cs="Arial" w:eastAsia="Arial" w:hAnsi="Arial"/>
          <w:color w:val="2C3E50"/>
          <w:sz w:val="20"/>
          <w:szCs w:val="20"/>
        </w:rPr>
        <w:t xml:space="preserve">Appendiceal endometriosis is uncommon (3–5% of cases). In this patient, who also has PPAP with colonic polyps, the appendix was a site of both adenomatous polyposis risk and endometriotic involvement. The co-occurrence of two POLE-associated pathologies in the same organ reinforces the model of systemic POLE dysfunction affecting multiple tissue compartments simultaneously.</w:t>
      </w:r>
    </w:p>
    <w:p>
      <w:pPr>
        <w:spacing w:after="100" w:before="200"/>
      </w:pPr>
      <w:r>
        <w:rPr>
          <w:rFonts w:ascii="Arial" w:cs="Arial" w:eastAsia="Arial" w:hAnsi="Arial"/>
          <w:b/>
          <w:bCs/>
          <w:color w:val="1B4F72"/>
          <w:sz w:val="21"/>
          <w:szCs w:val="21"/>
        </w:rPr>
        <w:t xml:space="preserve">Recurrent SIBO and gastric dysmotility</w:t>
      </w:r>
    </w:p>
    <w:p>
      <w:pPr>
        <w:spacing w:after="120" w:line="276"/>
        <w:jc w:val="both"/>
      </w:pPr>
      <w:r>
        <w:rPr>
          <w:rFonts w:ascii="Arial" w:cs="Arial" w:eastAsia="Arial" w:hAnsi="Arial"/>
          <w:color w:val="2C3E50"/>
          <w:sz w:val="20"/>
          <w:szCs w:val="20"/>
        </w:rPr>
        <w:t xml:space="preserve">The patient’s recurrent small intestinal bacterial overgrowth and gastric dysmotility may represent a downstream consequence of the combined endometriotic and polyposis GI involvement. Bowel adhesions from endometriosis (documented at surgery), adenomatous polyps, and chronic peritoneal inflammation can physically and neurologically impair intestinal motility. While dysmotility is not typically considered a consequence of DNA repair deficiency, the convergence of multiple POLE-related GI pathologies creating structural and inflammatory disruption of normal bowel function represents an integrated phenotype that may be unique to patients with systemic POLE dysfunction.</w:t>
      </w:r>
    </w:p>
    <w:p>
      <w:r>
        <w:br w:type="page"/>
      </w:r>
    </w:p>
    <w:p>
      <w:pPr>
        <w:pStyle w:val="Heading1"/>
        <w:spacing w:after="200" w:before="400"/>
      </w:pPr>
      <w:r>
        <w:rPr>
          <w:rFonts w:ascii="Georgia" w:cs="Georgia" w:eastAsia="Georgia" w:hAnsi="Georgia"/>
          <w:b/>
          <w:bCs/>
          <w:color w:val="1B4F72"/>
          <w:sz w:val="30"/>
          <w:szCs w:val="30"/>
        </w:rPr>
        <w:t xml:space="preserve">7. Immediate Research Priorities</w:t>
      </w:r>
    </w:p>
    <w:p>
      <w:pPr>
        <w:pStyle w:val="Heading2"/>
        <w:spacing w:after="150" w:before="300"/>
      </w:pPr>
      <w:r>
        <w:rPr>
          <w:rFonts w:ascii="Georgia" w:cs="Georgia" w:eastAsia="Georgia" w:hAnsi="Georgia"/>
          <w:b/>
          <w:bCs/>
          <w:color w:val="0E6655"/>
          <w:sz w:val="25"/>
          <w:szCs w:val="25"/>
        </w:rPr>
        <w:t xml:space="preserve">7.1 Computationally Achievable Now (No Patient Samples Required)</w:t>
      </w:r>
    </w:p>
    <w:p>
      <w:pPr>
        <w:pStyle w:val="ListParagraph"/>
        <w:numPr>
          <w:ilvl w:val="0"/>
          <w:numId w:val="2"/>
        </w:numPr>
        <w:spacing w:after="60" w:line="276"/>
      </w:pPr>
      <w:r>
        <w:rPr>
          <w:rFonts w:ascii="Arial" w:cs="Arial" w:eastAsia="Arial" w:hAnsi="Arial"/>
          <w:color w:val="2C3E50"/>
          <w:sz w:val="20"/>
          <w:szCs w:val="20"/>
        </w:rPr>
        <w:t xml:space="preserve">POLE promoter ERE analysis: Scan the POLE locus (12q24.33) promoter region (−5kb to +1kb from TSS) for canonical ERE palindromes (5’-GGTCAnnnTGACC-3’) and ERE half-sites using JASPAR/TRANSFAC position weight matrices.</w:t>
      </w:r>
    </w:p>
    <w:p>
      <w:pPr>
        <w:pStyle w:val="ListParagraph"/>
        <w:numPr>
          <w:ilvl w:val="0"/>
          <w:numId w:val="2"/>
        </w:numPr>
        <w:spacing w:after="60" w:line="276"/>
      </w:pPr>
      <w:r>
        <w:rPr>
          <w:rFonts w:ascii="Arial" w:cs="Arial" w:eastAsia="Arial" w:hAnsi="Arial"/>
          <w:color w:val="2C3E50"/>
          <w:sz w:val="20"/>
          <w:szCs w:val="20"/>
        </w:rPr>
        <w:t xml:space="preserve">ENCODE ERα ChIP-seq query: Query existing ERα ChIP-seq datasets from MCF-7 and Ishikawa endometrial cancer cell lines for binding peaks at or near the POLE locus.</w:t>
      </w:r>
    </w:p>
    <w:p>
      <w:pPr>
        <w:pStyle w:val="ListParagraph"/>
        <w:numPr>
          <w:ilvl w:val="0"/>
          <w:numId w:val="2"/>
        </w:numPr>
        <w:spacing w:after="60" w:line="276"/>
      </w:pPr>
      <w:r>
        <w:rPr>
          <w:rFonts w:ascii="Arial" w:cs="Arial" w:eastAsia="Arial" w:hAnsi="Arial"/>
          <w:color w:val="2C3E50"/>
          <w:sz w:val="20"/>
          <w:szCs w:val="20"/>
        </w:rPr>
        <w:t xml:space="preserve">GTEx analysis: Examine POLE expression levels across menstrual cycle stages in normal endometrial tissue using the GTEx or Human Protein Atlas transcriptomics datasets.</w:t>
      </w:r>
    </w:p>
    <w:p>
      <w:pPr>
        <w:pStyle w:val="ListParagraph"/>
        <w:numPr>
          <w:ilvl w:val="0"/>
          <w:numId w:val="2"/>
        </w:numPr>
        <w:spacing w:after="60" w:line="276"/>
      </w:pPr>
      <w:r>
        <w:rPr>
          <w:rFonts w:ascii="Arial" w:cs="Arial" w:eastAsia="Arial" w:hAnsi="Arial"/>
          <w:color w:val="2C3E50"/>
          <w:sz w:val="20"/>
          <w:szCs w:val="20"/>
        </w:rPr>
        <w:t xml:space="preserve">Retrospective cohort analysis: Contact the Valle lab (IDIBELL) regarding endometriosis prevalence among female carriers in their 2,813-proband POLE/POLD1 cohort, particularly the 6 LoF variant carriers.</w:t>
      </w:r>
    </w:p>
    <w:p>
      <w:pPr>
        <w:pStyle w:val="Heading2"/>
        <w:spacing w:after="150" w:before="300"/>
      </w:pPr>
      <w:r>
        <w:rPr>
          <w:rFonts w:ascii="Georgia" w:cs="Georgia" w:eastAsia="Georgia" w:hAnsi="Georgia"/>
          <w:b/>
          <w:bCs/>
          <w:color w:val="0E6655"/>
          <w:sz w:val="25"/>
          <w:szCs w:val="25"/>
        </w:rPr>
        <w:t xml:space="preserve">7.2 Requires Archived Patient Tissue</w:t>
      </w:r>
    </w:p>
    <w:p>
      <w:pPr>
        <w:pStyle w:val="ListParagraph"/>
        <w:numPr>
          <w:ilvl w:val="0"/>
          <w:numId w:val="2"/>
        </w:numPr>
        <w:spacing w:after="60" w:line="276"/>
      </w:pPr>
      <w:r>
        <w:rPr>
          <w:rFonts w:ascii="Arial" w:cs="Arial" w:eastAsia="Arial" w:hAnsi="Arial"/>
          <w:color w:val="2C3E50"/>
          <w:sz w:val="20"/>
          <w:szCs w:val="20"/>
        </w:rPr>
        <w:t xml:space="preserve">Sequencing of FFPE endometriotic tissue: If paraffin blocks from either endometriosis surgery are available, laser-capture microdissection of epithelial glands followed by targeted sequencing would allow measurement of somatic mutation burden and search for SBS10a/b signatures. This is the single experiment most likely to yield a high-impact finding.</w:t>
      </w:r>
    </w:p>
    <w:p>
      <w:pPr>
        <w:pStyle w:val="ListParagraph"/>
        <w:numPr>
          <w:ilvl w:val="0"/>
          <w:numId w:val="2"/>
        </w:numPr>
        <w:spacing w:after="60" w:line="276"/>
      </w:pPr>
      <w:r>
        <w:rPr>
          <w:rFonts w:ascii="Arial" w:cs="Arial" w:eastAsia="Arial" w:hAnsi="Arial"/>
          <w:color w:val="2C3E50"/>
          <w:sz w:val="20"/>
          <w:szCs w:val="20"/>
        </w:rPr>
        <w:t xml:space="preserve">Comparison to published cohorts: The mean somatic mutation count in deep infiltrating endometriosis is 3.3 per lesion (Anglesio et al., 2017). If this patient’s lesions show significantly higher counts, it supports POLE haploinsufficiency as a mutagenic driver.</w:t>
      </w:r>
    </w:p>
    <w:p>
      <w:pPr>
        <w:pStyle w:val="ListParagraph"/>
        <w:numPr>
          <w:ilvl w:val="0"/>
          <w:numId w:val="2"/>
        </w:numPr>
        <w:spacing w:after="60" w:line="276"/>
      </w:pPr>
      <w:r>
        <w:rPr>
          <w:rFonts w:ascii="Arial" w:cs="Arial" w:eastAsia="Arial" w:hAnsi="Arial"/>
          <w:color w:val="2C3E50"/>
          <w:sz w:val="20"/>
          <w:szCs w:val="20"/>
        </w:rPr>
        <w:t xml:space="preserve">ARID1A, KRAS, PIK3CA driver mutation screening: Droplet digital PCR for the most common endometriosis driver mutations in archived tissue would determine whether this patient’s lesions carry the same driver mutations found in sporadic endometriosis or a different mutation profile.</w:t>
      </w:r>
    </w:p>
    <w:p>
      <w:pPr>
        <w:pStyle w:val="Heading2"/>
        <w:spacing w:after="150" w:before="300"/>
      </w:pPr>
      <w:r>
        <w:rPr>
          <w:rFonts w:ascii="Georgia" w:cs="Georgia" w:eastAsia="Georgia" w:hAnsi="Georgia"/>
          <w:b/>
          <w:bCs/>
          <w:color w:val="0E6655"/>
          <w:sz w:val="25"/>
          <w:szCs w:val="25"/>
        </w:rPr>
        <w:t xml:space="preserve">7.3 Requires Collaboration</w:t>
      </w:r>
    </w:p>
    <w:p>
      <w:pPr>
        <w:pStyle w:val="ListParagraph"/>
        <w:numPr>
          <w:ilvl w:val="0"/>
          <w:numId w:val="2"/>
        </w:numPr>
        <w:spacing w:after="60" w:line="276"/>
      </w:pPr>
      <w:r>
        <w:rPr>
          <w:rFonts w:ascii="Arial" w:cs="Arial" w:eastAsia="Arial" w:hAnsi="Arial"/>
          <w:color w:val="2C3E50"/>
          <w:sz w:val="20"/>
          <w:szCs w:val="20"/>
        </w:rPr>
        <w:t xml:space="preserve">Endometrial biopsy with duplex sequencing: A standard endometrial biopsy processed with NanoSeq-grade duplex sequencing would measure the somatic mutation rate and signature spectrum in this patient’s eutopic endometrium, directly testing whether POLE haploinsufficiency elevates the mutation rate in endometrial tissue.</w:t>
      </w:r>
    </w:p>
    <w:p>
      <w:pPr>
        <w:pStyle w:val="ListParagraph"/>
        <w:numPr>
          <w:ilvl w:val="0"/>
          <w:numId w:val="2"/>
        </w:numPr>
        <w:spacing w:after="60" w:line="276"/>
      </w:pPr>
      <w:r>
        <w:rPr>
          <w:rFonts w:ascii="Arial" w:cs="Arial" w:eastAsia="Arial" w:hAnsi="Arial"/>
          <w:color w:val="2C3E50"/>
          <w:sz w:val="20"/>
          <w:szCs w:val="20"/>
        </w:rPr>
        <w:t xml:space="preserve">Hormonal manipulation study: If hormonal therapy is clinically indicated for endometriosis management, serial endometrial biopsies with mutation rate measurement before and during hormonal suppression would test whether reducing estrogen-driven proliferation decreases mutagenesis.</w:t>
      </w:r>
    </w:p>
    <w:p>
      <w:pPr>
        <w:pStyle w:val="ListParagraph"/>
        <w:numPr>
          <w:ilvl w:val="0"/>
          <w:numId w:val="2"/>
        </w:numPr>
        <w:spacing w:after="60" w:line="276"/>
      </w:pPr>
      <w:r>
        <w:rPr>
          <w:rFonts w:ascii="Arial" w:cs="Arial" w:eastAsia="Arial" w:hAnsi="Arial"/>
          <w:color w:val="2C3E50"/>
          <w:sz w:val="20"/>
          <w:szCs w:val="20"/>
        </w:rPr>
        <w:t xml:space="preserve">Multi-institutional POLE carrier endometriosis registry: Systematic ascertainment of endometriosis history in all female POLE/POLD1 variant carriers across multiple centers.</w:t>
      </w:r>
    </w:p>
    <w:p>
      <w:r>
        <w:br w:type="page"/>
      </w:r>
    </w:p>
    <w:p>
      <w:pPr>
        <w:pStyle w:val="Heading1"/>
        <w:spacing w:after="200" w:before="400"/>
      </w:pPr>
      <w:r>
        <w:rPr>
          <w:rFonts w:ascii="Georgia" w:cs="Georgia" w:eastAsia="Georgia" w:hAnsi="Georgia"/>
          <w:b/>
          <w:bCs/>
          <w:color w:val="1B4F72"/>
          <w:sz w:val="30"/>
          <w:szCs w:val="30"/>
        </w:rPr>
        <w:t xml:space="preserve">8. Implications Beyond This Patient</w:t>
      </w:r>
    </w:p>
    <w:p>
      <w:pPr>
        <w:spacing w:after="120" w:line="276"/>
        <w:jc w:val="both"/>
      </w:pPr>
      <w:r>
        <w:rPr>
          <w:rFonts w:ascii="Arial" w:cs="Arial" w:eastAsia="Arial" w:hAnsi="Arial"/>
          <w:color w:val="2C3E50"/>
          <w:sz w:val="20"/>
          <w:szCs w:val="20"/>
        </w:rPr>
        <w:t xml:space="preserve">If the POLE-endometriosis hypothesis is confirmed, the implications extend well beyond this single case:</w:t>
      </w:r>
    </w:p>
    <w:p>
      <w:pPr>
        <w:spacing w:after="40"/>
      </w:pPr>
    </w:p>
    <w:p>
      <w:pPr>
        <w:spacing w:after="100" w:before="200"/>
      </w:pPr>
      <w:r>
        <w:rPr>
          <w:rFonts w:ascii="Arial" w:cs="Arial" w:eastAsia="Arial" w:hAnsi="Arial"/>
          <w:b/>
          <w:bCs/>
          <w:color w:val="1B4F72"/>
          <w:sz w:val="21"/>
          <w:szCs w:val="21"/>
        </w:rPr>
        <w:t xml:space="preserve">For endometriosis research</w:t>
      </w:r>
    </w:p>
    <w:p>
      <w:pPr>
        <w:spacing w:after="120" w:line="276"/>
        <w:jc w:val="both"/>
      </w:pPr>
      <w:r>
        <w:rPr>
          <w:rFonts w:ascii="Arial" w:cs="Arial" w:eastAsia="Arial" w:hAnsi="Arial"/>
          <w:color w:val="2C3E50"/>
          <w:sz w:val="20"/>
          <w:szCs w:val="20"/>
        </w:rPr>
        <w:t xml:space="preserve">Endometriosis affects approximately 10% of reproductive-age women — 190 million women globally. If germline DNA repair variants contribute to disease severity, it would open an entirely new etiological pathway. The endometriosis genomics field has focused on somatic mutations within lesions but has never systematically examined whether germline variants affecting DNA replication fidelity predispose to more severe disease. This would be a paradigm-expanding finding.</w:t>
      </w:r>
    </w:p>
    <w:p>
      <w:pPr>
        <w:spacing w:after="100" w:before="200"/>
      </w:pPr>
      <w:r>
        <w:rPr>
          <w:rFonts w:ascii="Arial" w:cs="Arial" w:eastAsia="Arial" w:hAnsi="Arial"/>
          <w:b/>
          <w:bCs/>
          <w:color w:val="1B4F72"/>
          <w:sz w:val="21"/>
          <w:szCs w:val="21"/>
        </w:rPr>
        <w:t xml:space="preserve">For POLE carrier management</w:t>
      </w:r>
    </w:p>
    <w:p>
      <w:pPr>
        <w:spacing w:after="120" w:line="276"/>
        <w:jc w:val="both"/>
      </w:pPr>
      <w:r>
        <w:rPr>
          <w:rFonts w:ascii="Arial" w:cs="Arial" w:eastAsia="Arial" w:hAnsi="Arial"/>
          <w:color w:val="2C3E50"/>
          <w:sz w:val="20"/>
          <w:szCs w:val="20"/>
        </w:rPr>
        <w:t xml:space="preserve">Current PPAP surveillance guidelines focus on colorectal and endometrial cancer screening. If POLE haploinsufficiency contributes to endometriosis, female carriers may benefit from earlier gynecological assessment, proactive hormonal management, and consideration of whether hormonal suppression (which reduces endometrial proliferative cycling) might also serve as a chemopreventive strategy by reducing mutation accumulation.</w:t>
      </w:r>
    </w:p>
    <w:p>
      <w:pPr>
        <w:spacing w:after="100" w:before="200"/>
      </w:pPr>
      <w:r>
        <w:rPr>
          <w:rFonts w:ascii="Arial" w:cs="Arial" w:eastAsia="Arial" w:hAnsi="Arial"/>
          <w:b/>
          <w:bCs/>
          <w:color w:val="1B4F72"/>
          <w:sz w:val="21"/>
          <w:szCs w:val="21"/>
        </w:rPr>
        <w:t xml:space="preserve">For precision medicine in endometriosis</w:t>
      </w:r>
    </w:p>
    <w:p>
      <w:pPr>
        <w:spacing w:after="120" w:line="276"/>
        <w:jc w:val="both"/>
      </w:pPr>
      <w:r>
        <w:rPr>
          <w:rFonts w:ascii="Arial" w:cs="Arial" w:eastAsia="Arial" w:hAnsi="Arial"/>
          <w:color w:val="2C3E50"/>
          <w:sz w:val="20"/>
          <w:szCs w:val="20"/>
        </w:rPr>
        <w:t xml:space="preserve">If specific germline variants predict endometriosis severity, it would enable risk stratification — identifying which patients are most likely to develop aggressive, recurrent, or treatment-resistant disease. This could inform decisions about timing and extent of surgical intervention, duration of hormonal therapy, and intensity of surveillance.</w:t>
      </w:r>
    </w:p>
    <w:p>
      <w:pPr>
        <w:spacing w:after="100" w:before="200"/>
      </w:pPr>
      <w:r>
        <w:rPr>
          <w:rFonts w:ascii="Arial" w:cs="Arial" w:eastAsia="Arial" w:hAnsi="Arial"/>
          <w:b/>
          <w:bCs/>
          <w:color w:val="1B4F72"/>
          <w:sz w:val="21"/>
          <w:szCs w:val="21"/>
        </w:rPr>
        <w:t xml:space="preserve">For the estrogen-genomic instability interface</w:t>
      </w:r>
    </w:p>
    <w:p>
      <w:pPr>
        <w:spacing w:after="120" w:line="276"/>
        <w:jc w:val="both"/>
      </w:pPr>
      <w:r>
        <w:rPr>
          <w:rFonts w:ascii="Arial" w:cs="Arial" w:eastAsia="Arial" w:hAnsi="Arial"/>
          <w:color w:val="2C3E50"/>
          <w:sz w:val="20"/>
          <w:szCs w:val="20"/>
        </w:rPr>
        <w:t xml:space="preserve">The hypothesis that estrogen-driven proliferation exacerbates germline DNA repair deficiency creates a model with implications beyond POLE. Other DNA repair gene variants (BRCA1/2, MMR genes, MUTYH) may similarly interact with hormonal cycling to produce tissue-specific phenotypes that have not been systematically studied. The POLE-endometriosis connection could serve as a proof-of-concept for this broader class of gene-hormone interactions.</w:t>
      </w:r>
    </w:p>
    <w:p>
      <w:r>
        <w:br w:type="page"/>
      </w:r>
    </w:p>
    <w:p>
      <w:pPr>
        <w:pStyle w:val="Heading1"/>
        <w:spacing w:after="200" w:before="400"/>
      </w:pPr>
      <w:r>
        <w:rPr>
          <w:rFonts w:ascii="Georgia" w:cs="Georgia" w:eastAsia="Georgia" w:hAnsi="Georgia"/>
          <w:b/>
          <w:bCs/>
          <w:color w:val="1B4F72"/>
          <w:sz w:val="30"/>
          <w:szCs w:val="30"/>
        </w:rPr>
        <w:t xml:space="preserve">9. Key References</w:t>
      </w:r>
    </w:p>
    <w:p>
      <w:pPr>
        <w:pStyle w:val="Heading2"/>
        <w:spacing w:after="150" w:before="300"/>
      </w:pPr>
      <w:r>
        <w:rPr>
          <w:rFonts w:ascii="Georgia" w:cs="Georgia" w:eastAsia="Georgia" w:hAnsi="Georgia"/>
          <w:b/>
          <w:bCs/>
          <w:color w:val="0E6655"/>
          <w:sz w:val="25"/>
          <w:szCs w:val="25"/>
        </w:rPr>
        <w:t xml:space="preserve">Endometriosis Genomics</w:t>
      </w:r>
    </w:p>
    <w:p>
      <w:pPr>
        <w:pStyle w:val="ListParagraph"/>
        <w:numPr>
          <w:ilvl w:val="0"/>
          <w:numId w:val="2"/>
        </w:numPr>
        <w:spacing w:after="60" w:line="276"/>
      </w:pPr>
      <w:r>
        <w:rPr>
          <w:rFonts w:ascii="Arial" w:cs="Arial" w:eastAsia="Arial" w:hAnsi="Arial"/>
          <w:color w:val="2C3E50"/>
          <w:sz w:val="20"/>
          <w:szCs w:val="20"/>
        </w:rPr>
        <w:t xml:space="preserve">Anglesio MS et al. (2017) Cancer-associated mutations in endometriosis without cancer. NEJM 376(19):1835–1848. (79% of deep infiltrating lesions harbor somatic mutations)</w:t>
      </w:r>
    </w:p>
    <w:p>
      <w:pPr>
        <w:pStyle w:val="ListParagraph"/>
        <w:numPr>
          <w:ilvl w:val="0"/>
          <w:numId w:val="2"/>
        </w:numPr>
        <w:spacing w:after="60" w:line="276"/>
      </w:pPr>
      <w:r>
        <w:rPr>
          <w:rFonts w:ascii="Arial" w:cs="Arial" w:eastAsia="Arial" w:hAnsi="Arial"/>
          <w:color w:val="2C3E50"/>
          <w:sz w:val="20"/>
          <w:szCs w:val="20"/>
        </w:rPr>
        <w:t xml:space="preserve">Lac V et al. (2022) Molecular analysis suggests oligoclonality and metastasis of endometriosis lesions across anatomically defined subtypes. Fertil Steril.</w:t>
      </w:r>
    </w:p>
    <w:p>
      <w:pPr>
        <w:pStyle w:val="ListParagraph"/>
        <w:numPr>
          <w:ilvl w:val="0"/>
          <w:numId w:val="2"/>
        </w:numPr>
        <w:spacing w:after="60" w:line="276"/>
      </w:pPr>
      <w:r>
        <w:rPr>
          <w:rFonts w:ascii="Arial" w:cs="Arial" w:eastAsia="Arial" w:hAnsi="Arial"/>
          <w:color w:val="2C3E50"/>
          <w:sz w:val="20"/>
          <w:szCs w:val="20"/>
        </w:rPr>
        <w:t xml:space="preserve">Suda K et al. (2018) Clonal expansion and diversification of cancer-associated mutations in endometriosis and normal endometrium. Cell Reports.</w:t>
      </w:r>
    </w:p>
    <w:p>
      <w:pPr>
        <w:pStyle w:val="ListParagraph"/>
        <w:numPr>
          <w:ilvl w:val="0"/>
          <w:numId w:val="2"/>
        </w:numPr>
        <w:spacing w:after="60" w:line="276"/>
      </w:pPr>
      <w:r>
        <w:rPr>
          <w:rFonts w:ascii="Arial" w:cs="Arial" w:eastAsia="Arial" w:hAnsi="Arial"/>
          <w:color w:val="2C3E50"/>
          <w:sz w:val="20"/>
          <w:szCs w:val="20"/>
        </w:rPr>
        <w:t xml:space="preserve">Kobayashi H (2024) Rethinking the pathogenesis of endometriosis: Complex interactions of genomic, epigenetic, and environmental factors. J Obstet Gynaecol Res.</w:t>
      </w:r>
    </w:p>
    <w:p>
      <w:pPr>
        <w:pStyle w:val="ListParagraph"/>
        <w:numPr>
          <w:ilvl w:val="0"/>
          <w:numId w:val="2"/>
        </w:numPr>
        <w:spacing w:after="60" w:line="276"/>
      </w:pPr>
      <w:r>
        <w:rPr>
          <w:rFonts w:ascii="Arial" w:cs="Arial" w:eastAsia="Arial" w:hAnsi="Arial"/>
          <w:color w:val="2C3E50"/>
          <w:sz w:val="20"/>
          <w:szCs w:val="20"/>
        </w:rPr>
        <w:t xml:space="preserve">Pivazyan L et al. (2025) The role of somatic mutations in endometriosis: pathogenesis, progression, and fibrogenesis. J Minim Invasive Gynecol. (Systematic review: mutations across all subtypes)</w:t>
      </w:r>
    </w:p>
    <w:p>
      <w:pPr>
        <w:pStyle w:val="Heading2"/>
        <w:spacing w:after="150" w:before="300"/>
      </w:pPr>
      <w:r>
        <w:rPr>
          <w:rFonts w:ascii="Georgia" w:cs="Georgia" w:eastAsia="Georgia" w:hAnsi="Georgia"/>
          <w:b/>
          <w:bCs/>
          <w:color w:val="0E6655"/>
          <w:sz w:val="25"/>
          <w:szCs w:val="25"/>
        </w:rPr>
        <w:t xml:space="preserve">POLE in Endometrial Cancer</w:t>
      </w:r>
    </w:p>
    <w:p>
      <w:pPr>
        <w:pStyle w:val="ListParagraph"/>
        <w:numPr>
          <w:ilvl w:val="0"/>
          <w:numId w:val="2"/>
        </w:numPr>
        <w:spacing w:after="60" w:line="276"/>
      </w:pPr>
      <w:r>
        <w:rPr>
          <w:rFonts w:ascii="Arial" w:cs="Arial" w:eastAsia="Arial" w:hAnsi="Arial"/>
          <w:color w:val="2C3E50"/>
          <w:sz w:val="20"/>
          <w:szCs w:val="20"/>
        </w:rPr>
        <w:t xml:space="preserve">Cell Death &amp; Disease (2024) POLE P286R mutation activates cancer-cell-intrinsic immunity via cGAS-STING in endometrial cancer. (POLE expression higher in tumors vs. normal tissue; 13.14% of EC specimens harbor POLE mutations)</w:t>
      </w:r>
    </w:p>
    <w:p>
      <w:pPr>
        <w:pStyle w:val="ListParagraph"/>
        <w:numPr>
          <w:ilvl w:val="0"/>
          <w:numId w:val="2"/>
        </w:numPr>
        <w:spacing w:after="60" w:line="276"/>
      </w:pPr>
      <w:r>
        <w:rPr>
          <w:rFonts w:ascii="Arial" w:cs="Arial" w:eastAsia="Arial" w:hAnsi="Arial"/>
          <w:color w:val="2C3E50"/>
          <w:sz w:val="20"/>
          <w:szCs w:val="20"/>
        </w:rPr>
        <w:t xml:space="preserve">Li Y et al. (2019) POLE mutations improve prognosis of endometrial cancer via AMF/AMFR signaling. BMC Med Genet.</w:t>
      </w:r>
    </w:p>
    <w:p>
      <w:pPr>
        <w:pStyle w:val="ListParagraph"/>
        <w:numPr>
          <w:ilvl w:val="0"/>
          <w:numId w:val="2"/>
        </w:numPr>
        <w:spacing w:after="60" w:line="276"/>
      </w:pPr>
      <w:r>
        <w:rPr>
          <w:rFonts w:ascii="Arial" w:cs="Arial" w:eastAsia="Arial" w:hAnsi="Arial"/>
          <w:color w:val="2C3E50"/>
          <w:sz w:val="20"/>
          <w:szCs w:val="20"/>
        </w:rPr>
        <w:t xml:space="preserve">TCGA (2013) Integrated genomic characterization of endometrial carcinoma. Nature 497:67–73. (Original POLE-ultramutated subtype classification)</w:t>
      </w:r>
    </w:p>
    <w:p>
      <w:pPr>
        <w:pStyle w:val="Heading2"/>
        <w:spacing w:after="150" w:before="300"/>
      </w:pPr>
      <w:r>
        <w:rPr>
          <w:rFonts w:ascii="Georgia" w:cs="Georgia" w:eastAsia="Georgia" w:hAnsi="Georgia"/>
          <w:b/>
          <w:bCs/>
          <w:color w:val="0E6655"/>
          <w:sz w:val="25"/>
          <w:szCs w:val="25"/>
        </w:rPr>
        <w:t xml:space="preserve">Endometrial Proliferative Biology</w:t>
      </w:r>
    </w:p>
    <w:p>
      <w:pPr>
        <w:pStyle w:val="ListParagraph"/>
        <w:numPr>
          <w:ilvl w:val="0"/>
          <w:numId w:val="2"/>
        </w:numPr>
        <w:spacing w:after="60" w:line="276"/>
      </w:pPr>
      <w:r>
        <w:rPr>
          <w:rFonts w:ascii="Arial" w:cs="Arial" w:eastAsia="Arial" w:hAnsi="Arial"/>
          <w:color w:val="2C3E50"/>
          <w:sz w:val="20"/>
          <w:szCs w:val="20"/>
        </w:rPr>
        <w:t xml:space="preserve">Talbi S et al. (2006) Global gene expression profiling of proliferative phase endometrium reveals distinct functional subdivisions. Reprod Sci. (Proliferative phase is complex with distinct gene expression at early, mid, and late stages)</w:t>
      </w:r>
    </w:p>
    <w:p>
      <w:pPr>
        <w:pStyle w:val="ListParagraph"/>
        <w:numPr>
          <w:ilvl w:val="0"/>
          <w:numId w:val="2"/>
        </w:numPr>
        <w:spacing w:after="60" w:line="276"/>
      </w:pPr>
      <w:r>
        <w:rPr>
          <w:rFonts w:ascii="Arial" w:cs="Arial" w:eastAsia="Arial" w:hAnsi="Arial"/>
          <w:color w:val="2C3E50"/>
          <w:sz w:val="20"/>
          <w:szCs w:val="20"/>
        </w:rPr>
        <w:t xml:space="preserve">Barbieri RL (2014) The normal menstrual cycle and the control of ovulation. Endotext.</w:t>
      </w:r>
    </w:p>
    <w:p>
      <w:pPr>
        <w:pStyle w:val="Heading2"/>
        <w:spacing w:after="150" w:before="300"/>
      </w:pPr>
      <w:r>
        <w:rPr>
          <w:rFonts w:ascii="Georgia" w:cs="Georgia" w:eastAsia="Georgia" w:hAnsi="Georgia"/>
          <w:b/>
          <w:bCs/>
          <w:color w:val="0E6655"/>
          <w:sz w:val="25"/>
          <w:szCs w:val="25"/>
        </w:rPr>
        <w:t xml:space="preserve">POLE/POLD1 Variant Classification</w:t>
      </w:r>
    </w:p>
    <w:p>
      <w:pPr>
        <w:pStyle w:val="ListParagraph"/>
        <w:numPr>
          <w:ilvl w:val="0"/>
          <w:numId w:val="2"/>
        </w:numPr>
        <w:spacing w:after="60" w:line="276"/>
      </w:pPr>
      <w:r>
        <w:rPr>
          <w:rFonts w:ascii="Arial" w:cs="Arial" w:eastAsia="Arial" w:hAnsi="Arial"/>
          <w:color w:val="2C3E50"/>
          <w:sz w:val="20"/>
          <w:szCs w:val="20"/>
        </w:rPr>
        <w:t xml:space="preserve">Mur P, Viana-Errasti J et al. (2023) Recommendations for classification of germline variants in the ED of POLE and POLD1. Genome Medicine 15:85.</w:t>
      </w:r>
    </w:p>
    <w:p>
      <w:pPr>
        <w:pStyle w:val="ListParagraph"/>
        <w:numPr>
          <w:ilvl w:val="0"/>
          <w:numId w:val="2"/>
        </w:numPr>
        <w:spacing w:after="60" w:line="276"/>
      </w:pPr>
      <w:r>
        <w:rPr>
          <w:rFonts w:ascii="Arial" w:cs="Arial" w:eastAsia="Arial" w:hAnsi="Arial"/>
          <w:color w:val="2C3E50"/>
          <w:sz w:val="20"/>
          <w:szCs w:val="20"/>
        </w:rPr>
        <w:t xml:space="preserve">Mur P et al. (2020) Role of POLE and POLD1 in familial cancer. Genetics in Medicine 22:2089–2100. (2,813 probands including 6 LoF POLE variants)</w:t>
      </w:r>
    </w:p>
    <w:p>
      <w:pPr>
        <w:spacing w:after="40"/>
      </w:pPr>
    </w:p>
    <w:p>
      <w:pPr>
        <w:spacing w:after="120" w:line="276"/>
        <w:jc w:val="both"/>
      </w:pPr>
      <w:r>
        <w:rPr>
          <w:rFonts w:ascii="Arial" w:cs="Arial" w:eastAsia="Arial" w:hAnsi="Arial"/>
          <w:i/>
          <w:iCs/>
          <w:color w:val="7F8C8D"/>
          <w:sz w:val="20"/>
          <w:szCs w:val="20"/>
        </w:rPr>
        <w:t xml:space="preserve">This document is a companion to the POLE c.138del Comprehensive Research Framework. </w:t>
      </w:r>
      <w:r>
        <w:rPr>
          <w:rFonts w:ascii="Arial" w:cs="Arial" w:eastAsia="Arial" w:hAnsi="Arial"/>
          <w:i/>
          <w:iCs/>
          <w:color w:val="7F8C8D"/>
          <w:sz w:val="20"/>
          <w:szCs w:val="20"/>
        </w:rPr>
        <w:t xml:space="preserve">The POLE-endometriosis hypothesis represents an unexplored research direction with potential implications for the 190 million women worldwide affected by endometriosis.</w:t>
      </w:r>
    </w:p>
    <w:sectPr>
      <w:headerReference w:type="default" r:id="rId7"/>
      <w:footerReference w:type="default" r:id="rId8"/>
      <w:pgSz w:w="12240" w:h="15840" w:orient="portrait"/>
      <w:pgMar w:top="1296"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POLE Haploinsufficiency and Endometriosis — A Novel Research Hypothesis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4F72"/>
      <w:sz w:val="30"/>
      <w:szCs w:val="30"/>
    </w:rPr>
  </w:style>
  <w:style w:type="paragraph" w:styleId="Heading2">
    <w:name w:val="Heading 2"/>
    <w:basedOn w:val="Normal"/>
    <w:next w:val="Normal"/>
    <w:qFormat/>
    <w:pPr>
      <w:spacing w:after="150" w:before="300"/>
      <w:outlineLvl w:val="1"/>
    </w:pPr>
    <w:rPr>
      <w:rFonts w:ascii="Georgia" w:cs="Georgia" w:eastAsia="Georgia" w:hAnsi="Georgia"/>
      <w:b/>
      <w:bCs/>
      <w:color w:val="0E66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2026-04-15T01:01:14.545Z</dcterms:created>
  <dcterms:modified xsi:type="dcterms:W3CDTF">2026-04-15T01:01:14.547Z</dcterms:modified>
</cp:coreProperties>
</file>

<file path=docProps/custom.xml><?xml version="1.0" encoding="utf-8"?>
<Properties xmlns="http://schemas.openxmlformats.org/officeDocument/2006/custom-properties" xmlns:vt="http://schemas.openxmlformats.org/officeDocument/2006/docPropsVTypes"/>
</file>