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5D6D7E"/>
          <w:sz w:val="24"/>
          <w:szCs w:val="24"/>
        </w:rPr>
        <w:t xml:space="preserve">SCIENTIFIC RESEARCH FRAMEWORK</w:t>
      </w:r>
    </w:p>
    <w:p>
      <w:pPr>
        <w:spacing w:after="120"/>
        <w:jc w:val="center"/>
      </w:pPr>
      <w:r>
        <w:rPr>
          <w:rFonts w:ascii="Georgia" w:cs="Georgia" w:eastAsia="Georgia" w:hAnsi="Georgia"/>
          <w:b/>
          <w:bCs/>
          <w:color w:val="1B4F72"/>
          <w:sz w:val="44"/>
          <w:szCs w:val="44"/>
        </w:rPr>
        <w:t xml:space="preserve">POLE c.138del (p.Leu46Phefs*8)</w:t>
      </w:r>
    </w:p>
    <w:p>
      <w:pPr>
        <w:spacing w:after="200"/>
        <w:jc w:val="center"/>
      </w:pPr>
      <w:r>
        <w:rPr>
          <w:rFonts w:ascii="Georgia" w:cs="Georgia" w:eastAsia="Georgia" w:hAnsi="Georgia"/>
          <w:color w:val="0E6655"/>
          <w:sz w:val="28"/>
          <w:szCs w:val="28"/>
        </w:rPr>
        <w:t xml:space="preserve">Polymerase Proofreading-Associated Polyposis</w:t>
      </w:r>
    </w:p>
    <w:p>
      <w:pPr>
        <w:spacing w:after="120"/>
        <w:jc w:val="center"/>
      </w:pPr>
      <w:r>
        <w:rPr>
          <w:rFonts w:ascii="Arial" w:cs="Arial" w:eastAsia="Arial" w:hAnsi="Arial"/>
          <w:color w:val="5D6D7E"/>
          <w:sz w:val="22"/>
          <w:szCs w:val="22"/>
        </w:rPr>
        <w:t xml:space="preserve">An Ultra-Rare Frameshift Variant with Ultra-Hypermutated Tumor Phenotype (TMB &gt;100 mut/Mb)</w:t>
      </w:r>
    </w:p>
    <w:p>
      <w:pPr>
        <w:spacing w:after="80"/>
        <w:jc w:val="center"/>
      </w:pPr>
      <w:r>
        <w:rPr>
          <w:rFonts w:ascii="Arial" w:cs="Arial" w:eastAsia="Arial" w:hAnsi="Arial"/>
          <w:color w:val="5D6D7E"/>
          <w:sz w:val="22"/>
          <w:szCs w:val="22"/>
        </w:rPr>
        <w:t xml:space="preserve">Complex Multi-System Phenotype | Absent from gnomAD</w:t>
      </w:r>
    </w:p>
    <w:p>
      <w:pPr>
        <w:spacing w:before="600"/>
        <w:jc w:val="center"/>
      </w:pPr>
      <w:r>
        <w:rPr>
          <w:rFonts w:ascii="Arial" w:cs="Arial" w:eastAsia="Arial" w:hAnsi="Arial"/>
          <w:color w:val="2C3E50"/>
          <w:sz w:val="22"/>
          <w:szCs w:val="22"/>
        </w:rPr>
        <w:t xml:space="preserve">Mechanistic Analysis, Translational Research Priorities,</w:t>
      </w:r>
    </w:p>
    <w:p>
      <w:pPr>
        <w:spacing w:after="400"/>
        <w:jc w:val="center"/>
      </w:pPr>
      <w:r>
        <w:rPr>
          <w:rFonts w:ascii="Arial" w:cs="Arial" w:eastAsia="Arial" w:hAnsi="Arial"/>
          <w:color w:val="2C3E50"/>
          <w:sz w:val="22"/>
          <w:szCs w:val="22"/>
        </w:rPr>
        <w:t xml:space="preserve">Therapeutic Strategies &amp; Experimental Framework</w:t>
      </w:r>
    </w:p>
    <w:p>
      <w:pPr>
        <w:jc w:val="center"/>
      </w:pPr>
      <w:r>
        <w:rPr>
          <w:rFonts w:ascii="Arial" w:cs="Arial" w:eastAsia="Arial" w:hAnsi="Arial"/>
          <w:i/>
          <w:iCs/>
          <w:color w:val="5D6D7E"/>
          <w:sz w:val="20"/>
          <w:szCs w:val="20"/>
        </w:rPr>
        <w:t xml:space="preserve">Compiled with reference to published literature in cancer genetics,</w:t>
      </w:r>
    </w:p>
    <w:p>
      <w:pPr>
        <w:jc w:val="center"/>
      </w:pPr>
      <w:r>
        <w:rPr>
          <w:rFonts w:ascii="Arial" w:cs="Arial" w:eastAsia="Arial" w:hAnsi="Arial"/>
          <w:i/>
          <w:iCs/>
          <w:color w:val="5D6D7E"/>
          <w:sz w:val="20"/>
          <w:szCs w:val="20"/>
        </w:rPr>
        <w:t xml:space="preserve">replication biology, immunotherapy, and DNA damage response</w:t>
      </w:r>
    </w:p>
    <w:p>
      <w:r>
        <w:br w:type="page"/>
      </w:r>
    </w:p>
    <w:p>
      <w:pPr>
        <w:pStyle w:val="Heading1"/>
        <w:spacing w:after="200" w:before="360"/>
      </w:pPr>
      <w:r>
        <w:rPr>
          <w:rFonts w:ascii="Georgia" w:cs="Georgia" w:eastAsia="Georgia" w:hAnsi="Georgia"/>
          <w:b/>
          <w:bCs/>
          <w:color w:val="1B4F72"/>
          <w:sz w:val="32"/>
          <w:szCs w:val="32"/>
        </w:rPr>
        <w:t xml:space="preserve">Executive Summary</w:t>
      </w:r>
    </w:p>
    <w:p>
      <w:pPr>
        <w:spacing w:after="160" w:line="276"/>
        <w:jc w:val="both"/>
      </w:pPr>
      <w:r>
        <w:rPr>
          <w:rFonts w:ascii="Arial" w:cs="Arial" w:eastAsia="Arial" w:hAnsi="Arial"/>
          <w:color w:val="2C3E50"/>
          <w:sz w:val="22"/>
          <w:szCs w:val="22"/>
        </w:rPr>
        <w:t xml:space="preserve">This document presents a comprehensive scientific research framework for the investigation of POLE c.138del (p.Leu46Phefs*8), an ultra-rare pathogenic frameshift variant in the DNA Polymerase Epsilon gene causing Polymerase Proofreading-Associated Polyposis (PPAP) with an ultra-hypermutated tumor phenotype (TMB &gt;100 mut/Mb) and complex multi-system phenotype. The variant is absent from all major population databases including gnomAD, representing what may be a private or near-private mutation.</w:t>
      </w:r>
    </w:p>
    <w:p>
      <w:pPr>
        <w:spacing w:after="160" w:line="276"/>
        <w:jc w:val="both"/>
      </w:pPr>
      <w:r>
        <w:rPr>
          <w:rFonts w:ascii="Arial" w:cs="Arial" w:eastAsia="Arial" w:hAnsi="Arial"/>
          <w:color w:val="2C3E50"/>
          <w:sz w:val="22"/>
          <w:szCs w:val="22"/>
        </w:rPr>
        <w:t xml:space="preserve">This variant presents a fundamental mechanistic paradox: it produces a premature termination codon at approximately residue 54, over 200 amino acids upstream of the exonuclease (proofreading) domain, yet generates a clinical phenotype indistinguishable from classical PPAP caused by missense variants within the exonuclease active site. Under orthodox models of POLE-driven mutagenesis, this should not occur. Resolving this paradox has implications far beyond this single patient — it could restructure how POLE truncation variants are classified in clinical genetics, expand the population recognized as carrying cancer predisposition alleles, and open novel therapeutic avenues.</w:t>
      </w:r>
    </w:p>
    <w:p>
      <w:pPr>
        <w:spacing w:after="160" w:line="276"/>
        <w:jc w:val="both"/>
      </w:pPr>
      <w:r>
        <w:rPr>
          <w:rFonts w:ascii="Arial" w:cs="Arial" w:eastAsia="Arial" w:hAnsi="Arial"/>
          <w:color w:val="2C3E50"/>
          <w:sz w:val="22"/>
          <w:szCs w:val="22"/>
        </w:rPr>
        <w:t xml:space="preserve">The framework integrates findings from the published literature on POLE/POLD1 biology, immunotherapy response in hypermutated tumors, synthetic lethality strategies targeting the DNA damage response, and emerging technologies for ultra-sensitive somatic mutation detection in normal tissues. It organizes the research agenda into mechanistic questions, translational priorities, blood-based assays, experimental model requirements, and a phased implementation timeline.</w:t>
      </w:r>
    </w:p>
    <w:p>
      <w:r>
        <w:br w:type="page"/>
      </w:r>
    </w:p>
    <w:p>
      <w:pPr>
        <w:pStyle w:val="Heading1"/>
        <w:spacing w:after="200" w:before="360"/>
      </w:pPr>
      <w:r>
        <w:rPr>
          <w:rFonts w:ascii="Georgia" w:cs="Georgia" w:eastAsia="Georgia" w:hAnsi="Georgia"/>
          <w:b/>
          <w:bCs/>
          <w:color w:val="1B4F72"/>
          <w:sz w:val="32"/>
          <w:szCs w:val="32"/>
        </w:rPr>
        <w:t xml:space="preserve">1. Clinical Case Summary</w:t>
      </w:r>
    </w:p>
    <w:p>
      <w:pPr>
        <w:pStyle w:val="Heading2"/>
        <w:spacing w:after="160" w:before="280"/>
      </w:pPr>
      <w:r>
        <w:rPr>
          <w:rFonts w:ascii="Georgia" w:cs="Georgia" w:eastAsia="Georgia" w:hAnsi="Georgia"/>
          <w:b/>
          <w:bCs/>
          <w:color w:val="0E6655"/>
          <w:sz w:val="26"/>
          <w:szCs w:val="26"/>
        </w:rPr>
        <w:t xml:space="preserve">1.1 Genomic Profile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Parameter</w:t>
            </w:r>
          </w:p>
        </w:tc>
        <w:tc>
          <w:tcPr>
            <w:tcW w:type="dxa" w:w="6448"/>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Gene</w:t>
            </w:r>
          </w:p>
        </w:tc>
        <w:tc>
          <w:tcPr>
            <w:tcW w:type="dxa" w:w="6448"/>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POLE (DNA Polymerase Epsilon, catalytic subunit)</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Variant (cDNA)</w:t>
            </w:r>
          </w:p>
        </w:tc>
        <w:tc>
          <w:tcPr>
            <w:tcW w:type="dxa" w:w="6448"/>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c.138del</w:t>
            </w:r>
          </w:p>
        </w:tc>
      </w:tr>
      <w:tr>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Protein Effect</w:t>
            </w:r>
          </w:p>
        </w:tc>
        <w:tc>
          <w:tcPr>
            <w:tcW w:type="dxa" w:w="6448"/>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p.Leu46Phefs*8 (frameshift at leucine 46, premature stop at ~residue 54)</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Variant Class</w:t>
            </w:r>
          </w:p>
        </w:tc>
        <w:tc>
          <w:tcPr>
            <w:tcW w:type="dxa" w:w="6448"/>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Pathogenic frameshift (loss-of-function)</w:t>
            </w:r>
          </w:p>
        </w:tc>
      </w:tr>
      <w:tr>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TMB</w:t>
            </w:r>
          </w:p>
        </w:tc>
        <w:tc>
          <w:tcPr>
            <w:tcW w:type="dxa" w:w="6448"/>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&gt;100 mutations per megabase (ultra-hypermutated)</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Population Frequency</w:t>
            </w:r>
          </w:p>
        </w:tc>
        <w:tc>
          <w:tcPr>
            <w:tcW w:type="dxa" w:w="6448"/>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Absent from gnomAD and all major population databases</w:t>
            </w:r>
          </w:p>
        </w:tc>
      </w:tr>
      <w:tr>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Phenotype</w:t>
            </w:r>
          </w:p>
        </w:tc>
        <w:tc>
          <w:tcPr>
            <w:tcW w:type="dxa" w:w="6448"/>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Complex multi-system phenotype (PPAP)</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Patient</w:t>
            </w:r>
          </w:p>
        </w:tc>
        <w:tc>
          <w:tcPr>
            <w:tcW w:type="dxa" w:w="6448"/>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Female</w:t>
            </w:r>
          </w:p>
        </w:tc>
      </w:tr>
    </w:tbl>
    <w:p>
      <w:pPr>
        <w:spacing w:after="80"/>
      </w:pPr>
    </w:p>
    <w:p>
      <w:pPr>
        <w:pStyle w:val="Heading2"/>
        <w:spacing w:after="160" w:before="280"/>
      </w:pPr>
      <w:r>
        <w:rPr>
          <w:rFonts w:ascii="Georgia" w:cs="Georgia" w:eastAsia="Georgia" w:hAnsi="Georgia"/>
          <w:b/>
          <w:bCs/>
          <w:color w:val="0E6655"/>
          <w:sz w:val="26"/>
          <w:szCs w:val="26"/>
        </w:rPr>
        <w:t xml:space="preserve">1.2 Clinical Significance</w:t>
      </w:r>
    </w:p>
    <w:p>
      <w:pPr>
        <w:spacing w:after="160" w:line="276"/>
        <w:jc w:val="both"/>
      </w:pPr>
      <w:r>
        <w:rPr>
          <w:rFonts w:ascii="Arial" w:cs="Arial" w:eastAsia="Arial" w:hAnsi="Arial"/>
          <w:color w:val="2C3E50"/>
          <w:sz w:val="22"/>
          <w:szCs w:val="22"/>
        </w:rPr>
        <w:t xml:space="preserve">This case is significant for multiple converging reasons. First, the variant’s position — terminating the POLE protein at approximately residue 54 of the 2,286-amino-acid catalytic subunit — eliminates all known functional domains, including the exonuclease domain (residues ~268–471) and the polymerase domain (residues ~580–1260). Under prevailing models of PPAP pathogenesis, this should produce a null allele incapable of generating the dominant-negative ultra-hypermutation phenotype. Yet the phenotype is unambiguously PPAP.</w:t>
      </w:r>
    </w:p>
    <w:p>
      <w:pPr>
        <w:spacing w:after="160" w:line="276"/>
        <w:jc w:val="both"/>
      </w:pPr>
      <w:r>
        <w:rPr>
          <w:rFonts w:ascii="Arial" w:cs="Arial" w:eastAsia="Arial" w:hAnsi="Arial"/>
          <w:color w:val="2C3E50"/>
          <w:sz w:val="22"/>
          <w:szCs w:val="22"/>
        </w:rPr>
        <w:t xml:space="preserve">Second, its complete absence from population databases underscores that this is likely a private or near-private variant, precluding population-level genotype-phenotype correlations and making each piece of experimental data generated from this case uniquely valuable.</w:t>
      </w:r>
    </w:p>
    <w:p>
      <w:pPr>
        <w:spacing w:after="160" w:line="276"/>
        <w:jc w:val="both"/>
      </w:pPr>
      <w:r>
        <w:rPr>
          <w:rFonts w:ascii="Arial" w:cs="Arial" w:eastAsia="Arial" w:hAnsi="Arial"/>
          <w:color w:val="2C3E50"/>
          <w:sz w:val="22"/>
          <w:szCs w:val="22"/>
        </w:rPr>
        <w:t xml:space="preserve">Third, the TMB exceeding 100 mutations per megabase places this tumor among the most highly mutated cancers observed in any context, creating both immediate therapeutic opportunities (immunotherapy eligibility) and urgent mechanistic questions about the process generating such extreme mutagenesis.</w:t>
      </w:r>
    </w:p>
    <w:p>
      <w:r>
        <w:br w:type="page"/>
      </w:r>
    </w:p>
    <w:p>
      <w:pPr>
        <w:pStyle w:val="Heading1"/>
        <w:spacing w:after="200" w:before="360"/>
      </w:pPr>
      <w:r>
        <w:rPr>
          <w:rFonts w:ascii="Georgia" w:cs="Georgia" w:eastAsia="Georgia" w:hAnsi="Georgia"/>
          <w:b/>
          <w:bCs/>
          <w:color w:val="1B4F72"/>
          <w:sz w:val="32"/>
          <w:szCs w:val="32"/>
        </w:rPr>
        <w:t xml:space="preserve">2. The Mechanistic Paradox</w:t>
      </w:r>
    </w:p>
    <w:p>
      <w:pPr>
        <w:pStyle w:val="Heading2"/>
        <w:spacing w:after="160" w:before="280"/>
      </w:pPr>
      <w:r>
        <w:rPr>
          <w:rFonts w:ascii="Georgia" w:cs="Georgia" w:eastAsia="Georgia" w:hAnsi="Georgia"/>
          <w:b/>
          <w:bCs/>
          <w:color w:val="0E6655"/>
          <w:sz w:val="26"/>
          <w:szCs w:val="26"/>
        </w:rPr>
        <w:t xml:space="preserve">2.1 POLE Domain Architecture and Classical PPAP</w:t>
      </w:r>
    </w:p>
    <w:p>
      <w:pPr>
        <w:spacing w:after="160" w:line="276"/>
        <w:jc w:val="both"/>
      </w:pPr>
      <w:r>
        <w:rPr>
          <w:rFonts w:ascii="Arial" w:cs="Arial" w:eastAsia="Arial" w:hAnsi="Arial"/>
          <w:color w:val="2C3E50"/>
          <w:sz w:val="22"/>
          <w:szCs w:val="22"/>
        </w:rPr>
        <w:t xml:space="preserve">The POLE catalytic subunit (p261) contains 2,286 amino acids organized into several functional domains. The exonuclease (proofreading) domain spans approximately residues 268–471, and the polymerase (DNA synthesis) domain sits further downstream at approximately residues 580–1260. Classical PPAP-causing variants — including P286R, V411L, L424V, and S459F — are missense substitutions clustered within or adjacent to the exonuclease active site.</w:t>
      </w:r>
    </w:p>
    <w:p>
      <w:pPr>
        <w:spacing w:after="160" w:line="276"/>
        <w:jc w:val="both"/>
      </w:pPr>
      <w:r>
        <w:rPr>
          <w:rFonts w:ascii="Arial" w:cs="Arial" w:eastAsia="Arial" w:hAnsi="Arial"/>
          <w:color w:val="2C3E50"/>
          <w:sz w:val="22"/>
          <w:szCs w:val="22"/>
        </w:rPr>
        <w:t xml:space="preserve">Their mechanism is understood as a dominant-negative gain of function: the polymerase retains its ability to synthesize DNA (and in some cases shows increased processivity), but loses proofreading capability. The result is a hyperactive but error-blind polymerase that outcompetes mismatch repair capacity, producing the characteristic COSMIC mutational signatures SBS10a (C&gt;A in TCT context) and SBS10b (C&gt;T in TCG context), along with SBS28.</w:t>
      </w:r>
    </w:p>
    <w:p>
      <w:pPr>
        <w:pStyle w:val="Heading2"/>
        <w:spacing w:after="160" w:before="280"/>
      </w:pPr>
      <w:r>
        <w:rPr>
          <w:rFonts w:ascii="Georgia" w:cs="Georgia" w:eastAsia="Georgia" w:hAnsi="Georgia"/>
          <w:b/>
          <w:bCs/>
          <w:color w:val="0E6655"/>
          <w:sz w:val="26"/>
          <w:szCs w:val="26"/>
        </w:rPr>
        <w:t xml:space="preserve">2.2 Why This Variant Should Not Cause PPAP</w:t>
      </w:r>
    </w:p>
    <w:p>
      <w:pPr>
        <w:spacing w:after="160" w:line="276"/>
        <w:jc w:val="both"/>
      </w:pPr>
      <w:r>
        <w:rPr>
          <w:rFonts w:ascii="Arial" w:cs="Arial" w:eastAsia="Arial" w:hAnsi="Arial"/>
          <w:color w:val="2C3E50"/>
          <w:sz w:val="22"/>
          <w:szCs w:val="22"/>
        </w:rPr>
        <w:t xml:space="preserve">The variant p.Leu46Phefs*8 terminates the protein at approximately residue 54 — over 200 amino acids upstream of the exonuclease domain. Under orthodox models, this should produce a null allele: a truncated, nonfunctional peptide fragment containing none of POLE’s catalytic architecture. Three problems arise:</w:t>
      </w:r>
    </w:p>
    <w:p>
      <w:pPr>
        <w:pStyle w:val="ListParagraph"/>
        <w:numPr>
          <w:ilvl w:val="0"/>
          <w:numId w:val="2"/>
        </w:numPr>
        <w:spacing w:after="80" w:line="276"/>
      </w:pPr>
      <w:r>
        <w:rPr>
          <w:rFonts w:ascii="Arial" w:cs="Arial" w:eastAsia="Arial" w:hAnsi="Arial"/>
          <w:b/>
          <w:bCs/>
          <w:color w:val="2C3E50"/>
          <w:sz w:val="22"/>
          <w:szCs w:val="22"/>
        </w:rPr>
        <w:t xml:space="preserve">Haploinsufficiency should be insufficient. </w:t>
      </w:r>
      <w:r>
        <w:rPr>
          <w:rFonts w:ascii="Arial" w:cs="Arial" w:eastAsia="Arial" w:hAnsi="Arial"/>
          <w:color w:val="2C3E50"/>
          <w:sz w:val="22"/>
          <w:szCs w:val="22"/>
        </w:rPr>
        <w:t xml:space="preserve">In a heterozygous carrier, the wild-type allele should produce normal functional POLE. Unlike the dominant-negative missense variants — which actively poison the replication complex — a simple loss of 50% protein output should theoretically be compensated by the remaining wild-type POLE, which proofreads normally.</w:t>
      </w:r>
    </w:p>
    <w:p>
      <w:pPr>
        <w:pStyle w:val="ListParagraph"/>
        <w:numPr>
          <w:ilvl w:val="0"/>
          <w:numId w:val="2"/>
        </w:numPr>
        <w:spacing w:after="80" w:line="276"/>
      </w:pPr>
      <w:r>
        <w:rPr>
          <w:rFonts w:ascii="Arial" w:cs="Arial" w:eastAsia="Arial" w:hAnsi="Arial"/>
          <w:b/>
          <w:bCs/>
          <w:color w:val="2C3E50"/>
          <w:sz w:val="22"/>
          <w:szCs w:val="22"/>
        </w:rPr>
        <w:t xml:space="preserve">Complete POLE loss is presumed embryonic lethal. </w:t>
      </w:r>
      <w:r>
        <w:rPr>
          <w:rFonts w:ascii="Arial" w:cs="Arial" w:eastAsia="Arial" w:hAnsi="Arial"/>
          <w:color w:val="2C3E50"/>
          <w:sz w:val="22"/>
          <w:szCs w:val="22"/>
        </w:rPr>
        <w:t xml:space="preserve">Homozygous knockout of POLE catalytic function is incompatible with viability in mouse models, so biallelic loss is not the simple answer.</w:t>
      </w:r>
    </w:p>
    <w:p>
      <w:pPr>
        <w:pStyle w:val="ListParagraph"/>
        <w:numPr>
          <w:ilvl w:val="0"/>
          <w:numId w:val="2"/>
        </w:numPr>
        <w:spacing w:after="80" w:line="276"/>
      </w:pPr>
      <w:r>
        <w:rPr>
          <w:rFonts w:ascii="Arial" w:cs="Arial" w:eastAsia="Arial" w:hAnsi="Arial"/>
          <w:b/>
          <w:bCs/>
          <w:color w:val="2C3E50"/>
          <w:sz w:val="22"/>
          <w:szCs w:val="22"/>
        </w:rPr>
        <w:t xml:space="preserve">Yet the phenotype is unambiguously PPAP. </w:t>
      </w:r>
      <w:r>
        <w:rPr>
          <w:rFonts w:ascii="Arial" w:cs="Arial" w:eastAsia="Arial" w:hAnsi="Arial"/>
          <w:color w:val="2C3E50"/>
          <w:sz w:val="22"/>
          <w:szCs w:val="22"/>
        </w:rPr>
        <w:t xml:space="preserve">TMB &gt;100 mut/Mb with polyposis and a multi-system phenotype is the full PPAP presentation. Something mechanistically novel must be occurring.</w:t>
      </w:r>
    </w:p>
    <w:p>
      <w:pPr>
        <w:pStyle w:val="Heading2"/>
        <w:spacing w:after="160" w:before="280"/>
      </w:pPr>
      <w:r>
        <w:rPr>
          <w:rFonts w:ascii="Georgia" w:cs="Georgia" w:eastAsia="Georgia" w:hAnsi="Georgia"/>
          <w:b/>
          <w:bCs/>
          <w:color w:val="0E6655"/>
          <w:sz w:val="26"/>
          <w:szCs w:val="26"/>
        </w:rPr>
        <w:t xml:space="preserve">2.3 Candidate Explanatory Models</w:t>
      </w:r>
    </w:p>
    <w:p>
      <w:pPr>
        <w:spacing w:after="160" w:line="276"/>
        <w:jc w:val="both"/>
      </w:pPr>
      <w:r>
        <w:rPr>
          <w:rFonts w:ascii="Arial" w:cs="Arial" w:eastAsia="Arial" w:hAnsi="Arial"/>
          <w:color w:val="2C3E50"/>
          <w:sz w:val="22"/>
          <w:szCs w:val="22"/>
        </w:rPr>
        <w:t xml:space="preserve">Five non-mutually-exclusive mechanistic models could resolve the paradox. Discriminating between them is the central research priority.</w:t>
      </w:r>
    </w:p>
    <w:p>
      <w:pPr>
        <w:spacing w:after="120" w:before="200"/>
      </w:pPr>
      <w:r>
        <w:rPr>
          <w:rFonts w:ascii="Arial" w:cs="Arial" w:eastAsia="Arial" w:hAnsi="Arial"/>
          <w:b/>
          <w:bCs/>
          <w:color w:val="1B4F72"/>
          <w:sz w:val="22"/>
          <w:szCs w:val="22"/>
        </w:rPr>
        <w:t xml:space="preserve">Model 1: Somatic Loss of Heterozygosity (LOH)</w:t>
      </w:r>
    </w:p>
    <w:p>
      <w:pPr>
        <w:spacing w:after="160" w:line="276"/>
        <w:jc w:val="both"/>
      </w:pPr>
      <w:r>
        <w:rPr>
          <w:rFonts w:ascii="Arial" w:cs="Arial" w:eastAsia="Arial" w:hAnsi="Arial"/>
          <w:color w:val="2C3E50"/>
          <w:sz w:val="22"/>
          <w:szCs w:val="22"/>
        </w:rPr>
        <w:t xml:space="preserve">If the wild-type POLE allele is somatically deleted, silenced (via promoter methylation), or lost through copy-neutral LOH (mitotic recombination or uniparental disomy) in tumor tissue, those cells would have no functional POLE. The cell might then rely on compensatory polymerases (such as Polδ) with lower fidelity. This follows Knudson’s two-hit tumor suppressor model rather than the classical dominant-negative PPAP paradigm. Published research has demonstrated that LOH is a major mechanism of tumor suppressor inactivation, accounting for the second hit in conditions ranging from retinoblastoma (RB1) to BRCA1/2-associated cancers. Copy-neutral LOH through uniparental disomy is reported to constitute 20–80% of LOH events in human tumors. Gene conversion has been identified as contributing approximately 14.8% of total LOH mutations across 6,285 cancer patient samples.</w:t>
      </w:r>
    </w:p>
    <w:p>
      <w:pPr>
        <w:spacing w:after="120" w:before="200"/>
      </w:pPr>
      <w:r>
        <w:rPr>
          <w:rFonts w:ascii="Arial" w:cs="Arial" w:eastAsia="Arial" w:hAnsi="Arial"/>
          <w:b/>
          <w:bCs/>
          <w:color w:val="1B4F72"/>
          <w:sz w:val="22"/>
          <w:szCs w:val="22"/>
        </w:rPr>
        <w:t xml:space="preserve">Model 2: Translational Reinitiation</w:t>
      </w:r>
    </w:p>
    <w:p>
      <w:pPr>
        <w:spacing w:after="160" w:line="276"/>
        <w:jc w:val="both"/>
      </w:pPr>
      <w:r>
        <w:rPr>
          <w:rFonts w:ascii="Arial" w:cs="Arial" w:eastAsia="Arial" w:hAnsi="Arial"/>
          <w:color w:val="2C3E50"/>
          <w:sz w:val="22"/>
          <w:szCs w:val="22"/>
        </w:rPr>
        <w:t xml:space="preserve">Ribosomes encountering the premature stop codon might reinitiate translation at a downstream AUG (methionine) codon. If reinitiation occurred at a methionine within or downstream of the exonuclease domain but upstream of the polymerase domain, the resulting N-terminally truncated protein could potentially retain polymerase activity while lacking proofreading function — effectively phenocopying the canonical dominant-negative mechanism through a completely different genetic route.</w:t>
      </w:r>
    </w:p>
    <w:p>
      <w:pPr>
        <w:spacing w:after="120" w:before="200"/>
      </w:pPr>
      <w:r>
        <w:rPr>
          <w:rFonts w:ascii="Arial" w:cs="Arial" w:eastAsia="Arial" w:hAnsi="Arial"/>
          <w:b/>
          <w:bCs/>
          <w:color w:val="1B4F72"/>
          <w:sz w:val="22"/>
          <w:szCs w:val="22"/>
        </w:rPr>
        <w:t xml:space="preserve">Model 3: NMD Escape and Holoenzyme Poisoning</w:t>
      </w:r>
    </w:p>
    <w:p>
      <w:pPr>
        <w:spacing w:after="160" w:line="276"/>
        <w:jc w:val="both"/>
      </w:pPr>
      <w:r>
        <w:rPr>
          <w:rFonts w:ascii="Arial" w:cs="Arial" w:eastAsia="Arial" w:hAnsi="Arial"/>
          <w:color w:val="2C3E50"/>
          <w:sz w:val="22"/>
          <w:szCs w:val="22"/>
        </w:rPr>
        <w:t xml:space="preserve">Premature termination codons early in the coding sequence can sometimes escape nonsense-mediated mRNA decay (NMD). If the truncated peptide (residues 1–54) retains partial binding capacity for the POLE2 (p59) accessory subunit, it could act as a competitive inhibitor — sequestering POLE2 away from wild-type POLE and effectively reducing functional holoenzyme assembly below the 50% expected from simple haploinsufficiency. This would represent a dominant-negative mechanism operating through stoichiometric poisoning of complex assembly rather than catalytic dysfunction.</w:t>
      </w:r>
    </w:p>
    <w:p>
      <w:pPr>
        <w:spacing w:after="120" w:before="200"/>
      </w:pPr>
      <w:r>
        <w:rPr>
          <w:rFonts w:ascii="Arial" w:cs="Arial" w:eastAsia="Arial" w:hAnsi="Arial"/>
          <w:b/>
          <w:bCs/>
          <w:color w:val="1B4F72"/>
          <w:sz w:val="22"/>
          <w:szCs w:val="22"/>
        </w:rPr>
        <w:t xml:space="preserve">Model 4: Replication Stress-Dependent Haploinsufficiency</w:t>
      </w:r>
    </w:p>
    <w:p>
      <w:pPr>
        <w:spacing w:after="160" w:line="276"/>
        <w:jc w:val="both"/>
      </w:pPr>
      <w:r>
        <w:rPr>
          <w:rFonts w:ascii="Arial" w:cs="Arial" w:eastAsia="Arial" w:hAnsi="Arial"/>
          <w:color w:val="2C3E50"/>
          <w:sz w:val="22"/>
          <w:szCs w:val="22"/>
        </w:rPr>
        <w:t xml:space="preserve">It is possible that 50% POLE dosage is adequate under normal replication conditions but becomes rate-limiting under replicative stress (oncogene activation, nucleotide pool depletion, collision with transcription machinery). In rapidly dividing tissues — colonic crypts, endometrium — this could create a context-dependent proofreading deficit sufficient to drive hypermutation. This would be a novel and significant finding because it would indicate that POLE proofreading operates closer to a threshold than a linear dose-response. Published evidence from the haploinsufficiency literature supports this concept: studies have shown that even for classic two-hit tumor suppressors like p53, haploinsufficiency alone can be sufficient to initiate tumour formation without loss of the wild-type allele.</w:t>
      </w:r>
    </w:p>
    <w:p>
      <w:pPr>
        <w:spacing w:after="120" w:before="200"/>
      </w:pPr>
      <w:r>
        <w:rPr>
          <w:rFonts w:ascii="Arial" w:cs="Arial" w:eastAsia="Arial" w:hAnsi="Arial"/>
          <w:b/>
          <w:bCs/>
          <w:color w:val="1B4F72"/>
          <w:sz w:val="22"/>
          <w:szCs w:val="22"/>
        </w:rPr>
        <w:t xml:space="preserve">Model 5: Isoform-Specific Effects</w:t>
      </w:r>
    </w:p>
    <w:p>
      <w:pPr>
        <w:spacing w:after="160" w:line="276"/>
        <w:jc w:val="both"/>
      </w:pPr>
      <w:r>
        <w:rPr>
          <w:rFonts w:ascii="Arial" w:cs="Arial" w:eastAsia="Arial" w:hAnsi="Arial"/>
          <w:color w:val="2C3E50"/>
          <w:sz w:val="22"/>
          <w:szCs w:val="22"/>
        </w:rPr>
        <w:t xml:space="preserve">POLE has alternative transcript variants. The c.138del might differentially affect specific isoforms — eliminating a catalytically critical isoform while sparing others, or producing aberrant isoform-specific truncated products with neomorphic properties.</w:t>
      </w:r>
    </w:p>
    <w:p>
      <w:r>
        <w:br w:type="page"/>
      </w:r>
    </w:p>
    <w:p>
      <w:pPr>
        <w:pStyle w:val="Heading1"/>
        <w:spacing w:after="200" w:before="360"/>
      </w:pPr>
      <w:r>
        <w:rPr>
          <w:rFonts w:ascii="Georgia" w:cs="Georgia" w:eastAsia="Georgia" w:hAnsi="Georgia"/>
          <w:b/>
          <w:bCs/>
          <w:color w:val="1B4F72"/>
          <w:sz w:val="32"/>
          <w:szCs w:val="32"/>
        </w:rPr>
        <w:t xml:space="preserve">3. Published Research Context</w:t>
      </w:r>
    </w:p>
    <w:p>
      <w:pPr>
        <w:pStyle w:val="Heading2"/>
        <w:spacing w:after="160" w:before="280"/>
      </w:pPr>
      <w:r>
        <w:rPr>
          <w:rFonts w:ascii="Georgia" w:cs="Georgia" w:eastAsia="Georgia" w:hAnsi="Georgia"/>
          <w:b/>
          <w:bCs/>
          <w:color w:val="0E6655"/>
          <w:sz w:val="26"/>
          <w:szCs w:val="26"/>
        </w:rPr>
        <w:t xml:space="preserve">3.1 PPAP Clinical Landscape</w:t>
      </w:r>
    </w:p>
    <w:p>
      <w:pPr>
        <w:spacing w:after="160" w:line="276"/>
        <w:jc w:val="both"/>
      </w:pPr>
      <w:r>
        <w:rPr>
          <w:rFonts w:ascii="Arial" w:cs="Arial" w:eastAsia="Arial" w:hAnsi="Arial"/>
          <w:color w:val="2C3E50"/>
          <w:sz w:val="22"/>
          <w:szCs w:val="22"/>
        </w:rPr>
        <w:t xml:space="preserve">The definitive clinical characterization of PPAP was published by Palles et al. (Familial Cancer, 2022), who identified 132 individuals carrying probably pathogenic exonuclease domain variants (105 POLE, 27 POLD1). Cumulative CRC incidence was estimated at approximately 90% for POLE and 50% for POLD1 variant heterozygotes. The earliest malignancy was colorectal cancer at age 14. The most common tumor types were colorectal, followed by endometrial in POLD1 and duodenal in POLE heterozygotes. The PPAP phenotype was described as a hybrid between attenuated adenomatous polyposis and Lynch syndrome. Critically, all characterized pathogenic variants were missense substitutions in the exonuclease domain.</w:t>
      </w:r>
    </w:p>
    <w:p>
      <w:pPr>
        <w:spacing w:after="160" w:line="276"/>
        <w:jc w:val="both"/>
      </w:pPr>
      <w:r>
        <w:rPr>
          <w:rFonts w:ascii="Arial" w:cs="Arial" w:eastAsia="Arial" w:hAnsi="Arial"/>
          <w:color w:val="2C3E50"/>
          <w:sz w:val="22"/>
          <w:szCs w:val="22"/>
        </w:rPr>
        <w:t xml:space="preserve">Reports from the POLD1 literature have recently expanded the PPAP phenotypic spectrum. Frontiers in Oncology (2025) reported the first documented duodenal adenocarcinomas in germline POLD1 carriers, emphasizing that the tumor spectrum for polymerase proofreading deficiencies continues to expand and that upper gastrointestinal surveillance should be systematized.</w:t>
      </w:r>
    </w:p>
    <w:p>
      <w:pPr>
        <w:pStyle w:val="Heading2"/>
        <w:spacing w:after="160" w:before="280"/>
      </w:pPr>
      <w:r>
        <w:rPr>
          <w:rFonts w:ascii="Georgia" w:cs="Georgia" w:eastAsia="Georgia" w:hAnsi="Georgia"/>
          <w:b/>
          <w:bCs/>
          <w:color w:val="0E6655"/>
          <w:sz w:val="26"/>
          <w:szCs w:val="26"/>
        </w:rPr>
        <w:t xml:space="preserve">3.2 POLE Frameshift Variants in the Literature</w:t>
      </w:r>
    </w:p>
    <w:p>
      <w:pPr>
        <w:spacing w:after="160" w:line="276"/>
        <w:jc w:val="both"/>
      </w:pPr>
      <w:r>
        <w:rPr>
          <w:rFonts w:ascii="Arial" w:cs="Arial" w:eastAsia="Arial" w:hAnsi="Arial"/>
          <w:color w:val="2C3E50"/>
          <w:sz w:val="22"/>
          <w:szCs w:val="22"/>
        </w:rPr>
        <w:t xml:space="preserve">While the vast majority of characterized PPAP variants are exonuclease domain missense substitutions, a small number of frameshift variants have been reported. A Japanese study (Journal of Human Genetics, 2019) identified a germline frameshift variant c.4191_4192delCT (p.Tyr1398*) in a patient with multiple adenomatous polyps and three synchronous colon cancers. Critically, one tumor was MSI-high through epigenetic silencing of MLH1 via promoter hypermethylation — without somatic MMR gene mutations — demonstrating that PPAP-associated tumors can acquire secondary MSI through epigenetic rather than genetic mechanisms. This finding is directly relevant to the current case, as it suggests that the ultra-hypermutated phenotype could reflect compound POLE + MMR dysfunction acquired through epigenetic silencing.</w:t>
      </w:r>
    </w:p>
    <w:p>
      <w:pPr>
        <w:spacing w:after="160" w:line="276"/>
        <w:jc w:val="both"/>
      </w:pPr>
      <w:r>
        <w:rPr>
          <w:rFonts w:ascii="Arial" w:cs="Arial" w:eastAsia="Arial" w:hAnsi="Arial"/>
          <w:color w:val="2C3E50"/>
          <w:sz w:val="22"/>
          <w:szCs w:val="22"/>
        </w:rPr>
        <w:t xml:space="preserve">A Spanish cohort study (Scientific Reports, 2019) identified two additional germline frameshift variants in POLE: c.5621_5622delGT in a sporadic CRC patient diagnosed at age 26, and c.1370_1371delAT (p.Tyr457fs*9) in an attenuated adenomatous polyposis patient. The latter is notable because it maps to the exonuclease domain itself, unlike the c.138del variant under investigation. A POLD1 frameshift variant studied in patient-derived organoids showed no significant differences in DNA damage response compared to controls, suggesting that haploinsufficiency of the wild-type allele may compensate for the frameshift allele in POLD1 — but this finding cannot be directly extrapolated to POLE, which has distinct biology.</w:t>
      </w:r>
    </w:p>
    <w:p>
      <w:pPr>
        <w:pStyle w:val="Heading2"/>
        <w:spacing w:after="160" w:before="280"/>
      </w:pPr>
      <w:r>
        <w:rPr>
          <w:rFonts w:ascii="Georgia" w:cs="Georgia" w:eastAsia="Georgia" w:hAnsi="Georgia"/>
          <w:b/>
          <w:bCs/>
          <w:color w:val="0E6655"/>
          <w:sz w:val="26"/>
          <w:szCs w:val="26"/>
        </w:rPr>
        <w:t xml:space="preserve">3.3 Somatic Mutation in Normal Tissues: The NanoSeq Evidence</w:t>
      </w:r>
    </w:p>
    <w:p>
      <w:pPr>
        <w:spacing w:after="160" w:line="276"/>
        <w:jc w:val="both"/>
      </w:pPr>
      <w:r>
        <w:rPr>
          <w:rFonts w:ascii="Arial" w:cs="Arial" w:eastAsia="Arial" w:hAnsi="Arial"/>
          <w:color w:val="2C3E50"/>
          <w:sz w:val="22"/>
          <w:szCs w:val="22"/>
        </w:rPr>
        <w:t xml:space="preserve">A landmark study published in Nature Genetics (2021) by Robinson et al. directly addressed the question of whether germline POLE/POLD1 mutations elevate somatic mutation rates in normal (non-tumor) tissues. Using NanoSeq duplex sequencing and single-cell whole-genome sequencing, they demonstrated that individuals with germline POLE or POLD1 exonuclease domain mutations exhibit increased mutation burdens with characteristic mutational signatures (SBS10a/b) in normal adult somatic cells — including during early embryogenesis and in sperm. This proved that the mutational process is constitutive and ubiquitous, not confined to tumors.</w:t>
      </w:r>
    </w:p>
    <w:p>
      <w:pPr>
        <w:spacing w:after="160" w:line="276"/>
        <w:jc w:val="both"/>
      </w:pPr>
      <w:r>
        <w:rPr>
          <w:rFonts w:ascii="Arial" w:cs="Arial" w:eastAsia="Arial" w:hAnsi="Arial"/>
          <w:color w:val="2C3E50"/>
          <w:sz w:val="22"/>
          <w:szCs w:val="22"/>
        </w:rPr>
        <w:t xml:space="preserve">This finding is profoundly relevant to the current case. If NanoSeq or equivalent duplex sequencing of this patient’s blood cells reveals elevated SBS10a/b signatures, it would demonstrate that the c.138del variant generates the same biochemical deficiency as canonical exonuclease domain missense variants — despite lacking the exonuclease domain entirely. If the signatures are absent in normal tissues but present in tumors, it would support the LOH model, where only cells that have lost the wild-type allele experience the proofreading deficit.</w:t>
      </w:r>
    </w:p>
    <w:p>
      <w:pPr>
        <w:spacing w:after="160" w:line="276"/>
        <w:jc w:val="both"/>
      </w:pPr>
      <w:r>
        <w:rPr>
          <w:rFonts w:ascii="Arial" w:cs="Arial" w:eastAsia="Arial" w:hAnsi="Arial"/>
          <w:color w:val="2C3E50"/>
          <w:sz w:val="22"/>
          <w:szCs w:val="22"/>
        </w:rPr>
        <w:t xml:space="preserve">Further advancing this field, a 2025 Nature study introduced an improved NanoSeq protocol with error rates below 5 per billion base pairs, compatible with whole-exome and targeted capture, enabling population-scale studies of somatic mutation and selection. This technology is directly applicable to the current case for measuring mutation rates in the patient’s normal tissues with unprecedented sensitivity.</w:t>
      </w:r>
    </w:p>
    <w:p>
      <w:pPr>
        <w:pStyle w:val="Heading2"/>
        <w:spacing w:after="160" w:before="280"/>
      </w:pPr>
      <w:r>
        <w:rPr>
          <w:rFonts w:ascii="Georgia" w:cs="Georgia" w:eastAsia="Georgia" w:hAnsi="Georgia"/>
          <w:b/>
          <w:bCs/>
          <w:color w:val="0E6655"/>
          <w:sz w:val="26"/>
          <w:szCs w:val="26"/>
        </w:rPr>
        <w:t xml:space="preserve">3.4 Immunotherapy in POLE-Mutated Cancers</w:t>
      </w:r>
    </w:p>
    <w:p>
      <w:pPr>
        <w:spacing w:after="160" w:line="276"/>
        <w:jc w:val="both"/>
      </w:pPr>
      <w:r>
        <w:rPr>
          <w:rFonts w:ascii="Arial" w:cs="Arial" w:eastAsia="Arial" w:hAnsi="Arial"/>
          <w:color w:val="2C3E50"/>
          <w:sz w:val="22"/>
          <w:szCs w:val="22"/>
        </w:rPr>
        <w:t xml:space="preserve">Multiple studies have established that pathogenic POLE mutations predict favorable response to immune checkpoint inhibitors (ICIs). A comprehensive clinicopathologic analysis from MD Anderson Cancer Center (JCO Precision Oncology, 2022) analyzed 458 patient tumors with POLE mutations and demonstrated that clinical benefit rate in patients receiving IO-only regimens was significantly greater for pathogenic POLE mutations compared to non-actionable variants (82.4% vs. 30.0%, P = 0.013), with zero radiologic responses in patients with benign variants. Median PFS was 15.1 months for pathogenic mutations versus 2.8 months for benign mutations (P &lt; 0.001). Median OS was 29.5 months versus 11.6 months (P &lt; 0.001).</w:t>
      </w:r>
    </w:p>
    <w:p>
      <w:pPr>
        <w:spacing w:after="160" w:line="276"/>
        <w:jc w:val="both"/>
      </w:pPr>
      <w:r>
        <w:rPr>
          <w:rFonts w:ascii="Arial" w:cs="Arial" w:eastAsia="Arial" w:hAnsi="Arial"/>
          <w:color w:val="2C3E50"/>
          <w:sz w:val="22"/>
          <w:szCs w:val="22"/>
        </w:rPr>
        <w:t xml:space="preserve">A 2024 study in Annals of Oncology specifically examined ICI response in POLE/POLD1 proofreading-deficient metastatic colorectal cancer. Among responders, the mean POLE mutational signature contribution was 78.5%, compared to 28.5% in non-responders (P = 0.003). This underscores that the presence of canonical POLE mutational signatures, not merely TMB, is the critical predictor of immunotherapy benefit — making mutational signature analysis of this patient’s tumor an immediate clinical priority.</w:t>
      </w:r>
    </w:p>
    <w:p>
      <w:pPr>
        <w:spacing w:after="160" w:line="276"/>
        <w:jc w:val="both"/>
      </w:pPr>
      <w:r>
        <w:rPr>
          <w:rFonts w:ascii="Arial" w:cs="Arial" w:eastAsia="Arial" w:hAnsi="Arial"/>
          <w:color w:val="2C3E50"/>
          <w:sz w:val="22"/>
          <w:szCs w:val="22"/>
        </w:rPr>
        <w:t xml:space="preserve">A groundbreaking 2025 study in Cancer Research demonstrated that immune checkpoint blockade in DNA polymerase mutator mouse models not only treated existing cancers but significantly delayed cancer development and extended survival when administered prior to cancer onset. This raises the possibility of using ICB preventively in PPAP carriers — a concept directly relevant to the long-term management of this patient.</w:t>
      </w:r>
    </w:p>
    <w:p>
      <w:pPr>
        <w:pStyle w:val="Heading2"/>
        <w:spacing w:after="160" w:before="280"/>
      </w:pPr>
      <w:r>
        <w:rPr>
          <w:rFonts w:ascii="Georgia" w:cs="Georgia" w:eastAsia="Georgia" w:hAnsi="Georgia"/>
          <w:b/>
          <w:bCs/>
          <w:color w:val="0E6655"/>
          <w:sz w:val="26"/>
          <w:szCs w:val="26"/>
        </w:rPr>
        <w:t xml:space="preserve">3.5 Synthetic Lethality and the ATR-CHK1 Pathway</w:t>
      </w:r>
    </w:p>
    <w:p>
      <w:pPr>
        <w:spacing w:after="160" w:line="276"/>
        <w:jc w:val="both"/>
      </w:pPr>
      <w:r>
        <w:rPr>
          <w:rFonts w:ascii="Arial" w:cs="Arial" w:eastAsia="Arial" w:hAnsi="Arial"/>
          <w:color w:val="2C3E50"/>
          <w:sz w:val="22"/>
          <w:szCs w:val="22"/>
        </w:rPr>
        <w:t xml:space="preserve">The rationale for targeting the ATR-CHK1 replication stress response pathway in POLE-deficient tumors is supported by an expanding body of preclinical and early clinical evidence. ATR inhibitors (ceralasertib/AZD6738, berzosertib/M6620, elimusertib/BAY1895344) are currently in multiple clinical trials. A comprehensive 2025 review in the European Journal of Medicinal Chemistry systematically mapped the medicinal chemistry evolution of ATR inhibitors and the progress of combination regimens.</w:t>
      </w:r>
    </w:p>
    <w:p>
      <w:pPr>
        <w:spacing w:after="160" w:line="276"/>
        <w:jc w:val="both"/>
      </w:pPr>
      <w:r>
        <w:rPr>
          <w:rFonts w:ascii="Arial" w:cs="Arial" w:eastAsia="Arial" w:hAnsi="Arial"/>
          <w:color w:val="2C3E50"/>
          <w:sz w:val="22"/>
          <w:szCs w:val="22"/>
        </w:rPr>
        <w:t xml:space="preserve">Directly relevant to this case, a 2024 study demonstrated synthetic lethality between ATR and members of the B-family DNA polymerases (POLA1, with prior evidence for POLD1 and PRIM1) in colorectal cancer cell lines. This synthetic lethal relationship establishes a direct precedent: if POLE deficiency creates analogous replication stress, ATR inhibition should be selectively toxic to POLE-deficient cells. A 2024 study in the British Journal of Cancer further showed that ATR, CHK1, and WEE1 inhibitors cause homologous recombination repair deficiency, inducing synthetic lethality with PARP inhibitors — suggesting potential for triple combinations.</w:t>
      </w:r>
    </w:p>
    <w:p>
      <w:r>
        <w:br w:type="page"/>
      </w:r>
    </w:p>
    <w:p>
      <w:pPr>
        <w:pStyle w:val="Heading1"/>
        <w:spacing w:after="200" w:before="360"/>
      </w:pPr>
      <w:r>
        <w:rPr>
          <w:rFonts w:ascii="Georgia" w:cs="Georgia" w:eastAsia="Georgia" w:hAnsi="Georgia"/>
          <w:b/>
          <w:bCs/>
          <w:color w:val="1B4F72"/>
          <w:sz w:val="32"/>
          <w:szCs w:val="32"/>
        </w:rPr>
        <w:t xml:space="preserve">4. Critical Research Questions</w:t>
      </w:r>
    </w:p>
    <w:p>
      <w:pPr>
        <w:pStyle w:val="Heading2"/>
        <w:spacing w:after="160" w:before="280"/>
      </w:pPr>
      <w:r>
        <w:rPr>
          <w:rFonts w:ascii="Georgia" w:cs="Georgia" w:eastAsia="Georgia" w:hAnsi="Georgia"/>
          <w:b/>
          <w:bCs/>
          <w:color w:val="0E6655"/>
          <w:sz w:val="26"/>
          <w:szCs w:val="26"/>
        </w:rPr>
        <w:t xml:space="preserve">4.1 Foundational Mechanistic Questions</w:t>
      </w:r>
    </w:p>
    <w:p>
      <w:pPr>
        <w:spacing w:after="120" w:before="200"/>
      </w:pPr>
      <w:r>
        <w:rPr>
          <w:rFonts w:ascii="Arial" w:cs="Arial" w:eastAsia="Arial" w:hAnsi="Arial"/>
          <w:b/>
          <w:bCs/>
          <w:color w:val="1B4F72"/>
          <w:sz w:val="22"/>
          <w:szCs w:val="22"/>
        </w:rPr>
        <w:t xml:space="preserve">Question 1: What is the actual molecular product of this allele?</w:t>
      </w:r>
    </w:p>
    <w:p>
      <w:pPr>
        <w:pStyle w:val="ListParagraph"/>
        <w:numPr>
          <w:ilvl w:val="0"/>
          <w:numId w:val="2"/>
        </w:numPr>
        <w:spacing w:after="80" w:line="276"/>
      </w:pPr>
      <w:r>
        <w:rPr>
          <w:rFonts w:ascii="Arial" w:cs="Arial" w:eastAsia="Arial" w:hAnsi="Arial"/>
          <w:color w:val="2C3E50"/>
          <w:sz w:val="22"/>
          <w:szCs w:val="22"/>
        </w:rPr>
        <w:t xml:space="preserve">Does the mutant mRNA escape nonsense-mediated decay? (Quantitative RT-PCR and allele-specific RNA-seq on patient lymphoblastoid cell lines or fibroblasts)</w:t>
      </w:r>
    </w:p>
    <w:p>
      <w:pPr>
        <w:pStyle w:val="ListParagraph"/>
        <w:numPr>
          <w:ilvl w:val="0"/>
          <w:numId w:val="2"/>
        </w:numPr>
        <w:spacing w:after="80" w:line="276"/>
      </w:pPr>
      <w:r>
        <w:rPr>
          <w:rFonts w:ascii="Arial" w:cs="Arial" w:eastAsia="Arial" w:hAnsi="Arial"/>
          <w:color w:val="2C3E50"/>
          <w:sz w:val="22"/>
          <w:szCs w:val="22"/>
        </w:rPr>
        <w:t xml:space="preserve">Is there translational reinitiation? (Ribosome profiling / Ribo-seq to map ribosome positions downstream of PTC)</w:t>
      </w:r>
    </w:p>
    <w:p>
      <w:pPr>
        <w:pStyle w:val="ListParagraph"/>
        <w:numPr>
          <w:ilvl w:val="0"/>
          <w:numId w:val="2"/>
        </w:numPr>
        <w:spacing w:after="80" w:line="276"/>
      </w:pPr>
      <w:r>
        <w:rPr>
          <w:rFonts w:ascii="Arial" w:cs="Arial" w:eastAsia="Arial" w:hAnsi="Arial"/>
          <w:color w:val="2C3E50"/>
          <w:sz w:val="22"/>
          <w:szCs w:val="22"/>
        </w:rPr>
        <w:t xml:space="preserve">What protein products are detectable? (Mass spectrometry-based proteomics via IP of POLE complex components; western blotting with domain-specific antibodies)</w:t>
      </w:r>
    </w:p>
    <w:p>
      <w:pPr>
        <w:pStyle w:val="ListParagraph"/>
        <w:numPr>
          <w:ilvl w:val="0"/>
          <w:numId w:val="2"/>
        </w:numPr>
        <w:spacing w:after="80" w:line="276"/>
      </w:pPr>
      <w:r>
        <w:rPr>
          <w:rFonts w:ascii="Arial" w:cs="Arial" w:eastAsia="Arial" w:hAnsi="Arial"/>
          <w:color w:val="2C3E50"/>
          <w:sz w:val="22"/>
          <w:szCs w:val="22"/>
        </w:rPr>
        <w:t xml:space="preserve">Does the truncated 54-amino-acid peptide retain POLE2 binding capacity? (Co-immunoprecipitation and surface plasmon resonance binding assays)</w:t>
      </w:r>
    </w:p>
    <w:p>
      <w:pPr>
        <w:spacing w:after="120" w:before="200"/>
      </w:pPr>
      <w:r>
        <w:rPr>
          <w:rFonts w:ascii="Arial" w:cs="Arial" w:eastAsia="Arial" w:hAnsi="Arial"/>
          <w:b/>
          <w:bCs/>
          <w:color w:val="1B4F72"/>
          <w:sz w:val="22"/>
          <w:szCs w:val="22"/>
        </w:rPr>
        <w:t xml:space="preserve">Question 2: Is POLE operating as a tumor suppressor via two-hit mechanism?</w:t>
      </w:r>
    </w:p>
    <w:p>
      <w:pPr>
        <w:pStyle w:val="ListParagraph"/>
        <w:numPr>
          <w:ilvl w:val="0"/>
          <w:numId w:val="2"/>
        </w:numPr>
        <w:spacing w:after="80" w:line="276"/>
      </w:pPr>
      <w:r>
        <w:rPr>
          <w:rFonts w:ascii="Arial" w:cs="Arial" w:eastAsia="Arial" w:hAnsi="Arial"/>
          <w:color w:val="2C3E50"/>
          <w:sz w:val="22"/>
          <w:szCs w:val="22"/>
        </w:rPr>
        <w:t xml:space="preserve">Does LOH occur at the POLE locus in tumor tissue? (Paired tumor-normal WGS with allele-specific copy number analysis using ASCAT, Sequenza, or FACETS)</w:t>
      </w:r>
    </w:p>
    <w:p>
      <w:pPr>
        <w:pStyle w:val="ListParagraph"/>
        <w:numPr>
          <w:ilvl w:val="0"/>
          <w:numId w:val="2"/>
        </w:numPr>
        <w:spacing w:after="80" w:line="276"/>
      </w:pPr>
      <w:r>
        <w:rPr>
          <w:rFonts w:ascii="Arial" w:cs="Arial" w:eastAsia="Arial" w:hAnsi="Arial"/>
          <w:color w:val="2C3E50"/>
          <w:sz w:val="22"/>
          <w:szCs w:val="22"/>
        </w:rPr>
        <w:t xml:space="preserve">Is LOH truncal or subclonal? (Multi-region tumor sequencing with phylogenetic reconstruction)</w:t>
      </w:r>
    </w:p>
    <w:p>
      <w:pPr>
        <w:pStyle w:val="ListParagraph"/>
        <w:numPr>
          <w:ilvl w:val="0"/>
          <w:numId w:val="2"/>
        </w:numPr>
        <w:spacing w:after="80" w:line="276"/>
      </w:pPr>
      <w:r>
        <w:rPr>
          <w:rFonts w:ascii="Arial" w:cs="Arial" w:eastAsia="Arial" w:hAnsi="Arial"/>
          <w:color w:val="2C3E50"/>
          <w:sz w:val="22"/>
          <w:szCs w:val="22"/>
        </w:rPr>
        <w:t xml:space="preserve">Does stochastic LOH occur in non-tumor tissues? (Single-cell WGS of normal colonic crypt stem cells)</w:t>
      </w:r>
    </w:p>
    <w:p>
      <w:pPr>
        <w:pStyle w:val="ListParagraph"/>
        <w:numPr>
          <w:ilvl w:val="0"/>
          <w:numId w:val="2"/>
        </w:numPr>
        <w:spacing w:after="80" w:line="276"/>
      </w:pPr>
      <w:r>
        <w:rPr>
          <w:rFonts w:ascii="Arial" w:cs="Arial" w:eastAsia="Arial" w:hAnsi="Arial"/>
          <w:color w:val="2C3E50"/>
          <w:sz w:val="22"/>
          <w:szCs w:val="22"/>
        </w:rPr>
        <w:t xml:space="preserve">Is there epigenetic silencing of the wild-type allele? (Bisulfite sequencing and methylation array analysis of POLE promoter in tumor tissue)</w:t>
      </w:r>
    </w:p>
    <w:p>
      <w:pPr>
        <w:spacing w:after="120" w:before="200"/>
      </w:pPr>
      <w:r>
        <w:rPr>
          <w:rFonts w:ascii="Arial" w:cs="Arial" w:eastAsia="Arial" w:hAnsi="Arial"/>
          <w:b/>
          <w:bCs/>
          <w:color w:val="1B4F72"/>
          <w:sz w:val="22"/>
          <w:szCs w:val="22"/>
        </w:rPr>
        <w:t xml:space="preserve">Question 3: What mutational process drives the ultra-hypermutation?</w:t>
      </w:r>
    </w:p>
    <w:p>
      <w:pPr>
        <w:pStyle w:val="ListParagraph"/>
        <w:numPr>
          <w:ilvl w:val="0"/>
          <w:numId w:val="2"/>
        </w:numPr>
        <w:spacing w:after="80" w:line="276"/>
      </w:pPr>
      <w:r>
        <w:rPr>
          <w:rFonts w:ascii="Arial" w:cs="Arial" w:eastAsia="Arial" w:hAnsi="Arial"/>
          <w:color w:val="2C3E50"/>
          <w:sz w:val="22"/>
          <w:szCs w:val="22"/>
        </w:rPr>
        <w:t xml:space="preserve">Are canonical POLE signatures (SBS10a/b/28) dominant in the tumor? (WGS at 60x tumor/30x normal with SigProfiler decomposition)</w:t>
      </w:r>
    </w:p>
    <w:p>
      <w:pPr>
        <w:pStyle w:val="ListParagraph"/>
        <w:numPr>
          <w:ilvl w:val="0"/>
          <w:numId w:val="2"/>
        </w:numPr>
        <w:spacing w:after="80" w:line="276"/>
      </w:pPr>
      <w:r>
        <w:rPr>
          <w:rFonts w:ascii="Arial" w:cs="Arial" w:eastAsia="Arial" w:hAnsi="Arial"/>
          <w:color w:val="2C3E50"/>
          <w:sz w:val="22"/>
          <w:szCs w:val="22"/>
        </w:rPr>
        <w:t xml:space="preserve">Is there concurrent mismatch repair deficiency? (IHC for MMR proteins, MSI testing, sequencing of MMR genes including assessment for epigenetic MLH1 silencing)</w:t>
      </w:r>
    </w:p>
    <w:p>
      <w:pPr>
        <w:pStyle w:val="ListParagraph"/>
        <w:numPr>
          <w:ilvl w:val="0"/>
          <w:numId w:val="2"/>
        </w:numPr>
        <w:spacing w:after="80" w:line="276"/>
      </w:pPr>
      <w:r>
        <w:rPr>
          <w:rFonts w:ascii="Arial" w:cs="Arial" w:eastAsia="Arial" w:hAnsi="Arial"/>
          <w:color w:val="2C3E50"/>
          <w:sz w:val="22"/>
          <w:szCs w:val="22"/>
        </w:rPr>
        <w:t xml:space="preserve">What is the somatic mutation rate in normal tissues? (Duplex sequencing / NanoSeq on blood cells, fibroblasts, and colonic epithelium vs. age-matched controls)</w:t>
      </w:r>
    </w:p>
    <w:p>
      <w:pPr>
        <w:spacing w:after="120" w:before="200"/>
      </w:pPr>
      <w:r>
        <w:rPr>
          <w:rFonts w:ascii="Arial" w:cs="Arial" w:eastAsia="Arial" w:hAnsi="Arial"/>
          <w:b/>
          <w:bCs/>
          <w:color w:val="1B4F72"/>
          <w:sz w:val="22"/>
          <w:szCs w:val="22"/>
        </w:rPr>
        <w:t xml:space="preserve">Question 4: How does this variant produce a multi-system phenotype?</w:t>
      </w:r>
    </w:p>
    <w:p>
      <w:pPr>
        <w:pStyle w:val="ListParagraph"/>
        <w:numPr>
          <w:ilvl w:val="0"/>
          <w:numId w:val="2"/>
        </w:numPr>
        <w:spacing w:after="80" w:line="276"/>
      </w:pPr>
      <w:r>
        <w:rPr>
          <w:rFonts w:ascii="Arial" w:cs="Arial" w:eastAsia="Arial" w:hAnsi="Arial"/>
          <w:color w:val="2C3E50"/>
          <w:sz w:val="22"/>
          <w:szCs w:val="22"/>
        </w:rPr>
        <w:t xml:space="preserve">What is the full histopathological spectrum across organ systems?</w:t>
      </w:r>
    </w:p>
    <w:p>
      <w:pPr>
        <w:pStyle w:val="ListParagraph"/>
        <w:numPr>
          <w:ilvl w:val="0"/>
          <w:numId w:val="2"/>
        </w:numPr>
        <w:spacing w:after="80" w:line="276"/>
      </w:pPr>
      <w:r>
        <w:rPr>
          <w:rFonts w:ascii="Arial" w:cs="Arial" w:eastAsia="Arial" w:hAnsi="Arial"/>
          <w:color w:val="2C3E50"/>
          <w:sz w:val="22"/>
          <w:szCs w:val="22"/>
        </w:rPr>
        <w:t xml:space="preserve">Are there non-cancer phenotypic features (immune dysregulation, premature aging markers, epigenetic instability)?</w:t>
      </w:r>
    </w:p>
    <w:p>
      <w:pPr>
        <w:pStyle w:val="ListParagraph"/>
        <w:numPr>
          <w:ilvl w:val="0"/>
          <w:numId w:val="2"/>
        </w:numPr>
        <w:spacing w:after="80" w:line="276"/>
      </w:pPr>
      <w:r>
        <w:rPr>
          <w:rFonts w:ascii="Arial" w:cs="Arial" w:eastAsia="Arial" w:hAnsi="Arial"/>
          <w:color w:val="2C3E50"/>
          <w:sz w:val="22"/>
          <w:szCs w:val="22"/>
        </w:rPr>
        <w:t xml:space="preserve">What is the phenotype in family members carrying the same variant? (Extended pedigree genotyping and phenotyping for penetrance estimation)</w:t>
      </w:r>
    </w:p>
    <w:p>
      <w:pPr>
        <w:pStyle w:val="Heading2"/>
        <w:spacing w:after="160" w:before="280"/>
      </w:pPr>
      <w:r>
        <w:rPr>
          <w:rFonts w:ascii="Georgia" w:cs="Georgia" w:eastAsia="Georgia" w:hAnsi="Georgia"/>
          <w:b/>
          <w:bCs/>
          <w:color w:val="0E6655"/>
          <w:sz w:val="26"/>
          <w:szCs w:val="26"/>
        </w:rPr>
        <w:t xml:space="preserve">4.2 Translational Therapeutic Questions</w:t>
      </w:r>
    </w:p>
    <w:p>
      <w:pPr>
        <w:spacing w:after="120" w:before="200"/>
      </w:pPr>
      <w:r>
        <w:rPr>
          <w:rFonts w:ascii="Arial" w:cs="Arial" w:eastAsia="Arial" w:hAnsi="Arial"/>
          <w:b/>
          <w:bCs/>
          <w:color w:val="1B4F72"/>
          <w:sz w:val="22"/>
          <w:szCs w:val="22"/>
        </w:rPr>
        <w:t xml:space="preserve">Immunotherapy Optimization</w:t>
      </w:r>
    </w:p>
    <w:p>
      <w:pPr>
        <w:pStyle w:val="ListParagraph"/>
        <w:numPr>
          <w:ilvl w:val="0"/>
          <w:numId w:val="2"/>
        </w:numPr>
        <w:spacing w:after="80" w:line="276"/>
      </w:pPr>
      <w:r>
        <w:rPr>
          <w:rFonts w:ascii="Arial" w:cs="Arial" w:eastAsia="Arial" w:hAnsi="Arial"/>
          <w:color w:val="2C3E50"/>
          <w:sz w:val="22"/>
          <w:szCs w:val="22"/>
        </w:rPr>
        <w:t xml:space="preserve">What is the neoantigen landscape? (WES + HLA typing + computational prediction via NetMHCpan/pVACseq)</w:t>
      </w:r>
    </w:p>
    <w:p>
      <w:pPr>
        <w:pStyle w:val="ListParagraph"/>
        <w:numPr>
          <w:ilvl w:val="0"/>
          <w:numId w:val="2"/>
        </w:numPr>
        <w:spacing w:after="80" w:line="276"/>
      </w:pPr>
      <w:r>
        <w:rPr>
          <w:rFonts w:ascii="Arial" w:cs="Arial" w:eastAsia="Arial" w:hAnsi="Arial"/>
          <w:color w:val="2C3E50"/>
          <w:sz w:val="22"/>
          <w:szCs w:val="22"/>
        </w:rPr>
        <w:t xml:space="preserve">What is the tumor immune microenvironment? (Single-cell RNA-seq, spatial transcriptomics: CD8+ exhaustion state, tertiary lymphoid structures, Treg ratio)</w:t>
      </w:r>
    </w:p>
    <w:p>
      <w:pPr>
        <w:pStyle w:val="ListParagraph"/>
        <w:numPr>
          <w:ilvl w:val="0"/>
          <w:numId w:val="2"/>
        </w:numPr>
        <w:spacing w:after="80" w:line="276"/>
      </w:pPr>
      <w:r>
        <w:rPr>
          <w:rFonts w:ascii="Arial" w:cs="Arial" w:eastAsia="Arial" w:hAnsi="Arial"/>
          <w:color w:val="2C3E50"/>
          <w:sz w:val="22"/>
          <w:szCs w:val="22"/>
        </w:rPr>
        <w:t xml:space="preserve">Should dual checkpoint blockade (anti-PD-1 + anti-CTLA-4) be deployed? (Dependent on multi-receptor exhaustion profiling)</w:t>
      </w:r>
    </w:p>
    <w:p>
      <w:pPr>
        <w:pStyle w:val="ListParagraph"/>
        <w:numPr>
          <w:ilvl w:val="0"/>
          <w:numId w:val="2"/>
        </w:numPr>
        <w:spacing w:after="80" w:line="276"/>
      </w:pPr>
      <w:r>
        <w:rPr>
          <w:rFonts w:ascii="Arial" w:cs="Arial" w:eastAsia="Arial" w:hAnsi="Arial"/>
          <w:color w:val="2C3E50"/>
          <w:sz w:val="22"/>
          <w:szCs w:val="22"/>
        </w:rPr>
        <w:t xml:space="preserve">Is personalized neoantigen vaccination appropriate? (mRNA-based platforms; adjuvant setting post-resection)</w:t>
      </w:r>
    </w:p>
    <w:p>
      <w:pPr>
        <w:pStyle w:val="ListParagraph"/>
        <w:numPr>
          <w:ilvl w:val="0"/>
          <w:numId w:val="2"/>
        </w:numPr>
        <w:spacing w:after="80" w:line="276"/>
      </w:pPr>
      <w:r>
        <w:rPr>
          <w:rFonts w:ascii="Arial" w:cs="Arial" w:eastAsia="Arial" w:hAnsi="Arial"/>
          <w:color w:val="2C3E50"/>
          <w:sz w:val="22"/>
          <w:szCs w:val="22"/>
        </w:rPr>
        <w:t xml:space="preserve">Should preventive immunotherapy be considered? (Supported by 2025 Cancer Research mouse model data)</w:t>
      </w:r>
    </w:p>
    <w:p>
      <w:pPr>
        <w:spacing w:after="120" w:before="200"/>
      </w:pPr>
      <w:r>
        <w:rPr>
          <w:rFonts w:ascii="Arial" w:cs="Arial" w:eastAsia="Arial" w:hAnsi="Arial"/>
          <w:b/>
          <w:bCs/>
          <w:color w:val="1B4F72"/>
          <w:sz w:val="22"/>
          <w:szCs w:val="22"/>
        </w:rPr>
        <w:t xml:space="preserve">Synthetic Lethality Targets</w:t>
      </w:r>
    </w:p>
    <w:p>
      <w:pPr>
        <w:pStyle w:val="ListParagraph"/>
        <w:numPr>
          <w:ilvl w:val="0"/>
          <w:numId w:val="2"/>
        </w:numPr>
        <w:spacing w:after="80" w:line="276"/>
      </w:pPr>
      <w:r>
        <w:rPr>
          <w:rFonts w:ascii="Arial" w:cs="Arial" w:eastAsia="Arial" w:hAnsi="Arial"/>
          <w:color w:val="2C3E50"/>
          <w:sz w:val="22"/>
          <w:szCs w:val="22"/>
        </w:rPr>
        <w:t xml:space="preserve">ATR-CHK1 pathway dependence: Test ceralasertib, berzosertib, elimusertib in patient-derived organoids</w:t>
      </w:r>
    </w:p>
    <w:p>
      <w:pPr>
        <w:pStyle w:val="ListParagraph"/>
        <w:numPr>
          <w:ilvl w:val="0"/>
          <w:numId w:val="2"/>
        </w:numPr>
        <w:spacing w:after="80" w:line="276"/>
      </w:pPr>
      <w:r>
        <w:rPr>
          <w:rFonts w:ascii="Arial" w:cs="Arial" w:eastAsia="Arial" w:hAnsi="Arial"/>
          <w:color w:val="2C3E50"/>
          <w:sz w:val="22"/>
          <w:szCs w:val="22"/>
        </w:rPr>
        <w:t xml:space="preserve">WRN helicase dependency: Assess if secondary MMR loss creates MSI-dependent WRN vulnerability</w:t>
      </w:r>
    </w:p>
    <w:p>
      <w:pPr>
        <w:pStyle w:val="ListParagraph"/>
        <w:numPr>
          <w:ilvl w:val="0"/>
          <w:numId w:val="2"/>
        </w:numPr>
        <w:spacing w:after="80" w:line="276"/>
      </w:pPr>
      <w:r>
        <w:rPr>
          <w:rFonts w:ascii="Arial" w:cs="Arial" w:eastAsia="Arial" w:hAnsi="Arial"/>
          <w:color w:val="2C3E50"/>
          <w:sz w:val="22"/>
          <w:szCs w:val="22"/>
        </w:rPr>
        <w:t xml:space="preserve">PARP sensitivity: Evaluate olaparib/talazoparib for replication stress-mediated PARP trapping</w:t>
      </w:r>
    </w:p>
    <w:p>
      <w:pPr>
        <w:pStyle w:val="ListParagraph"/>
        <w:numPr>
          <w:ilvl w:val="0"/>
          <w:numId w:val="2"/>
        </w:numPr>
        <w:spacing w:after="80" w:line="276"/>
      </w:pPr>
      <w:r>
        <w:rPr>
          <w:rFonts w:ascii="Arial" w:cs="Arial" w:eastAsia="Arial" w:hAnsi="Arial"/>
          <w:color w:val="2C3E50"/>
          <w:sz w:val="22"/>
          <w:szCs w:val="22"/>
        </w:rPr>
        <w:t xml:space="preserve">Nucleotide pool modulation: Test DHODH inhibitors (brequinar) and low-dose hydroxyurea</w:t>
      </w:r>
    </w:p>
    <w:p>
      <w:r>
        <w:br w:type="page"/>
      </w:r>
    </w:p>
    <w:p>
      <w:pPr>
        <w:pStyle w:val="Heading1"/>
        <w:spacing w:after="200" w:before="360"/>
      </w:pPr>
      <w:r>
        <w:rPr>
          <w:rFonts w:ascii="Georgia" w:cs="Georgia" w:eastAsia="Georgia" w:hAnsi="Georgia"/>
          <w:b/>
          <w:bCs/>
          <w:color w:val="1B4F72"/>
          <w:sz w:val="32"/>
          <w:szCs w:val="32"/>
        </w:rPr>
        <w:t xml:space="preserve">5. Blood-Based Research Assays</w:t>
      </w:r>
    </w:p>
    <w:p>
      <w:pPr>
        <w:spacing w:after="160" w:line="276"/>
        <w:jc w:val="both"/>
      </w:pPr>
      <w:r>
        <w:rPr>
          <w:rFonts w:ascii="Arial" w:cs="Arial" w:eastAsia="Arial" w:hAnsi="Arial"/>
          <w:color w:val="2C3E50"/>
          <w:sz w:val="22"/>
          <w:szCs w:val="22"/>
        </w:rPr>
        <w:t xml:space="preserve">Blood tests represent the most accessible and immediately actionable experimental approach. They span genomic, proteomic, immune, and metabolic domains.</w:t>
      </w:r>
    </w:p>
    <w:p>
      <w:pPr>
        <w:pStyle w:val="Heading2"/>
        <w:spacing w:after="160" w:before="280"/>
      </w:pPr>
      <w:r>
        <w:rPr>
          <w:rFonts w:ascii="Georgia" w:cs="Georgia" w:eastAsia="Georgia" w:hAnsi="Georgia"/>
          <w:b/>
          <w:bCs/>
          <w:color w:val="0E6655"/>
          <w:sz w:val="26"/>
          <w:szCs w:val="26"/>
        </w:rPr>
        <w:t xml:space="preserve">5.1 Genomic and Mutational Analysis</w:t>
      </w:r>
    </w:p>
    <w:p>
      <w:pPr>
        <w:pStyle w:val="ListParagraph"/>
        <w:numPr>
          <w:ilvl w:val="0"/>
          <w:numId w:val="2"/>
        </w:numPr>
        <w:spacing w:after="80" w:line="276"/>
      </w:pPr>
      <w:r>
        <w:rPr>
          <w:rFonts w:ascii="Arial" w:cs="Arial" w:eastAsia="Arial" w:hAnsi="Arial"/>
          <w:b/>
          <w:bCs/>
          <w:color w:val="2C3E50"/>
          <w:sz w:val="22"/>
          <w:szCs w:val="22"/>
        </w:rPr>
        <w:t xml:space="preserve">Duplex Sequencing / NanoSeq on PBMCs: </w:t>
      </w:r>
      <w:r>
        <w:rPr>
          <w:rFonts w:ascii="Arial" w:cs="Arial" w:eastAsia="Arial" w:hAnsi="Arial"/>
          <w:color w:val="2C3E50"/>
          <w:sz w:val="22"/>
          <w:szCs w:val="22"/>
        </w:rPr>
        <w:t xml:space="preserve">The single most informative blood test. Measures somatic mutation rate and spectrum in normal blood cells vs. age-matched controls at sensitivity below 1 in 10^8 bases. If elevated SBS10a/b signatures are detected, it proves haploinsufficiency alone is pathogenic. If normal, it confirms the LOH two-hit model. The 2025 NanoSeq protocol with &lt;5 errors per billion bp and whole-exome compatibility is directly applicable.</w:t>
      </w:r>
    </w:p>
    <w:p>
      <w:pPr>
        <w:pStyle w:val="ListParagraph"/>
        <w:numPr>
          <w:ilvl w:val="0"/>
          <w:numId w:val="2"/>
        </w:numPr>
        <w:spacing w:after="80" w:line="276"/>
      </w:pPr>
      <w:r>
        <w:rPr>
          <w:rFonts w:ascii="Arial" w:cs="Arial" w:eastAsia="Arial" w:hAnsi="Arial"/>
          <w:b/>
          <w:bCs/>
          <w:color w:val="2C3E50"/>
          <w:sz w:val="22"/>
          <w:szCs w:val="22"/>
        </w:rPr>
        <w:t xml:space="preserve">Allele-Specific RNA-seq from blood: </w:t>
      </w:r>
      <w:r>
        <w:rPr>
          <w:rFonts w:ascii="Arial" w:cs="Arial" w:eastAsia="Arial" w:hAnsi="Arial"/>
          <w:color w:val="2C3E50"/>
          <w:sz w:val="22"/>
          <w:szCs w:val="22"/>
        </w:rPr>
        <w:t xml:space="preserve">Determines whether the mutant mRNA escapes NMD. Uses heterozygous SNPs as markers to quantify mutant vs. wild-type transcript abundance.</w:t>
      </w:r>
    </w:p>
    <w:p>
      <w:pPr>
        <w:pStyle w:val="ListParagraph"/>
        <w:numPr>
          <w:ilvl w:val="0"/>
          <w:numId w:val="2"/>
        </w:numPr>
        <w:spacing w:after="80" w:line="276"/>
      </w:pPr>
      <w:r>
        <w:rPr>
          <w:rFonts w:ascii="Arial" w:cs="Arial" w:eastAsia="Arial" w:hAnsi="Arial"/>
          <w:b/>
          <w:bCs/>
          <w:color w:val="2C3E50"/>
          <w:sz w:val="22"/>
          <w:szCs w:val="22"/>
        </w:rPr>
        <w:t xml:space="preserve">CHIP Profiling: </w:t>
      </w:r>
      <w:r>
        <w:rPr>
          <w:rFonts w:ascii="Arial" w:cs="Arial" w:eastAsia="Arial" w:hAnsi="Arial"/>
          <w:color w:val="2C3E50"/>
          <w:sz w:val="22"/>
          <w:szCs w:val="22"/>
        </w:rPr>
        <w:t xml:space="preserve">Deep targeted sequencing of common CHIP-associated mutations (DNMT3A, TET2, ASXL1, TP53, PPM1D). Unusually high CHIP burden for age = indirect evidence of systemically elevated mutation rates.</w:t>
      </w:r>
    </w:p>
    <w:p>
      <w:pPr>
        <w:pStyle w:val="ListParagraph"/>
        <w:numPr>
          <w:ilvl w:val="0"/>
          <w:numId w:val="2"/>
        </w:numPr>
        <w:spacing w:after="80" w:line="276"/>
      </w:pPr>
      <w:r>
        <w:rPr>
          <w:rFonts w:ascii="Arial" w:cs="Arial" w:eastAsia="Arial" w:hAnsi="Arial"/>
          <w:b/>
          <w:bCs/>
          <w:color w:val="2C3E50"/>
          <w:sz w:val="22"/>
          <w:szCs w:val="22"/>
        </w:rPr>
        <w:t xml:space="preserve">Germline WGS: </w:t>
      </w:r>
      <w:r>
        <w:rPr>
          <w:rFonts w:ascii="Arial" w:cs="Arial" w:eastAsia="Arial" w:hAnsi="Arial"/>
          <w:color w:val="2C3E50"/>
          <w:sz w:val="22"/>
          <w:szCs w:val="22"/>
        </w:rPr>
        <w:t xml:space="preserve">Comprehensive germline sequencing to identify co-occurring pathogenic or modifier variants in other cancer predisposition genes.</w:t>
      </w:r>
    </w:p>
    <w:p>
      <w:pPr>
        <w:pStyle w:val="Heading2"/>
        <w:spacing w:after="160" w:before="280"/>
      </w:pPr>
      <w:r>
        <w:rPr>
          <w:rFonts w:ascii="Georgia" w:cs="Georgia" w:eastAsia="Georgia" w:hAnsi="Georgia"/>
          <w:b/>
          <w:bCs/>
          <w:color w:val="0E6655"/>
          <w:sz w:val="26"/>
          <w:szCs w:val="26"/>
        </w:rPr>
        <w:t xml:space="preserve">5.2 Circulating Tumor Markers</w:t>
      </w:r>
    </w:p>
    <w:p>
      <w:pPr>
        <w:pStyle w:val="ListParagraph"/>
        <w:numPr>
          <w:ilvl w:val="0"/>
          <w:numId w:val="2"/>
        </w:numPr>
        <w:spacing w:after="80" w:line="276"/>
      </w:pPr>
      <w:r>
        <w:rPr>
          <w:rFonts w:ascii="Arial" w:cs="Arial" w:eastAsia="Arial" w:hAnsi="Arial"/>
          <w:b/>
          <w:bCs/>
          <w:color w:val="2C3E50"/>
          <w:sz w:val="22"/>
          <w:szCs w:val="22"/>
        </w:rPr>
        <w:t xml:space="preserve">Tumor-informed ctDNA panel: </w:t>
      </w:r>
      <w:r>
        <w:rPr>
          <w:rFonts w:ascii="Arial" w:cs="Arial" w:eastAsia="Arial" w:hAnsi="Arial"/>
          <w:color w:val="2C3E50"/>
          <w:sz w:val="22"/>
          <w:szCs w:val="22"/>
        </w:rPr>
        <w:t xml:space="preserve">Platforms such as Signatera, FoundationOne Tracker, or Guardant Reveal tracking dozens of clonal mutations. Monitors residual disease and recurrence; tracks tumor evolutionary dynamics over time.</w:t>
      </w:r>
    </w:p>
    <w:p>
      <w:pPr>
        <w:pStyle w:val="ListParagraph"/>
        <w:numPr>
          <w:ilvl w:val="0"/>
          <w:numId w:val="2"/>
        </w:numPr>
        <w:spacing w:after="80" w:line="276"/>
      </w:pPr>
      <w:r>
        <w:rPr>
          <w:rFonts w:ascii="Arial" w:cs="Arial" w:eastAsia="Arial" w:hAnsi="Arial"/>
          <w:b/>
          <w:bCs/>
          <w:color w:val="2C3E50"/>
          <w:sz w:val="22"/>
          <w:szCs w:val="22"/>
        </w:rPr>
        <w:t xml:space="preserve">CTC isolation + single-cell WGS: </w:t>
      </w:r>
      <w:r>
        <w:rPr>
          <w:rFonts w:ascii="Arial" w:cs="Arial" w:eastAsia="Arial" w:hAnsi="Arial"/>
          <w:color w:val="2C3E50"/>
          <w:sz w:val="22"/>
          <w:szCs w:val="22"/>
        </w:rPr>
        <w:t xml:space="preserve">If CTCs are detectable, single-cell sequencing provides snapshots of tumor genomic diversity without tissue biopsy, monitoring for secondary MMR mutations.</w:t>
      </w:r>
    </w:p>
    <w:p>
      <w:pPr>
        <w:pStyle w:val="Heading2"/>
        <w:spacing w:after="160" w:before="280"/>
      </w:pPr>
      <w:r>
        <w:rPr>
          <w:rFonts w:ascii="Georgia" w:cs="Georgia" w:eastAsia="Georgia" w:hAnsi="Georgia"/>
          <w:b/>
          <w:bCs/>
          <w:color w:val="0E6655"/>
          <w:sz w:val="26"/>
          <w:szCs w:val="26"/>
        </w:rPr>
        <w:t xml:space="preserve">5.3 Immune Profiling</w:t>
      </w:r>
    </w:p>
    <w:p>
      <w:pPr>
        <w:pStyle w:val="ListParagraph"/>
        <w:numPr>
          <w:ilvl w:val="0"/>
          <w:numId w:val="2"/>
        </w:numPr>
        <w:spacing w:after="80" w:line="276"/>
      </w:pPr>
      <w:r>
        <w:rPr>
          <w:rFonts w:ascii="Arial" w:cs="Arial" w:eastAsia="Arial" w:hAnsi="Arial"/>
          <w:b/>
          <w:bCs/>
          <w:color w:val="2C3E50"/>
          <w:sz w:val="22"/>
          <w:szCs w:val="22"/>
        </w:rPr>
        <w:t xml:space="preserve">High-dimensional immunophenotyping (CyTOF / spectral flow): </w:t>
      </w:r>
      <w:r>
        <w:rPr>
          <w:rFonts w:ascii="Arial" w:cs="Arial" w:eastAsia="Arial" w:hAnsi="Arial"/>
          <w:color w:val="2C3E50"/>
          <w:sz w:val="22"/>
          <w:szCs w:val="22"/>
        </w:rPr>
        <w:t xml:space="preserve">Characterizes circulating T cell subsets, NK cells, B cells, monocytes. Maps exhaustion markers (PD-1, TIM-3, LAG-3, TIGIT) on CD8+ T cells. Serial measurements before/during/after treatment.</w:t>
      </w:r>
    </w:p>
    <w:p>
      <w:pPr>
        <w:pStyle w:val="ListParagraph"/>
        <w:numPr>
          <w:ilvl w:val="0"/>
          <w:numId w:val="2"/>
        </w:numPr>
        <w:spacing w:after="80" w:line="276"/>
      </w:pPr>
      <w:r>
        <w:rPr>
          <w:rFonts w:ascii="Arial" w:cs="Arial" w:eastAsia="Arial" w:hAnsi="Arial"/>
          <w:b/>
          <w:bCs/>
          <w:color w:val="2C3E50"/>
          <w:sz w:val="22"/>
          <w:szCs w:val="22"/>
        </w:rPr>
        <w:t xml:space="preserve">TCR repertoire sequencing: </w:t>
      </w:r>
      <w:r>
        <w:rPr>
          <w:rFonts w:ascii="Arial" w:cs="Arial" w:eastAsia="Arial" w:hAnsi="Arial"/>
          <w:color w:val="2C3E50"/>
          <w:sz w:val="22"/>
          <w:szCs w:val="22"/>
        </w:rPr>
        <w:t xml:space="preserve">CDR3β sequencing via immunoSEQ to identify expanded tumor-reactive T cell clones. Longitudinal tracking as immune surveillance biomarker.</w:t>
      </w:r>
    </w:p>
    <w:p>
      <w:pPr>
        <w:pStyle w:val="ListParagraph"/>
        <w:numPr>
          <w:ilvl w:val="0"/>
          <w:numId w:val="2"/>
        </w:numPr>
        <w:spacing w:after="80" w:line="276"/>
      </w:pPr>
      <w:r>
        <w:rPr>
          <w:rFonts w:ascii="Arial" w:cs="Arial" w:eastAsia="Arial" w:hAnsi="Arial"/>
          <w:b/>
          <w:bCs/>
          <w:color w:val="2C3E50"/>
          <w:sz w:val="22"/>
          <w:szCs w:val="22"/>
        </w:rPr>
        <w:t xml:space="preserve">Neoantigen-reactive T cell detection: </w:t>
      </w:r>
      <w:r>
        <w:rPr>
          <w:rFonts w:ascii="Arial" w:cs="Arial" w:eastAsia="Arial" w:hAnsi="Arial"/>
          <w:color w:val="2C3E50"/>
          <w:sz w:val="22"/>
          <w:szCs w:val="22"/>
        </w:rPr>
        <w:t xml:space="preserve">Peptide-MHC multimers (tetramers/dextramers) to directly quantify neoantigen-specific T cells in peripheral blood. Gold standard for confirming immunogenicity.</w:t>
      </w:r>
    </w:p>
    <w:p>
      <w:pPr>
        <w:pStyle w:val="ListParagraph"/>
        <w:numPr>
          <w:ilvl w:val="0"/>
          <w:numId w:val="2"/>
        </w:numPr>
        <w:spacing w:after="80" w:line="276"/>
      </w:pPr>
      <w:r>
        <w:rPr>
          <w:rFonts w:ascii="Arial" w:cs="Arial" w:eastAsia="Arial" w:hAnsi="Arial"/>
          <w:b/>
          <w:bCs/>
          <w:color w:val="2C3E50"/>
          <w:sz w:val="22"/>
          <w:szCs w:val="22"/>
        </w:rPr>
        <w:t xml:space="preserve">Cytokine profiling: </w:t>
      </w:r>
      <w:r>
        <w:rPr>
          <w:rFonts w:ascii="Arial" w:cs="Arial" w:eastAsia="Arial" w:hAnsi="Arial"/>
          <w:color w:val="2C3E50"/>
          <w:sz w:val="22"/>
          <w:szCs w:val="22"/>
        </w:rPr>
        <w:t xml:space="preserve">Multiplexed panel (Olink/Luminex) measuring IFN-γ, TNF-α, IL-6, IL-10, CXCL9, CXCL10. Elevated CXCL9/10 predicts checkpoint inhibitor efficacy.</w:t>
      </w:r>
    </w:p>
    <w:p>
      <w:pPr>
        <w:pStyle w:val="Heading2"/>
        <w:spacing w:after="160" w:before="280"/>
      </w:pPr>
      <w:r>
        <w:rPr>
          <w:rFonts w:ascii="Georgia" w:cs="Georgia" w:eastAsia="Georgia" w:hAnsi="Georgia"/>
          <w:b/>
          <w:bCs/>
          <w:color w:val="0E6655"/>
          <w:sz w:val="26"/>
          <w:szCs w:val="26"/>
        </w:rPr>
        <w:t xml:space="preserve">5.4 Protein and Metabolic Assays</w:t>
      </w:r>
    </w:p>
    <w:p>
      <w:pPr>
        <w:pStyle w:val="ListParagraph"/>
        <w:numPr>
          <w:ilvl w:val="0"/>
          <w:numId w:val="2"/>
        </w:numPr>
        <w:spacing w:after="80" w:line="276"/>
      </w:pPr>
      <w:r>
        <w:rPr>
          <w:rFonts w:ascii="Arial" w:cs="Arial" w:eastAsia="Arial" w:hAnsi="Arial"/>
          <w:b/>
          <w:bCs/>
          <w:color w:val="2C3E50"/>
          <w:sz w:val="22"/>
          <w:szCs w:val="22"/>
        </w:rPr>
        <w:t xml:space="preserve">POLE protein quantification: </w:t>
      </w:r>
      <w:r>
        <w:rPr>
          <w:rFonts w:ascii="Arial" w:cs="Arial" w:eastAsia="Arial" w:hAnsi="Arial"/>
          <w:color w:val="2C3E50"/>
          <w:sz w:val="22"/>
          <w:szCs w:val="22"/>
        </w:rPr>
        <w:t xml:space="preserve">Targeted mass spectrometry (SRM/PRM) on PBMC lysates with domain-specific peptide targets. If protein is &lt;50% of normal, truncated peptide may destabilize wild-type through co-degradation.</w:t>
      </w:r>
    </w:p>
    <w:p>
      <w:pPr>
        <w:pStyle w:val="ListParagraph"/>
        <w:numPr>
          <w:ilvl w:val="0"/>
          <w:numId w:val="2"/>
        </w:numPr>
        <w:spacing w:after="80" w:line="276"/>
      </w:pPr>
      <w:r>
        <w:rPr>
          <w:rFonts w:ascii="Arial" w:cs="Arial" w:eastAsia="Arial" w:hAnsi="Arial"/>
          <w:b/>
          <w:bCs/>
          <w:color w:val="2C3E50"/>
          <w:sz w:val="22"/>
          <w:szCs w:val="22"/>
        </w:rPr>
        <w:t xml:space="preserve">dNTP pool quantification: </w:t>
      </w:r>
      <w:r>
        <w:rPr>
          <w:rFonts w:ascii="Arial" w:cs="Arial" w:eastAsia="Arial" w:hAnsi="Arial"/>
          <w:color w:val="2C3E50"/>
          <w:sz w:val="22"/>
          <w:szCs w:val="22"/>
        </w:rPr>
        <w:t xml:space="preserve">HPLC or LC-MS/MS measurement of intracellular dATP, dCTP, dGTP, dTTP in PBMCs. Imbalanced pools independently increase replication error rates.</w:t>
      </w:r>
    </w:p>
    <w:p>
      <w:pPr>
        <w:pStyle w:val="Heading2"/>
        <w:spacing w:after="160" w:before="280"/>
      </w:pPr>
      <w:r>
        <w:rPr>
          <w:rFonts w:ascii="Georgia" w:cs="Georgia" w:eastAsia="Georgia" w:hAnsi="Georgia"/>
          <w:b/>
          <w:bCs/>
          <w:color w:val="0E6655"/>
          <w:sz w:val="26"/>
          <w:szCs w:val="26"/>
        </w:rPr>
        <w:t xml:space="preserve">5.5 Standard Clinical Bloodwork</w:t>
      </w:r>
    </w:p>
    <w:p>
      <w:pPr>
        <w:pStyle w:val="ListParagraph"/>
        <w:numPr>
          <w:ilvl w:val="0"/>
          <w:numId w:val="2"/>
        </w:numPr>
        <w:spacing w:after="80" w:line="276"/>
      </w:pPr>
      <w:r>
        <w:rPr>
          <w:rFonts w:ascii="Arial" w:cs="Arial" w:eastAsia="Arial" w:hAnsi="Arial"/>
          <w:color w:val="2C3E50"/>
          <w:sz w:val="22"/>
          <w:szCs w:val="22"/>
        </w:rPr>
        <w:t xml:space="preserve">Complete blood count with differential (hematologic baseline, bone marrow stress assessment)</w:t>
      </w:r>
    </w:p>
    <w:p>
      <w:pPr>
        <w:pStyle w:val="ListParagraph"/>
        <w:numPr>
          <w:ilvl w:val="0"/>
          <w:numId w:val="2"/>
        </w:numPr>
        <w:spacing w:after="80" w:line="276"/>
      </w:pPr>
      <w:r>
        <w:rPr>
          <w:rFonts w:ascii="Arial" w:cs="Arial" w:eastAsia="Arial" w:hAnsi="Arial"/>
          <w:color w:val="2C3E50"/>
          <w:sz w:val="22"/>
          <w:szCs w:val="22"/>
        </w:rPr>
        <w:t xml:space="preserve">Comprehensive metabolic panel, liver function tests (organ function, multi-system involvement)</w:t>
      </w:r>
    </w:p>
    <w:p>
      <w:pPr>
        <w:pStyle w:val="ListParagraph"/>
        <w:numPr>
          <w:ilvl w:val="0"/>
          <w:numId w:val="2"/>
        </w:numPr>
        <w:spacing w:after="80" w:line="276"/>
      </w:pPr>
      <w:r>
        <w:rPr>
          <w:rFonts w:ascii="Arial" w:cs="Arial" w:eastAsia="Arial" w:hAnsi="Arial"/>
          <w:color w:val="2C3E50"/>
          <w:sz w:val="22"/>
          <w:szCs w:val="22"/>
        </w:rPr>
        <w:t xml:space="preserve">Inflammatory markers: CRP, ESR, ferritin, LDH (systemic inflammation and tumor burden surrogates)</w:t>
      </w:r>
    </w:p>
    <w:p>
      <w:pPr>
        <w:pStyle w:val="ListParagraph"/>
        <w:numPr>
          <w:ilvl w:val="0"/>
          <w:numId w:val="2"/>
        </w:numPr>
        <w:spacing w:after="80" w:line="276"/>
      </w:pPr>
      <w:r>
        <w:rPr>
          <w:rFonts w:ascii="Arial" w:cs="Arial" w:eastAsia="Arial" w:hAnsi="Arial"/>
          <w:color w:val="2C3E50"/>
          <w:sz w:val="22"/>
          <w:szCs w:val="22"/>
        </w:rPr>
        <w:t xml:space="preserve">Tumor markers appropriate to specific cancer type (CEA, CA-125, etc.)</w:t>
      </w:r>
    </w:p>
    <w:p>
      <w:r>
        <w:br w:type="page"/>
      </w:r>
    </w:p>
    <w:p>
      <w:pPr>
        <w:pStyle w:val="Heading1"/>
        <w:spacing w:after="200" w:before="360"/>
      </w:pPr>
      <w:r>
        <w:rPr>
          <w:rFonts w:ascii="Georgia" w:cs="Georgia" w:eastAsia="Georgia" w:hAnsi="Georgia"/>
          <w:b/>
          <w:bCs/>
          <w:color w:val="1B4F72"/>
          <w:sz w:val="32"/>
          <w:szCs w:val="32"/>
        </w:rPr>
        <w:t xml:space="preserve">6. Therapeutic Strategy</w:t>
      </w:r>
    </w:p>
    <w:p>
      <w:pPr>
        <w:pStyle w:val="Heading2"/>
        <w:spacing w:after="160" w:before="280"/>
      </w:pPr>
      <w:r>
        <w:rPr>
          <w:rFonts w:ascii="Georgia" w:cs="Georgia" w:eastAsia="Georgia" w:hAnsi="Georgia"/>
          <w:b/>
          <w:bCs/>
          <w:color w:val="0E6655"/>
          <w:sz w:val="26"/>
          <w:szCs w:val="26"/>
        </w:rPr>
        <w:t xml:space="preserve">6.1 Immunotherapy</w:t>
      </w:r>
    </w:p>
    <w:p>
      <w:pPr>
        <w:spacing w:after="160" w:line="276"/>
        <w:jc w:val="both"/>
      </w:pPr>
      <w:r>
        <w:rPr>
          <w:rFonts w:ascii="Arial" w:cs="Arial" w:eastAsia="Arial" w:hAnsi="Arial"/>
          <w:color w:val="2C3E50"/>
          <w:sz w:val="22"/>
          <w:szCs w:val="22"/>
        </w:rPr>
        <w:t xml:space="preserve">The patient’s TMB &gt;100 mut/Mb places her well above the FDA tissue-agnostic threshold of ≥10 mut/Mb for pembrolizumab eligibility. Published data from MD Anderson (2022) demonstrates median PFS of 15.1 months and median OS of 29.5 months for pathogenic POLE mutations treated with anti-PD-1/L1 therapy. The 2024 Annals of Oncology data further shows that the POLE mutational signature contribution of ≥78.5% predicts response, making signature analysis critical.</w:t>
      </w:r>
    </w:p>
    <w:p>
      <w:pPr>
        <w:spacing w:after="160" w:line="276"/>
        <w:jc w:val="both"/>
      </w:pPr>
      <w:r>
        <w:rPr>
          <w:rFonts w:ascii="Arial" w:cs="Arial" w:eastAsia="Arial" w:hAnsi="Arial"/>
          <w:color w:val="2C3E50"/>
          <w:sz w:val="22"/>
          <w:szCs w:val="22"/>
        </w:rPr>
        <w:t xml:space="preserve">However, the specific mechanism underlying this variant’s pathogenicity matters for long-term immunotherapy strategy. If this variant operates through LOH (two-hit model), the tumor may have different clonal architecture, subclonal diversification rates, and resistance trajectories compared to canonical dominant-negative PPAP tumors. Serial ctDNA monitoring and multi-region sequencing at progression would characterize these dynamics.</w:t>
      </w:r>
    </w:p>
    <w:p>
      <w:pPr>
        <w:spacing w:after="160" w:line="276"/>
        <w:jc w:val="both"/>
      </w:pPr>
      <w:r>
        <w:rPr>
          <w:rFonts w:ascii="Arial" w:cs="Arial" w:eastAsia="Arial" w:hAnsi="Arial"/>
          <w:color w:val="2C3E50"/>
          <w:sz w:val="22"/>
          <w:szCs w:val="22"/>
        </w:rPr>
        <w:t xml:space="preserve">The 2025 Cancer Research study demonstrating that pre-cancer ICB treatment in DNA polymerase mutator mice significantly delays cancer development and extends survival raises the possibility of preventive immunotherapy in PPAP carriers. For this patient, adjuvant or maintenance ICI following definitive treatment of current disease, combined with neoantigen vaccination, may be the optimal strategy.</w:t>
      </w:r>
    </w:p>
    <w:p>
      <w:pPr>
        <w:pStyle w:val="Heading2"/>
        <w:spacing w:after="160" w:before="280"/>
      </w:pPr>
      <w:r>
        <w:rPr>
          <w:rFonts w:ascii="Georgia" w:cs="Georgia" w:eastAsia="Georgia" w:hAnsi="Georgia"/>
          <w:b/>
          <w:bCs/>
          <w:color w:val="0E6655"/>
          <w:sz w:val="26"/>
          <w:szCs w:val="26"/>
        </w:rPr>
        <w:t xml:space="preserve">6.2 Synthetic Lethality Approaches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648"/>
        <w:gridCol w:w="150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 Pathway</w:t>
            </w:r>
          </w:p>
        </w:tc>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Drug Candidates</w:t>
            </w:r>
          </w:p>
        </w:tc>
        <w:tc>
          <w:tcPr>
            <w:tcW w:type="dxa" w:w="3648"/>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Rationale</w:t>
            </w:r>
          </w:p>
        </w:tc>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Stage</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ATR-CHK1</w:t>
            </w:r>
          </w:p>
        </w:tc>
        <w:tc>
          <w:tcPr>
            <w:tcW w:type="dxa" w:w="2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Ceralasertib, Berzosertib, Elimusertib</w:t>
            </w:r>
          </w:p>
        </w:tc>
        <w:tc>
          <w:tcPr>
            <w:tcW w:type="dxa" w:w="3648"/>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POLE-deficient cells have elevated replication fork stalling; ATR inhibition pushes past viability threshold into replication catastrophe</w:t>
            </w:r>
          </w:p>
        </w:tc>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Phase I/II</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WRN Helicase</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WRN inhibitors (preclinical)</w:t>
            </w:r>
          </w:p>
        </w:tc>
        <w:tc>
          <w:tcPr>
            <w:tcW w:type="dxa" w:w="3648"/>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If secondary MMR loss creates MSI, WRN is essential for fork stability at expanded microsatellites</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Preclinical</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PARP Trapping</w:t>
            </w:r>
          </w:p>
        </w:tc>
        <w:tc>
          <w:tcPr>
            <w:tcW w:type="dxa" w:w="2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Olaparib, Talazoparib</w:t>
            </w:r>
          </w:p>
        </w:tc>
        <w:tc>
          <w:tcPr>
            <w:tcW w:type="dxa" w:w="3648"/>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Replication stress from POLE deficiency may increase dependence on PARP1-mediated fork stabilization</w:t>
            </w:r>
          </w:p>
        </w:tc>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Phase II</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dNTP Metabolism</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Brequinar (DHODH), low-dose HU</w:t>
            </w:r>
          </w:p>
        </w:tc>
        <w:tc>
          <w:tcPr>
            <w:tcW w:type="dxa" w:w="3648"/>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Imbalanced nucleotide pools compound proofreading deficit; may push mutation rate beyond viability</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Experimental</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ATR + PARP</w:t>
            </w:r>
          </w:p>
        </w:tc>
        <w:tc>
          <w:tcPr>
            <w:tcW w:type="dxa" w:w="2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AZD6738 + Olaparib</w:t>
            </w:r>
          </w:p>
        </w:tc>
        <w:tc>
          <w:tcPr>
            <w:tcW w:type="dxa" w:w="3648"/>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ATR inhibition causes HRR deficiency, synergizing with PARP trapping even in HR-proficient tumors</w:t>
            </w:r>
          </w:p>
        </w:tc>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Phase I/II</w:t>
            </w:r>
          </w:p>
        </w:tc>
      </w:tr>
    </w:tbl>
    <w:p>
      <w:pPr>
        <w:spacing w:after="80"/>
      </w:pPr>
    </w:p>
    <w:p>
      <w:pPr>
        <w:pStyle w:val="Heading2"/>
        <w:spacing w:after="160" w:before="280"/>
      </w:pPr>
      <w:r>
        <w:rPr>
          <w:rFonts w:ascii="Georgia" w:cs="Georgia" w:eastAsia="Georgia" w:hAnsi="Georgia"/>
          <w:b/>
          <w:bCs/>
          <w:color w:val="0E6655"/>
          <w:sz w:val="26"/>
          <w:szCs w:val="26"/>
        </w:rPr>
        <w:t xml:space="preserve">6.3 Surveillance and Prevention</w:t>
      </w:r>
    </w:p>
    <w:p>
      <w:pPr>
        <w:pStyle w:val="ListParagraph"/>
        <w:numPr>
          <w:ilvl w:val="0"/>
          <w:numId w:val="2"/>
        </w:numPr>
        <w:spacing w:after="80" w:line="276"/>
      </w:pPr>
      <w:r>
        <w:rPr>
          <w:rFonts w:ascii="Arial" w:cs="Arial" w:eastAsia="Arial" w:hAnsi="Arial"/>
          <w:color w:val="2C3E50"/>
          <w:sz w:val="22"/>
          <w:szCs w:val="22"/>
        </w:rPr>
        <w:t xml:space="preserve">Expanded multi-organ surveillance beyond standard PPAP protocol (colonoscopy + endometrial + brain), potentially including breast, thyroid, lung, and hematological screening given multi-system phenotype</w:t>
      </w:r>
    </w:p>
    <w:p>
      <w:pPr>
        <w:pStyle w:val="ListParagraph"/>
        <w:numPr>
          <w:ilvl w:val="0"/>
          <w:numId w:val="2"/>
        </w:numPr>
        <w:spacing w:after="80" w:line="276"/>
      </w:pPr>
      <w:r>
        <w:rPr>
          <w:rFonts w:ascii="Arial" w:cs="Arial" w:eastAsia="Arial" w:hAnsi="Arial"/>
          <w:color w:val="2C3E50"/>
          <w:sz w:val="22"/>
          <w:szCs w:val="22"/>
        </w:rPr>
        <w:t xml:space="preserve">ctDNA monitoring as molecular surveillance for early recurrence and new primary tumor detection</w:t>
      </w:r>
    </w:p>
    <w:p>
      <w:pPr>
        <w:pStyle w:val="ListParagraph"/>
        <w:numPr>
          <w:ilvl w:val="0"/>
          <w:numId w:val="2"/>
        </w:numPr>
        <w:spacing w:after="80" w:line="276"/>
      </w:pPr>
      <w:r>
        <w:rPr>
          <w:rFonts w:ascii="Arial" w:cs="Arial" w:eastAsia="Arial" w:hAnsi="Arial"/>
          <w:color w:val="2C3E50"/>
          <w:sz w:val="22"/>
          <w:szCs w:val="22"/>
        </w:rPr>
        <w:t xml:space="preserve">Aspirin chemoprevention: Biologically rationalized by CAPP2 trial data in Lynch syndrome; n-of-1 trial design with biomarker endpoints (polyp count, somatic mutation rate in serial biopsies)</w:t>
      </w:r>
    </w:p>
    <w:p>
      <w:pPr>
        <w:pStyle w:val="ListParagraph"/>
        <w:numPr>
          <w:ilvl w:val="0"/>
          <w:numId w:val="2"/>
        </w:numPr>
        <w:spacing w:after="80" w:line="276"/>
      </w:pPr>
      <w:r>
        <w:rPr>
          <w:rFonts w:ascii="Arial" w:cs="Arial" w:eastAsia="Arial" w:hAnsi="Arial"/>
          <w:color w:val="2C3E50"/>
          <w:sz w:val="22"/>
          <w:szCs w:val="22"/>
        </w:rPr>
        <w:t xml:space="preserve">Reproductive genetic counseling: PGT-M should be offered if of reproductive age, with transparent discussion of penetrance uncertainty</w:t>
      </w:r>
    </w:p>
    <w:p>
      <w:r>
        <w:br w:type="page"/>
      </w:r>
    </w:p>
    <w:p>
      <w:pPr>
        <w:pStyle w:val="Heading1"/>
        <w:spacing w:after="200" w:before="360"/>
      </w:pPr>
      <w:r>
        <w:rPr>
          <w:rFonts w:ascii="Georgia" w:cs="Georgia" w:eastAsia="Georgia" w:hAnsi="Georgia"/>
          <w:b/>
          <w:bCs/>
          <w:color w:val="1B4F72"/>
          <w:sz w:val="32"/>
          <w:szCs w:val="32"/>
        </w:rPr>
        <w:t xml:space="preserve">7. Experimental Model Requirements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648"/>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Model System</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Timeline</w:t>
            </w:r>
          </w:p>
        </w:tc>
        <w:tc>
          <w:tcPr>
            <w:tcW w:type="dxa" w:w="5648"/>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 and Applications</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Patient-derived tumor organoids</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3–6 months</w:t>
            </w:r>
          </w:p>
        </w:tc>
        <w:tc>
          <w:tcPr>
            <w:tcW w:type="dxa" w:w="5648"/>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Drug screening (ICI in immune co-culture, ATR/PARP/WRN inhibitors, nucleotide modulators); mutational signature analysis during clonal expansion; LOH timing and replication dynamics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Isogenic CRISPR cell lines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6–12 months</w:t>
            </w:r>
          </w:p>
        </w:tc>
        <w:tc>
          <w:tcPr>
            <w:tcW w:type="dxa" w:w="5648"/>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Engineer exact c.138del in RPE1-hTERT, HCT116, HAP1 (het + hemizygous). Parallel P286R and V411L panels. Fluctuation assays, DNA fiber assays, drug sensitivity comparisons</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Conditional knock-in mouse</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18–36 months</w:t>
            </w:r>
          </w:p>
        </w:tc>
        <w:tc>
          <w:tcPr>
            <w:tcW w:type="dxa" w:w="5648"/>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color w:val="2C3E50"/>
                <w:sz w:val="20"/>
                <w:szCs w:val="20"/>
              </w:rPr>
              <w:t xml:space="preserve">Cre-inducible murine equivalent variant. Tissue-specific activation for tumor spectrum mapping, LOH requirement testing, penetrance assessment. Cross with MMR-null backgrounds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Computational / digital twin</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3–6 months</w:t>
            </w:r>
          </w:p>
        </w:tc>
        <w:tc>
          <w:tcPr>
            <w:tcW w:type="dxa" w:w="5648"/>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20"/>
                <w:szCs w:val="20"/>
              </w:rPr>
              <w:t xml:space="preserve">Stochastic models of crypt stem cell dynamics incorporating POLE dosage parameters, LOH rates, clonal competition. Calibrate against single-cell WGS data. Predict lifetime risk and optimal surveillance intervals</w:t>
            </w:r>
          </w:p>
        </w:tc>
      </w:tr>
    </w:tbl>
    <w:p>
      <w:r>
        <w:br w:type="page"/>
      </w:r>
    </w:p>
    <w:p>
      <w:pPr>
        <w:pStyle w:val="Heading1"/>
        <w:spacing w:after="200" w:before="360"/>
      </w:pPr>
      <w:r>
        <w:rPr>
          <w:rFonts w:ascii="Georgia" w:cs="Georgia" w:eastAsia="Georgia" w:hAnsi="Georgia"/>
          <w:b/>
          <w:bCs/>
          <w:color w:val="1B4F72"/>
          <w:sz w:val="32"/>
          <w:szCs w:val="32"/>
        </w:rPr>
        <w:t xml:space="preserve">8. Research Prioritization Timeline</w:t>
      </w:r>
    </w:p>
    <w:p>
      <w:pPr>
        <w:pStyle w:val="Heading2"/>
        <w:spacing w:after="160" w:before="280"/>
      </w:pPr>
      <w:r>
        <w:rPr>
          <w:rFonts w:ascii="Georgia" w:cs="Georgia" w:eastAsia="Georgia" w:hAnsi="Georgia"/>
          <w:b/>
          <w:bCs/>
          <w:color w:val="0E6655"/>
          <w:sz w:val="26"/>
          <w:szCs w:val="26"/>
        </w:rPr>
        <w:t xml:space="preserve">8.1 Immediate Priority (0–3 months)</w:t>
      </w:r>
    </w:p>
    <w:p>
      <w:pPr>
        <w:spacing w:after="160" w:line="276"/>
        <w:jc w:val="both"/>
      </w:pPr>
      <w:r>
        <w:rPr>
          <w:rFonts w:ascii="Arial" w:cs="Arial" w:eastAsia="Arial" w:hAnsi="Arial"/>
          <w:color w:val="2C3E50"/>
          <w:sz w:val="22"/>
          <w:szCs w:val="22"/>
        </w:rPr>
        <w:t xml:space="preserve">These experiments are achievable with existing banked tissue, standard bioinformatics pipelines, and commercially available assays. They directly inform treatment decisions.</w:t>
      </w:r>
    </w:p>
    <w:p>
      <w:pPr>
        <w:pStyle w:val="ListParagraph"/>
        <w:numPr>
          <w:ilvl w:val="0"/>
          <w:numId w:val="3"/>
        </w:numPr>
        <w:spacing w:after="80" w:line="276"/>
      </w:pPr>
      <w:r>
        <w:rPr>
          <w:rFonts w:ascii="Arial" w:cs="Arial" w:eastAsia="Arial" w:hAnsi="Arial"/>
          <w:sz w:val="22"/>
          <w:szCs w:val="22"/>
        </w:rPr>
        <w:t xml:space="preserve">Paired tumor-normal WGS with LOH analysis at the POLE locus (ASCAT/FACETS)</w:t>
      </w:r>
    </w:p>
    <w:p>
      <w:pPr>
        <w:pStyle w:val="ListParagraph"/>
        <w:numPr>
          <w:ilvl w:val="0"/>
          <w:numId w:val="3"/>
        </w:numPr>
        <w:spacing w:after="80" w:line="276"/>
      </w:pPr>
      <w:r>
        <w:rPr>
          <w:rFonts w:ascii="Arial" w:cs="Arial" w:eastAsia="Arial" w:hAnsi="Arial"/>
          <w:sz w:val="22"/>
          <w:szCs w:val="22"/>
        </w:rPr>
        <w:t xml:space="preserve">Mutational signature decomposition (SBS10a/b/28 vs. alternative signatures)</w:t>
      </w:r>
    </w:p>
    <w:p>
      <w:pPr>
        <w:pStyle w:val="ListParagraph"/>
        <w:numPr>
          <w:ilvl w:val="0"/>
          <w:numId w:val="3"/>
        </w:numPr>
        <w:spacing w:after="80" w:line="276"/>
      </w:pPr>
      <w:r>
        <w:rPr>
          <w:rFonts w:ascii="Arial" w:cs="Arial" w:eastAsia="Arial" w:hAnsi="Arial"/>
          <w:sz w:val="22"/>
          <w:szCs w:val="22"/>
        </w:rPr>
        <w:t xml:space="preserve">Allele-specific expression analysis from blood RNA (NMD escape test)</w:t>
      </w:r>
    </w:p>
    <w:p>
      <w:pPr>
        <w:pStyle w:val="ListParagraph"/>
        <w:numPr>
          <w:ilvl w:val="0"/>
          <w:numId w:val="3"/>
        </w:numPr>
        <w:spacing w:after="80" w:line="276"/>
      </w:pPr>
      <w:r>
        <w:rPr>
          <w:rFonts w:ascii="Arial" w:cs="Arial" w:eastAsia="Arial" w:hAnsi="Arial"/>
          <w:sz w:val="22"/>
          <w:szCs w:val="22"/>
        </w:rPr>
        <w:t xml:space="preserve">CHIP profiling and duplex sequencing (NanoSeq) of normal blood cells</w:t>
      </w:r>
    </w:p>
    <w:p>
      <w:pPr>
        <w:pStyle w:val="ListParagraph"/>
        <w:numPr>
          <w:ilvl w:val="0"/>
          <w:numId w:val="3"/>
        </w:numPr>
        <w:spacing w:after="80" w:line="276"/>
      </w:pPr>
      <w:r>
        <w:rPr>
          <w:rFonts w:ascii="Arial" w:cs="Arial" w:eastAsia="Arial" w:hAnsi="Arial"/>
          <w:sz w:val="22"/>
          <w:szCs w:val="22"/>
        </w:rPr>
        <w:t xml:space="preserve">Comprehensive immunophenotyping, TCR repertoire sequencing, and cytokine profiling</w:t>
      </w:r>
    </w:p>
    <w:p>
      <w:pPr>
        <w:pStyle w:val="ListParagraph"/>
        <w:numPr>
          <w:ilvl w:val="0"/>
          <w:numId w:val="3"/>
        </w:numPr>
        <w:spacing w:after="80" w:line="276"/>
      </w:pPr>
      <w:r>
        <w:rPr>
          <w:rFonts w:ascii="Arial" w:cs="Arial" w:eastAsia="Arial" w:hAnsi="Arial"/>
          <w:sz w:val="22"/>
          <w:szCs w:val="22"/>
        </w:rPr>
        <w:t xml:space="preserve">IHC for MMR proteins and MSI testing (including MLH1 methylation analysis)</w:t>
      </w:r>
    </w:p>
    <w:p>
      <w:pPr>
        <w:pStyle w:val="Heading2"/>
        <w:spacing w:after="160" w:before="280"/>
      </w:pPr>
      <w:r>
        <w:rPr>
          <w:rFonts w:ascii="Georgia" w:cs="Georgia" w:eastAsia="Georgia" w:hAnsi="Georgia"/>
          <w:b/>
          <w:bCs/>
          <w:color w:val="0E6655"/>
          <w:sz w:val="26"/>
          <w:szCs w:val="26"/>
        </w:rPr>
        <w:t xml:space="preserve">8.2 Medium-Term Priority (3–12 months)</w:t>
      </w:r>
    </w:p>
    <w:p>
      <w:pPr>
        <w:spacing w:after="160" w:line="276"/>
        <w:jc w:val="both"/>
      </w:pPr>
      <w:r>
        <w:rPr>
          <w:rFonts w:ascii="Arial" w:cs="Arial" w:eastAsia="Arial" w:hAnsi="Arial"/>
          <w:color w:val="2C3E50"/>
          <w:sz w:val="22"/>
          <w:szCs w:val="22"/>
        </w:rPr>
        <w:t xml:space="preserve">These require living tissue or specialized infrastructure but are feasible within a year and would resolve the core mechanistic paradox.</w:t>
      </w:r>
    </w:p>
    <w:p>
      <w:pPr>
        <w:pStyle w:val="ListParagraph"/>
        <w:numPr>
          <w:ilvl w:val="0"/>
          <w:numId w:val="3"/>
        </w:numPr>
        <w:spacing w:after="80" w:line="276"/>
      </w:pPr>
      <w:r>
        <w:rPr>
          <w:rFonts w:ascii="Arial" w:cs="Arial" w:eastAsia="Arial" w:hAnsi="Arial"/>
          <w:sz w:val="22"/>
          <w:szCs w:val="22"/>
        </w:rPr>
        <w:t xml:space="preserve">Ribosome profiling (Ribo-seq) and proteomics for aberrant POLE protein products</w:t>
      </w:r>
    </w:p>
    <w:p>
      <w:pPr>
        <w:pStyle w:val="ListParagraph"/>
        <w:numPr>
          <w:ilvl w:val="0"/>
          <w:numId w:val="3"/>
        </w:numPr>
        <w:spacing w:after="80" w:line="276"/>
      </w:pPr>
      <w:r>
        <w:rPr>
          <w:rFonts w:ascii="Arial" w:cs="Arial" w:eastAsia="Arial" w:hAnsi="Arial"/>
          <w:sz w:val="22"/>
          <w:szCs w:val="22"/>
        </w:rPr>
        <w:t xml:space="preserve">Patient-derived organoid establishment (tumor and matched normal tissue)</w:t>
      </w:r>
    </w:p>
    <w:p>
      <w:pPr>
        <w:pStyle w:val="ListParagraph"/>
        <w:numPr>
          <w:ilvl w:val="0"/>
          <w:numId w:val="3"/>
        </w:numPr>
        <w:spacing w:after="80" w:line="276"/>
      </w:pPr>
      <w:r>
        <w:rPr>
          <w:rFonts w:ascii="Arial" w:cs="Arial" w:eastAsia="Arial" w:hAnsi="Arial"/>
          <w:sz w:val="22"/>
          <w:szCs w:val="22"/>
        </w:rPr>
        <w:t xml:space="preserve">Neoantigen prediction and peptide-MHC multimer T cell detection</w:t>
      </w:r>
    </w:p>
    <w:p>
      <w:pPr>
        <w:pStyle w:val="ListParagraph"/>
        <w:numPr>
          <w:ilvl w:val="0"/>
          <w:numId w:val="3"/>
        </w:numPr>
        <w:spacing w:after="80" w:line="276"/>
      </w:pPr>
      <w:r>
        <w:rPr>
          <w:rFonts w:ascii="Arial" w:cs="Arial" w:eastAsia="Arial" w:hAnsi="Arial"/>
          <w:sz w:val="22"/>
          <w:szCs w:val="22"/>
        </w:rPr>
        <w:t xml:space="preserve">Drug sensitivity screening in organoid models (ATR, PARP, WRN inhibitors)</w:t>
      </w:r>
    </w:p>
    <w:p>
      <w:pPr>
        <w:pStyle w:val="ListParagraph"/>
        <w:numPr>
          <w:ilvl w:val="0"/>
          <w:numId w:val="3"/>
        </w:numPr>
        <w:spacing w:after="80" w:line="276"/>
      </w:pPr>
      <w:r>
        <w:rPr>
          <w:rFonts w:ascii="Arial" w:cs="Arial" w:eastAsia="Arial" w:hAnsi="Arial"/>
          <w:sz w:val="22"/>
          <w:szCs w:val="22"/>
        </w:rPr>
        <w:t xml:space="preserve">ctDNA monitoring panel design and baseline measurement</w:t>
      </w:r>
    </w:p>
    <w:p>
      <w:pPr>
        <w:pStyle w:val="ListParagraph"/>
        <w:numPr>
          <w:ilvl w:val="0"/>
          <w:numId w:val="3"/>
        </w:numPr>
        <w:spacing w:after="80" w:line="276"/>
      </w:pPr>
      <w:r>
        <w:rPr>
          <w:rFonts w:ascii="Arial" w:cs="Arial" w:eastAsia="Arial" w:hAnsi="Arial"/>
          <w:sz w:val="22"/>
          <w:szCs w:val="22"/>
        </w:rPr>
        <w:t xml:space="preserve">POLE protein quantification and dNTP pool analysis from PBMCs</w:t>
      </w:r>
    </w:p>
    <w:p>
      <w:pPr>
        <w:pStyle w:val="Heading2"/>
        <w:spacing w:after="160" w:before="280"/>
      </w:pPr>
      <w:r>
        <w:rPr>
          <w:rFonts w:ascii="Georgia" w:cs="Georgia" w:eastAsia="Georgia" w:hAnsi="Georgia"/>
          <w:b/>
          <w:bCs/>
          <w:color w:val="0E6655"/>
          <w:sz w:val="26"/>
          <w:szCs w:val="26"/>
        </w:rPr>
        <w:t xml:space="preserve">8.3 Long-Term Priority (1–3 years)</w:t>
      </w:r>
    </w:p>
    <w:p>
      <w:pPr>
        <w:spacing w:after="160" w:line="276"/>
        <w:jc w:val="both"/>
      </w:pPr>
      <w:r>
        <w:rPr>
          <w:rFonts w:ascii="Arial" w:cs="Arial" w:eastAsia="Arial" w:hAnsi="Arial"/>
          <w:color w:val="2C3E50"/>
          <w:sz w:val="22"/>
          <w:szCs w:val="22"/>
        </w:rPr>
        <w:t xml:space="preserve">These represent foundational investments that would redefine the field and potentially benefit other patients with POLE truncation variants.</w:t>
      </w:r>
    </w:p>
    <w:p>
      <w:pPr>
        <w:pStyle w:val="ListParagraph"/>
        <w:numPr>
          <w:ilvl w:val="0"/>
          <w:numId w:val="3"/>
        </w:numPr>
        <w:spacing w:after="80" w:line="276"/>
      </w:pPr>
      <w:r>
        <w:rPr>
          <w:rFonts w:ascii="Arial" w:cs="Arial" w:eastAsia="Arial" w:hAnsi="Arial"/>
          <w:sz w:val="22"/>
          <w:szCs w:val="22"/>
        </w:rPr>
        <w:t xml:space="preserve">Isogenic CRISPR cell line panels (c.138del vs. P286R vs. V411L in matched backgrounds)</w:t>
      </w:r>
    </w:p>
    <w:p>
      <w:pPr>
        <w:pStyle w:val="ListParagraph"/>
        <w:numPr>
          <w:ilvl w:val="0"/>
          <w:numId w:val="3"/>
        </w:numPr>
        <w:spacing w:after="80" w:line="276"/>
      </w:pPr>
      <w:r>
        <w:rPr>
          <w:rFonts w:ascii="Arial" w:cs="Arial" w:eastAsia="Arial" w:hAnsi="Arial"/>
          <w:sz w:val="22"/>
          <w:szCs w:val="22"/>
        </w:rPr>
        <w:t xml:space="preserve">Conditional knock-in mouse model with tissue-specific Cre activation</w:t>
      </w:r>
    </w:p>
    <w:p>
      <w:pPr>
        <w:pStyle w:val="ListParagraph"/>
        <w:numPr>
          <w:ilvl w:val="0"/>
          <w:numId w:val="3"/>
        </w:numPr>
        <w:spacing w:after="80" w:line="276"/>
      </w:pPr>
      <w:r>
        <w:rPr>
          <w:rFonts w:ascii="Arial" w:cs="Arial" w:eastAsia="Arial" w:hAnsi="Arial"/>
          <w:sz w:val="22"/>
          <w:szCs w:val="22"/>
        </w:rPr>
        <w:t xml:space="preserve">Single-cell WGS of normal colonic crypts (definitive haploinsufficiency test)</w:t>
      </w:r>
    </w:p>
    <w:p>
      <w:pPr>
        <w:pStyle w:val="ListParagraph"/>
        <w:numPr>
          <w:ilvl w:val="0"/>
          <w:numId w:val="3"/>
        </w:numPr>
        <w:spacing w:after="80" w:line="276"/>
      </w:pPr>
      <w:r>
        <w:rPr>
          <w:rFonts w:ascii="Arial" w:cs="Arial" w:eastAsia="Arial" w:hAnsi="Arial"/>
          <w:sz w:val="22"/>
          <w:szCs w:val="22"/>
        </w:rPr>
        <w:t xml:space="preserve">Extended family genotyping for penetrance estimation and genetic counseling</w:t>
      </w:r>
    </w:p>
    <w:p>
      <w:pPr>
        <w:pStyle w:val="ListParagraph"/>
        <w:numPr>
          <w:ilvl w:val="0"/>
          <w:numId w:val="3"/>
        </w:numPr>
        <w:spacing w:after="80" w:line="276"/>
      </w:pPr>
      <w:r>
        <w:rPr>
          <w:rFonts w:ascii="Arial" w:cs="Arial" w:eastAsia="Arial" w:hAnsi="Arial"/>
          <w:sz w:val="22"/>
          <w:szCs w:val="22"/>
        </w:rPr>
        <w:t xml:space="preserve">Computational modeling of crypt dynamics for surveillance interval optimization</w:t>
      </w:r>
    </w:p>
    <w:p>
      <w:pPr>
        <w:pStyle w:val="ListParagraph"/>
        <w:numPr>
          <w:ilvl w:val="0"/>
          <w:numId w:val="3"/>
        </w:numPr>
        <w:spacing w:after="80" w:line="276"/>
      </w:pPr>
      <w:r>
        <w:rPr>
          <w:rFonts w:ascii="Arial" w:cs="Arial" w:eastAsia="Arial" w:hAnsi="Arial"/>
          <w:sz w:val="22"/>
          <w:szCs w:val="22"/>
        </w:rPr>
        <w:t xml:space="preserve">Assessment of preventive immunotherapy (supported by 2025 Cancer Research mouse model data)</w:t>
      </w:r>
    </w:p>
    <w:p>
      <w:r>
        <w:br w:type="page"/>
      </w:r>
    </w:p>
    <w:p>
      <w:pPr>
        <w:pStyle w:val="Heading1"/>
        <w:spacing w:after="200" w:before="360"/>
      </w:pPr>
      <w:r>
        <w:rPr>
          <w:rFonts w:ascii="Georgia" w:cs="Georgia" w:eastAsia="Georgia" w:hAnsi="Georgia"/>
          <w:b/>
          <w:bCs/>
          <w:color w:val="1B4F72"/>
          <w:sz w:val="32"/>
          <w:szCs w:val="32"/>
        </w:rPr>
        <w:t xml:space="preserve">9. Key Literature References</w:t>
      </w:r>
    </w:p>
    <w:p>
      <w:pPr>
        <w:spacing w:after="160" w:line="276"/>
        <w:jc w:val="both"/>
      </w:pPr>
      <w:r>
        <w:rPr>
          <w:rFonts w:ascii="Arial" w:cs="Arial" w:eastAsia="Arial" w:hAnsi="Arial"/>
          <w:color w:val="2C3E50"/>
          <w:sz w:val="22"/>
          <w:szCs w:val="22"/>
        </w:rPr>
        <w:t xml:space="preserve">The following publications form the evidential basis for this research framework. They are organized by topic area.</w:t>
      </w:r>
    </w:p>
    <w:p>
      <w:pPr>
        <w:pStyle w:val="Heading2"/>
        <w:spacing w:after="160" w:before="280"/>
      </w:pPr>
      <w:r>
        <w:rPr>
          <w:rFonts w:ascii="Georgia" w:cs="Georgia" w:eastAsia="Georgia" w:hAnsi="Georgia"/>
          <w:b/>
          <w:bCs/>
          <w:color w:val="0E6655"/>
          <w:sz w:val="26"/>
          <w:szCs w:val="26"/>
        </w:rPr>
        <w:t xml:space="preserve">9.1 PPAP Clinical Characterization</w:t>
      </w:r>
    </w:p>
    <w:p>
      <w:pPr>
        <w:pStyle w:val="ListParagraph"/>
        <w:numPr>
          <w:ilvl w:val="0"/>
          <w:numId w:val="2"/>
        </w:numPr>
        <w:spacing w:after="80" w:line="276"/>
      </w:pPr>
      <w:r>
        <w:rPr>
          <w:rFonts w:ascii="Arial" w:cs="Arial" w:eastAsia="Arial" w:hAnsi="Arial"/>
          <w:color w:val="2C3E50"/>
          <w:sz w:val="22"/>
          <w:szCs w:val="22"/>
        </w:rPr>
        <w:t xml:space="preserve">Palles C et al. (2013) Germline mutations affecting the proofreading domains of POLE and POLD1 predispose to colorectal adenomas and carcinomas. Nature Genetics 45:136–144. PMID: 23263490</w:t>
      </w:r>
    </w:p>
    <w:p>
      <w:pPr>
        <w:pStyle w:val="ListParagraph"/>
        <w:numPr>
          <w:ilvl w:val="0"/>
          <w:numId w:val="2"/>
        </w:numPr>
        <w:spacing w:after="80" w:line="276"/>
      </w:pPr>
      <w:r>
        <w:rPr>
          <w:rFonts w:ascii="Arial" w:cs="Arial" w:eastAsia="Arial" w:hAnsi="Arial"/>
          <w:color w:val="2C3E50"/>
          <w:sz w:val="22"/>
          <w:szCs w:val="22"/>
        </w:rPr>
        <w:t xml:space="preserve">Palles C et al. (2022) The clinical features of polymerase proof-reading associated polyposis (PPAP) and recommendations for patient management. Familial Cancer 21:197–209. PMID: 33948826</w:t>
      </w:r>
    </w:p>
    <w:p>
      <w:pPr>
        <w:pStyle w:val="ListParagraph"/>
        <w:numPr>
          <w:ilvl w:val="0"/>
          <w:numId w:val="2"/>
        </w:numPr>
        <w:spacing w:after="80" w:line="276"/>
      </w:pPr>
      <w:r>
        <w:rPr>
          <w:rFonts w:ascii="Arial" w:cs="Arial" w:eastAsia="Arial" w:hAnsi="Arial"/>
          <w:color w:val="2C3E50"/>
          <w:sz w:val="22"/>
          <w:szCs w:val="22"/>
        </w:rPr>
        <w:t xml:space="preserve">Bellido F et al. (2016) POLE and POLD1 mutations in 529 kindred with familial colorectal cancer and/or polyposis. Genetics in Medicine 18:325–332. PMID: 26133394</w:t>
      </w:r>
    </w:p>
    <w:p>
      <w:pPr>
        <w:pStyle w:val="ListParagraph"/>
        <w:numPr>
          <w:ilvl w:val="0"/>
          <w:numId w:val="2"/>
        </w:numPr>
        <w:spacing w:after="80" w:line="276"/>
      </w:pPr>
      <w:r>
        <w:rPr>
          <w:rFonts w:ascii="Arial" w:cs="Arial" w:eastAsia="Arial" w:hAnsi="Arial"/>
          <w:color w:val="2C3E50"/>
          <w:sz w:val="22"/>
          <w:szCs w:val="22"/>
        </w:rPr>
        <w:t xml:space="preserve">Rayner E et al. (2016) A panoply of errors: Polymerase proofreading domain mutations in cancer. Nature Reviews Cancer 16:71–81</w:t>
      </w:r>
    </w:p>
    <w:p>
      <w:pPr>
        <w:pStyle w:val="Heading2"/>
        <w:spacing w:after="160" w:before="280"/>
      </w:pPr>
      <w:r>
        <w:rPr>
          <w:rFonts w:ascii="Georgia" w:cs="Georgia" w:eastAsia="Georgia" w:hAnsi="Georgia"/>
          <w:b/>
          <w:bCs/>
          <w:color w:val="0E6655"/>
          <w:sz w:val="26"/>
          <w:szCs w:val="26"/>
        </w:rPr>
        <w:t xml:space="preserve">9.2 POLE Frameshift Variants and Epigenetic Interactions</w:t>
      </w:r>
    </w:p>
    <w:p>
      <w:pPr>
        <w:pStyle w:val="ListParagraph"/>
        <w:numPr>
          <w:ilvl w:val="0"/>
          <w:numId w:val="2"/>
        </w:numPr>
        <w:spacing w:after="80" w:line="276"/>
      </w:pPr>
      <w:r>
        <w:rPr>
          <w:rFonts w:ascii="Arial" w:cs="Arial" w:eastAsia="Arial" w:hAnsi="Arial"/>
          <w:color w:val="2C3E50"/>
          <w:sz w:val="22"/>
          <w:szCs w:val="22"/>
        </w:rPr>
        <w:t xml:space="preserve">Shinbrot E et al. (2019) Development of an MSI-positive colon tumor with aberrant DNA methylation in a PPAP patient. Journal of Human Genetics (POLE c.4191_4192delCT case with epigenetic MLH1 silencing)</w:t>
      </w:r>
    </w:p>
    <w:p>
      <w:pPr>
        <w:pStyle w:val="ListParagraph"/>
        <w:numPr>
          <w:ilvl w:val="0"/>
          <w:numId w:val="2"/>
        </w:numPr>
        <w:spacing w:after="80" w:line="276"/>
      </w:pPr>
      <w:r>
        <w:rPr>
          <w:rFonts w:ascii="Arial" w:cs="Arial" w:eastAsia="Arial" w:hAnsi="Arial"/>
          <w:color w:val="2C3E50"/>
          <w:sz w:val="22"/>
          <w:szCs w:val="22"/>
        </w:rPr>
        <w:t xml:space="preserve">García-Mulero S et al. (2019) Contribution of new adenomatous polyposis predisposition genes in an unexplained attenuated Spanish cohort. Scientific Reports (POLE frameshift + NTHL1 double carrier)</w:t>
      </w:r>
    </w:p>
    <w:p>
      <w:pPr>
        <w:pStyle w:val="ListParagraph"/>
        <w:numPr>
          <w:ilvl w:val="0"/>
          <w:numId w:val="2"/>
        </w:numPr>
        <w:spacing w:after="80" w:line="276"/>
      </w:pPr>
      <w:r>
        <w:rPr>
          <w:rFonts w:ascii="Arial" w:cs="Arial" w:eastAsia="Arial" w:hAnsi="Arial"/>
          <w:color w:val="2C3E50"/>
          <w:sz w:val="22"/>
          <w:szCs w:val="22"/>
        </w:rPr>
        <w:t xml:space="preserve">Frontiers in Oncology (2025) Expansion of the POLD1-related PPAP spectrum: first report of duodenal adenocarcinomas</w:t>
      </w:r>
    </w:p>
    <w:p>
      <w:pPr>
        <w:pStyle w:val="Heading2"/>
        <w:spacing w:after="160" w:before="280"/>
      </w:pPr>
      <w:r>
        <w:rPr>
          <w:rFonts w:ascii="Georgia" w:cs="Georgia" w:eastAsia="Georgia" w:hAnsi="Georgia"/>
          <w:b/>
          <w:bCs/>
          <w:color w:val="0E6655"/>
          <w:sz w:val="26"/>
          <w:szCs w:val="26"/>
        </w:rPr>
        <w:t xml:space="preserve">9.3 Somatic Mutation in Normal Tissues</w:t>
      </w:r>
    </w:p>
    <w:p>
      <w:pPr>
        <w:pStyle w:val="ListParagraph"/>
        <w:numPr>
          <w:ilvl w:val="0"/>
          <w:numId w:val="2"/>
        </w:numPr>
        <w:spacing w:after="80" w:line="276"/>
      </w:pPr>
      <w:r>
        <w:rPr>
          <w:rFonts w:ascii="Arial" w:cs="Arial" w:eastAsia="Arial" w:hAnsi="Arial"/>
          <w:color w:val="2C3E50"/>
          <w:sz w:val="22"/>
          <w:szCs w:val="22"/>
        </w:rPr>
        <w:t xml:space="preserve">Robinson PS et al. (2021) Increased somatic mutation burdens in normal human cells due to defective DNA polymerases. Nature Genetics (landmark study demonstrating elevated SBS10a/b in normal tissues of germline POLE/POLD1 carriers)</w:t>
      </w:r>
    </w:p>
    <w:p>
      <w:pPr>
        <w:pStyle w:val="ListParagraph"/>
        <w:numPr>
          <w:ilvl w:val="0"/>
          <w:numId w:val="2"/>
        </w:numPr>
        <w:spacing w:after="80" w:line="276"/>
      </w:pPr>
      <w:r>
        <w:rPr>
          <w:rFonts w:ascii="Arial" w:cs="Arial" w:eastAsia="Arial" w:hAnsi="Arial"/>
          <w:color w:val="2C3E50"/>
          <w:sz w:val="22"/>
          <w:szCs w:val="22"/>
        </w:rPr>
        <w:t xml:space="preserve">Abascal F et al. (2021) Somatic mutation landscapes at single-molecule resolution. Nature 593:405–410 (original NanoSeq protocol)</w:t>
      </w:r>
    </w:p>
    <w:p>
      <w:pPr>
        <w:pStyle w:val="ListParagraph"/>
        <w:numPr>
          <w:ilvl w:val="0"/>
          <w:numId w:val="2"/>
        </w:numPr>
        <w:spacing w:after="80" w:line="276"/>
      </w:pPr>
      <w:r>
        <w:rPr>
          <w:rFonts w:ascii="Arial" w:cs="Arial" w:eastAsia="Arial" w:hAnsi="Arial"/>
          <w:color w:val="2C3E50"/>
          <w:sz w:val="22"/>
          <w:szCs w:val="22"/>
        </w:rPr>
        <w:t xml:space="preserve">Pich O et al. (2025) Somatic mutation and selection at population scale. Nature 647:411–420 (improved NanoSeq with &lt;5 errors per billion bp, whole-exome compatible)</w:t>
      </w:r>
    </w:p>
    <w:p>
      <w:pPr>
        <w:pStyle w:val="ListParagraph"/>
        <w:numPr>
          <w:ilvl w:val="0"/>
          <w:numId w:val="2"/>
        </w:numPr>
        <w:spacing w:after="80" w:line="276"/>
      </w:pPr>
      <w:r>
        <w:rPr>
          <w:rFonts w:ascii="Arial" w:cs="Arial" w:eastAsia="Arial" w:hAnsi="Arial"/>
          <w:color w:val="2C3E50"/>
          <w:sz w:val="22"/>
          <w:szCs w:val="22"/>
        </w:rPr>
        <w:t xml:space="preserve">Pich O et al. (2025) Somatic evolution following cancer treatment in normal tissue. Nature (duplex sequencing at &gt;30,000x coverage across 16 organs)</w:t>
      </w:r>
    </w:p>
    <w:p>
      <w:pPr>
        <w:pStyle w:val="ListParagraph"/>
        <w:numPr>
          <w:ilvl w:val="0"/>
          <w:numId w:val="2"/>
        </w:numPr>
        <w:spacing w:after="80" w:line="276"/>
      </w:pPr>
      <w:r>
        <w:rPr>
          <w:rFonts w:ascii="Arial" w:cs="Arial" w:eastAsia="Arial" w:hAnsi="Arial"/>
          <w:color w:val="2C3E50"/>
          <w:sz w:val="22"/>
          <w:szCs w:val="22"/>
        </w:rPr>
        <w:t xml:space="preserve">Robinson PS et al. (2022) Inherited MUTYH mutations cause elevated somatic mutation rates and distinctive mutational signatures in normal human cells. Nature Communications (methodological precedent for applying NanoSeq to cancer predisposition gene carriers)</w:t>
      </w:r>
    </w:p>
    <w:p>
      <w:pPr>
        <w:pStyle w:val="Heading2"/>
        <w:spacing w:after="160" w:before="280"/>
      </w:pPr>
      <w:r>
        <w:rPr>
          <w:rFonts w:ascii="Georgia" w:cs="Georgia" w:eastAsia="Georgia" w:hAnsi="Georgia"/>
          <w:b/>
          <w:bCs/>
          <w:color w:val="0E6655"/>
          <w:sz w:val="26"/>
          <w:szCs w:val="26"/>
        </w:rPr>
        <w:t xml:space="preserve">9.4 Immunotherapy in POLE-Mutated Cancers</w:t>
      </w:r>
    </w:p>
    <w:p>
      <w:pPr>
        <w:pStyle w:val="ListParagraph"/>
        <w:numPr>
          <w:ilvl w:val="0"/>
          <w:numId w:val="2"/>
        </w:numPr>
        <w:spacing w:after="80" w:line="276"/>
      </w:pPr>
      <w:r>
        <w:rPr>
          <w:rFonts w:ascii="Arial" w:cs="Arial" w:eastAsia="Arial" w:hAnsi="Arial"/>
          <w:color w:val="2C3E50"/>
          <w:sz w:val="22"/>
          <w:szCs w:val="22"/>
        </w:rPr>
        <w:t xml:space="preserve">Garmezy B et al. (2022) Clinical and molecular characterization of POLE mutations as predictive biomarkers of response to immune checkpoint inhibitors. JCO Precision Oncology (458 tumors; pathogenic POLE: 82.4% CBR, 15.1 mo PFS, 29.5 mo OS)</w:t>
      </w:r>
    </w:p>
    <w:p>
      <w:pPr>
        <w:pStyle w:val="ListParagraph"/>
        <w:numPr>
          <w:ilvl w:val="0"/>
          <w:numId w:val="2"/>
        </w:numPr>
        <w:spacing w:after="80" w:line="276"/>
      </w:pPr>
      <w:r>
        <w:rPr>
          <w:rFonts w:ascii="Arial" w:cs="Arial" w:eastAsia="Arial" w:hAnsi="Arial"/>
          <w:color w:val="2C3E50"/>
          <w:sz w:val="22"/>
          <w:szCs w:val="22"/>
        </w:rPr>
        <w:t xml:space="preserve">Pietrantonio F et al. (2024) Immune checkpoint inhibitors for POLE/POLD1 proofreading-deficient metastatic CRC. Annals of Oncology (POLE signature contribution ≥78.5% predicts response)</w:t>
      </w:r>
    </w:p>
    <w:p>
      <w:pPr>
        <w:pStyle w:val="ListParagraph"/>
        <w:numPr>
          <w:ilvl w:val="0"/>
          <w:numId w:val="2"/>
        </w:numPr>
        <w:spacing w:after="80" w:line="276"/>
      </w:pPr>
      <w:r>
        <w:rPr>
          <w:rFonts w:ascii="Arial" w:cs="Arial" w:eastAsia="Arial" w:hAnsi="Arial"/>
          <w:color w:val="2C3E50"/>
          <w:sz w:val="22"/>
          <w:szCs w:val="22"/>
        </w:rPr>
        <w:t xml:space="preserve">Sawant A et al. (2025) Immune checkpoint blockade delays cancer development and extends survival in DNA polymerase mutator syndromes. Cancer Research 85(6):1130–1144 (preventive ICB in mouse models)</w:t>
      </w:r>
    </w:p>
    <w:p>
      <w:pPr>
        <w:pStyle w:val="ListParagraph"/>
        <w:numPr>
          <w:ilvl w:val="0"/>
          <w:numId w:val="2"/>
        </w:numPr>
        <w:spacing w:after="80" w:line="276"/>
      </w:pPr>
      <w:r>
        <w:rPr>
          <w:rFonts w:ascii="Arial" w:cs="Arial" w:eastAsia="Arial" w:hAnsi="Arial"/>
          <w:color w:val="2C3E50"/>
          <w:sz w:val="22"/>
          <w:szCs w:val="22"/>
        </w:rPr>
        <w:t xml:space="preserve">Wang F et al. (2019) Evaluation of POLE and POLD1 mutations as biomarkers for immunotherapy outcomes across multiple cancer types. JAMA Oncology 5(10):1504–1506</w:t>
      </w:r>
    </w:p>
    <w:p>
      <w:pPr>
        <w:pStyle w:val="ListParagraph"/>
        <w:numPr>
          <w:ilvl w:val="0"/>
          <w:numId w:val="2"/>
        </w:numPr>
        <w:spacing w:after="80" w:line="276"/>
      </w:pPr>
      <w:r>
        <w:rPr>
          <w:rFonts w:ascii="Arial" w:cs="Arial" w:eastAsia="Arial" w:hAnsi="Arial"/>
          <w:color w:val="2C3E50"/>
          <w:sz w:val="22"/>
          <w:szCs w:val="22"/>
        </w:rPr>
        <w:t xml:space="preserve">Rousseau B et al. (2021) The spectrum of benefit from checkpoint blockade in hypermutated tumors. New England Journal of Medicine 384(12):1168–1170</w:t>
      </w:r>
    </w:p>
    <w:p>
      <w:pPr>
        <w:pStyle w:val="Heading2"/>
        <w:spacing w:after="160" w:before="280"/>
      </w:pPr>
      <w:r>
        <w:rPr>
          <w:rFonts w:ascii="Georgia" w:cs="Georgia" w:eastAsia="Georgia" w:hAnsi="Georgia"/>
          <w:b/>
          <w:bCs/>
          <w:color w:val="0E6655"/>
          <w:sz w:val="26"/>
          <w:szCs w:val="26"/>
        </w:rPr>
        <w:t xml:space="preserve">9.5 Synthetic Lethality and DNA Damage Response</w:t>
      </w:r>
    </w:p>
    <w:p>
      <w:pPr>
        <w:pStyle w:val="ListParagraph"/>
        <w:numPr>
          <w:ilvl w:val="0"/>
          <w:numId w:val="2"/>
        </w:numPr>
        <w:spacing w:after="80" w:line="276"/>
      </w:pPr>
      <w:r>
        <w:rPr>
          <w:rFonts w:ascii="Arial" w:cs="Arial" w:eastAsia="Arial" w:hAnsi="Arial"/>
          <w:color w:val="2C3E50"/>
          <w:sz w:val="22"/>
          <w:szCs w:val="22"/>
        </w:rPr>
        <w:t xml:space="preserve">Deppas JJ et al. (2025) ATR inhibitors: from targeting the DNA damage response to exploiting synthetic lethality. European Journal of Medicinal Chemistry 296:117863</w:t>
      </w:r>
    </w:p>
    <w:p>
      <w:pPr>
        <w:pStyle w:val="ListParagraph"/>
        <w:numPr>
          <w:ilvl w:val="0"/>
          <w:numId w:val="2"/>
        </w:numPr>
        <w:spacing w:after="80" w:line="276"/>
      </w:pPr>
      <w:r>
        <w:rPr>
          <w:rFonts w:ascii="Arial" w:cs="Arial" w:eastAsia="Arial" w:hAnsi="Arial"/>
          <w:color w:val="2C3E50"/>
          <w:sz w:val="22"/>
          <w:szCs w:val="22"/>
        </w:rPr>
        <w:t xml:space="preserve">Marciniak B et al. (2024) Synthetic lethality between ATR and POLA1 reveals a potential new target for individualized cancer therapy. DNA Repair (novel ATR-polymerase synthetic lethality)</w:t>
      </w:r>
    </w:p>
    <w:p>
      <w:pPr>
        <w:pStyle w:val="ListParagraph"/>
        <w:numPr>
          <w:ilvl w:val="0"/>
          <w:numId w:val="2"/>
        </w:numPr>
        <w:spacing w:after="80" w:line="276"/>
      </w:pPr>
      <w:r>
        <w:rPr>
          <w:rFonts w:ascii="Arial" w:cs="Arial" w:eastAsia="Arial" w:hAnsi="Arial"/>
          <w:color w:val="2C3E50"/>
          <w:sz w:val="22"/>
          <w:szCs w:val="22"/>
        </w:rPr>
        <w:t xml:space="preserve">Smith HL et al. (2024) ATR, CHK1 and WEE1 inhibitors cause HRR deficiency to induce synthetic lethality with PARP inhibitors. British Journal of Cancer 131:905–917</w:t>
      </w:r>
    </w:p>
    <w:p>
      <w:pPr>
        <w:pStyle w:val="ListParagraph"/>
        <w:numPr>
          <w:ilvl w:val="0"/>
          <w:numId w:val="2"/>
        </w:numPr>
        <w:spacing w:after="80" w:line="276"/>
      </w:pPr>
      <w:r>
        <w:rPr>
          <w:rFonts w:ascii="Arial" w:cs="Arial" w:eastAsia="Arial" w:hAnsi="Arial"/>
          <w:color w:val="2C3E50"/>
          <w:sz w:val="22"/>
          <w:szCs w:val="22"/>
        </w:rPr>
        <w:t xml:space="preserve">Ge S et al. (2024) The biological essence of synthetic lethality. MedComm–Oncology (comprehensive review including WRN-MSI synthetic lethality)</w:t>
      </w:r>
    </w:p>
    <w:p>
      <w:pPr>
        <w:pStyle w:val="Heading2"/>
        <w:spacing w:after="160" w:before="280"/>
      </w:pPr>
      <w:r>
        <w:rPr>
          <w:rFonts w:ascii="Georgia" w:cs="Georgia" w:eastAsia="Georgia" w:hAnsi="Georgia"/>
          <w:b/>
          <w:bCs/>
          <w:color w:val="0E6655"/>
          <w:sz w:val="26"/>
          <w:szCs w:val="26"/>
        </w:rPr>
        <w:t xml:space="preserve">9.6 Loss of Heterozygosity</w:t>
      </w:r>
    </w:p>
    <w:p>
      <w:pPr>
        <w:pStyle w:val="ListParagraph"/>
        <w:numPr>
          <w:ilvl w:val="0"/>
          <w:numId w:val="2"/>
        </w:numPr>
        <w:spacing w:after="80" w:line="276"/>
      </w:pPr>
      <w:r>
        <w:rPr>
          <w:rFonts w:ascii="Arial" w:cs="Arial" w:eastAsia="Arial" w:hAnsi="Arial"/>
          <w:color w:val="2C3E50"/>
          <w:sz w:val="22"/>
          <w:szCs w:val="22"/>
        </w:rPr>
        <w:t xml:space="preserve">Knudson AG (1971) Mutation and cancer: statistical study of retinoblastoma. PNAS 68:820–823 (original two-hit hypothesis)</w:t>
      </w:r>
    </w:p>
    <w:p>
      <w:pPr>
        <w:pStyle w:val="ListParagraph"/>
        <w:numPr>
          <w:ilvl w:val="0"/>
          <w:numId w:val="2"/>
        </w:numPr>
        <w:spacing w:after="80" w:line="276"/>
      </w:pPr>
      <w:r>
        <w:rPr>
          <w:rFonts w:ascii="Arial" w:cs="Arial" w:eastAsia="Arial" w:hAnsi="Arial"/>
          <w:color w:val="2C3E50"/>
          <w:sz w:val="22"/>
          <w:szCs w:val="22"/>
        </w:rPr>
        <w:t xml:space="preserve">Yoshida M et al. (2022) Frequent somatic gene conversion as a mechanism for loss of heterozygosity in tumor suppressor genes. Genome Research (gene conversion = 14.8% of LOH events across 6,285 patients)</w:t>
      </w:r>
    </w:p>
    <w:p>
      <w:pPr>
        <w:pStyle w:val="ListParagraph"/>
        <w:numPr>
          <w:ilvl w:val="0"/>
          <w:numId w:val="2"/>
        </w:numPr>
        <w:spacing w:after="80" w:line="276"/>
      </w:pPr>
      <w:r>
        <w:rPr>
          <w:rFonts w:ascii="Arial" w:cs="Arial" w:eastAsia="Arial" w:hAnsi="Arial"/>
          <w:color w:val="2C3E50"/>
          <w:sz w:val="22"/>
          <w:szCs w:val="22"/>
        </w:rPr>
        <w:t xml:space="preserve">Beroukhim R et al. (2006) Inferring loss-of-heterozygosity from unpaired tumors using high-density SNP arrays. PLOS Computational Biology</w:t>
      </w:r>
    </w:p>
    <w:p>
      <w:r>
        <w:br w:type="page"/>
      </w:r>
    </w:p>
    <w:p>
      <w:pPr>
        <w:pStyle w:val="Heading1"/>
        <w:spacing w:after="200" w:before="360"/>
      </w:pPr>
      <w:r>
        <w:rPr>
          <w:rFonts w:ascii="Georgia" w:cs="Georgia" w:eastAsia="Georgia" w:hAnsi="Georgia"/>
          <w:b/>
          <w:bCs/>
          <w:color w:val="1B4F72"/>
          <w:sz w:val="32"/>
          <w:szCs w:val="32"/>
        </w:rPr>
        <w:t xml:space="preserve">10. Conclusion and Broader Impact</w:t>
      </w:r>
    </w:p>
    <w:p>
      <w:pPr>
        <w:spacing w:after="160" w:line="276"/>
        <w:jc w:val="both"/>
      </w:pPr>
      <w:r>
        <w:rPr>
          <w:rFonts w:ascii="Arial" w:cs="Arial" w:eastAsia="Arial" w:hAnsi="Arial"/>
          <w:color w:val="2C3E50"/>
          <w:sz w:val="22"/>
          <w:szCs w:val="22"/>
        </w:rPr>
        <w:t xml:space="preserve">This POLE c.138del variant represents a natural experiment at the intersection of replication biology, cancer genetics, and immunotherapy. The mechanistic paradox it presents — a truncating variant that eliminates all functional domains yet produces a classical PPAP phenotype with ultra-hypermutation — directly challenges current models of how polymerase proofreading fidelity relates to cancer risk.</w:t>
      </w:r>
    </w:p>
    <w:p>
      <w:pPr>
        <w:spacing w:after="160" w:line="276"/>
        <w:jc w:val="both"/>
      </w:pPr>
      <w:r>
        <w:rPr>
          <w:rFonts w:ascii="Arial" w:cs="Arial" w:eastAsia="Arial" w:hAnsi="Arial"/>
          <w:color w:val="2C3E50"/>
          <w:sz w:val="22"/>
          <w:szCs w:val="22"/>
        </w:rPr>
        <w:t xml:space="preserve">If the two-hit / LOH model is confirmed, it would mean that POLE can operate as a tumor suppressor through the classical Knudson paradigm in addition to its established dominant-negative oncogene-like behavior. This would require reclassification of truncating POLE variants currently dismissed as benign loss-of-function alleles or variants of uncertain significance. The immediate clinical implication: an unknown number of individuals carrying truncating POLE variants may be at cancer risk that is currently unrecognized.</w:t>
      </w:r>
    </w:p>
    <w:p>
      <w:pPr>
        <w:spacing w:after="160" w:line="276"/>
        <w:jc w:val="both"/>
      </w:pPr>
      <w:r>
        <w:rPr>
          <w:rFonts w:ascii="Arial" w:cs="Arial" w:eastAsia="Arial" w:hAnsi="Arial"/>
          <w:color w:val="2C3E50"/>
          <w:sz w:val="22"/>
          <w:szCs w:val="22"/>
        </w:rPr>
        <w:t xml:space="preserve">If translational reinitiation is demonstrated, it would establish a structurally unprecedented route to phenocopying classical PPAP — with implications for how premature stop codons are interpreted across the genome, not just in POLE.</w:t>
      </w:r>
    </w:p>
    <w:p>
      <w:pPr>
        <w:spacing w:after="160" w:line="276"/>
        <w:jc w:val="both"/>
      </w:pPr>
      <w:r>
        <w:rPr>
          <w:rFonts w:ascii="Arial" w:cs="Arial" w:eastAsia="Arial" w:hAnsi="Arial"/>
          <w:color w:val="2C3E50"/>
          <w:sz w:val="22"/>
          <w:szCs w:val="22"/>
        </w:rPr>
        <w:t xml:space="preserve">If replication stress-dependent haploinsufficiency is confirmed, it would prove that POLE proofreading operates closer to a threshold than a linear dose-response, fundamentally altering cancer risk models for all POLE heterozygous carriers.</w:t>
      </w:r>
    </w:p>
    <w:p>
      <w:pPr>
        <w:spacing w:after="160" w:line="276"/>
        <w:jc w:val="both"/>
      </w:pPr>
      <w:r>
        <w:rPr>
          <w:rFonts w:ascii="Arial" w:cs="Arial" w:eastAsia="Arial" w:hAnsi="Arial"/>
          <w:color w:val="2C3E50"/>
          <w:sz w:val="22"/>
          <w:szCs w:val="22"/>
        </w:rPr>
        <w:t xml:space="preserve">Regardless of which mechanism is operative, the ultra-hypermutated phenotype opens immediate and concrete therapeutic opportunities: immune checkpoint inhibitor therapy with strong published evidence of efficacy, personalized neoantigen vaccination leveraging the extraordinary neoantigen load, and synthetic lethality strategies exploiting the ATR-CHK1 replication stress pathway vulnerability. Blood-based assays — duplex sequencing, ctDNA monitoring, immune profiling — can simultaneously drive mechanistic understanding and real-time clinical management.</w:t>
      </w:r>
    </w:p>
    <w:p>
      <w:pPr>
        <w:spacing w:after="160" w:line="276"/>
        <w:jc w:val="both"/>
      </w:pPr>
      <w:r>
        <w:rPr>
          <w:rFonts w:ascii="Arial" w:cs="Arial" w:eastAsia="Arial" w:hAnsi="Arial"/>
          <w:b/>
          <w:bCs/>
          <w:i/>
          <w:iCs/>
          <w:color w:val="1B4F72"/>
          <w:sz w:val="22"/>
          <w:szCs w:val="22"/>
        </w:rPr>
        <w:t xml:space="preserve">This single variant, properly investigated, could restructure the clinical genetics framework for an entire gene.</w:t>
      </w:r>
    </w:p>
    <w:sectPr>
      <w:headerReference w:type="default" r:id="rId7"/>
      <w:footerReference w:type="default" r:id="rId8"/>
      <w:pgSz w:w="12240" w:h="15840" w:orient="portrait"/>
      <w:pgMar w:top="1440"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D7E"/>
        <w:sz w:val="18"/>
        <w:szCs w:val="18"/>
      </w:rPr>
      <w:t xml:space="preserve">Page </w:t>
    </w:r>
    <w:r>
      <w:rPr>
        <w:rFonts w:ascii="Arial" w:cs="Arial" w:eastAsia="Arial" w:hAnsi="Arial"/>
        <w:color w:val="5D6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D6D7E"/>
        <w:sz w:val="18"/>
        <w:szCs w:val="18"/>
      </w:rPr>
      <w:t xml:space="preserve">POLE c.138del Research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B4F72"/>
      <w:sz w:val="32"/>
      <w:szCs w:val="32"/>
    </w:rPr>
  </w:style>
  <w:style w:type="paragraph" w:styleId="Heading2">
    <w:name w:val="Heading 2"/>
    <w:basedOn w:val="Normal"/>
    <w:next w:val="Normal"/>
    <w:qFormat/>
    <w:pPr>
      <w:spacing w:after="160" w:before="280"/>
      <w:outlineLvl w:val="1"/>
    </w:pPr>
    <w:rPr>
      <w:rFonts w:ascii="Georgia" w:cs="Georgia" w:eastAsia="Georgia" w:hAnsi="Georgia"/>
      <w:b/>
      <w:bCs/>
      <w:color w:val="0E66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2026-04-14T19:37:27.977Z</dcterms:created>
  <dcterms:modified xsi:type="dcterms:W3CDTF">2026-04-14T19:37:27.978Z</dcterms:modified>
</cp:coreProperties>
</file>

<file path=docProps/custom.xml><?xml version="1.0" encoding="utf-8"?>
<Properties xmlns="http://schemas.openxmlformats.org/officeDocument/2006/custom-properties" xmlns:vt="http://schemas.openxmlformats.org/officeDocument/2006/docPropsVTypes"/>
</file>