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A365D"/>
            <w:tcMar>
              <w:top w:w="200" w:type="dxa"/>
              <w:bottom w:w="200" w:type="dxa"/>
              <w:left w:w="240" w:type="dxa"/>
              <w:right w:w="240" w:type="dxa"/>
            </w:tcMar>
          </w:tcPr>
          <w:p>
            <w:pPr>
              <w:jc w:val="center"/>
            </w:pPr>
            <w:r>
              <w:rPr>
                <w:rFonts w:ascii="Arial" w:hAnsi="Arial"/>
                <w:b/>
                <w:color w:val="0D9488"/>
                <w:sz w:val="20"/>
              </w:rPr>
              <w:t>BÀI THỰC HÀNH KỸ NĂNG SỐ – BÁO CÁO CÔNG NGHỆ SỐ</w:t>
              <w:br/>
            </w:r>
            <w:r>
              <w:rPr>
                <w:rFonts w:ascii="Arial" w:hAnsi="Arial"/>
                <w:b/>
                <w:color w:val="FFFFFF"/>
                <w:sz w:val="36"/>
              </w:rPr>
              <w:t>NGHIÊN CỨU CÔNG NGHỆ ĐIỆN TOÁN ĐÁM MÂY</w:t>
              <w:br/>
              <w:t>(CLOUD COMPUTING)</w:t>
            </w:r>
          </w:p>
          <w:p>
            <w:pPr>
              <w:spacing w:after="0"/>
              <w:jc w:val="center"/>
            </w:pPr>
            <w:r>
              <w:rPr>
                <w:rFonts w:ascii="Calibri" w:hAnsi="Calibri"/>
                <w:i/>
                <w:color w:val="E2E8F0"/>
                <w:sz w:val="20"/>
              </w:rPr>
              <w:t>Họ và tên sinh viên: Mã số sinh viên | Lớp Kỹ năng số 2026</w:t>
            </w:r>
          </w:p>
        </w:tc>
      </w:tr>
    </w:tbl>
    <w:p/>
    <w:p>
      <w:pPr>
        <w:keepNext/>
        <w:spacing w:before="280" w:after="120"/>
      </w:pPr>
      <w:r>
        <w:rPr>
          <w:rFonts w:ascii="Arial" w:hAnsi="Arial"/>
          <w:b/>
          <w:color w:val="1A365D"/>
          <w:sz w:val="28"/>
        </w:rPr>
        <w:t>1. Khái niệm về Điện toán đám mây (Khoảng 100 từ)</w:t>
      </w:r>
    </w:p>
    <w:p>
      <w:pPr>
        <w:jc w:val="both"/>
      </w:pPr>
      <w:r>
        <w:rPr>
          <w:b/>
        </w:rPr>
        <w:t xml:space="preserve">Điện toán đám mây (Cloud Computing) </w:t>
      </w:r>
      <w:r>
        <w:t>là mô hình cung cấp các tài nguyên công nghệ thông tin như máy chủ, không gian lưu trữ, cơ sở dữ liệu, mạng và ứng dụng phần mềm thông qua kết nối Internet theo nhu cầu (on-demand). Thay vì phải đầu tư, xây dựng và tự vận hành hạ tầng máy chủ vật lý tốn kém tại chỗ, người dùng và doanh nghiệp có thể linh hoạt truy cập các dịch vụ điện toán từ bất kỳ đâu, bất kỳ lúc nào với chi phí quản lý thấp. Điện toán đám mây được phân thành ba mô hình dịch vụ nòng cốt bao gồm: Hạ tầng như một dịch vụ (IaaS), Nền tảng như một dịch vụ (PaaS) và Phần mềm như một dịch vụ (SaaS).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24" w:space="0" w:color="0D9488"/>
              <w:top w:val="none"/>
              <w:right w:val="none"/>
              <w:bottom w:val="none"/>
            </w:tcBorders>
          </w:tcPr>
          <w:p>
            <w:pPr>
              <w:spacing w:after="0"/>
            </w:pPr>
            <w:r>
              <w:rPr>
                <w:b/>
                <w:color w:val="0D9488"/>
              </w:rPr>
              <w:t xml:space="preserve">📌 Điểm cốt lõi: </w:t>
            </w:r>
            <w:r>
              <w:t>Điện toán đám mây chuyển dịch mô hình chi phí từ đầu tư hạ tầng cố định (CapEx) sang chi phí vận hành linh hoạt theo nhu cầu thực tế (OpEx), hình thành nền tảng cho chuyển đổi số quốc gia.</w:t>
            </w:r>
          </w:p>
        </w:tc>
      </w:tr>
    </w:tbl>
    <w:p/>
    <w:p>
      <w:pPr>
        <w:keepNext/>
        <w:spacing w:before="280" w:after="120"/>
      </w:pPr>
      <w:r>
        <w:rPr>
          <w:rFonts w:ascii="Arial" w:hAnsi="Arial"/>
          <w:b/>
          <w:color w:val="1A365D"/>
          <w:sz w:val="28"/>
        </w:rPr>
        <w:t>2. Đặc điểm cốt lõi của Điện toán đám mây</w:t>
      </w:r>
    </w:p>
    <w:p>
      <w:pPr>
        <w:spacing w:after="80"/>
        <w:ind w:left="360"/>
      </w:pPr>
      <w:r>
        <w:rPr>
          <w:b/>
          <w:color w:val="0D9488"/>
        </w:rPr>
        <w:t xml:space="preserve">• </w:t>
      </w:r>
      <w:r>
        <w:rPr>
          <w:b/>
          <w:color w:val="1A365D"/>
        </w:rPr>
        <w:t>Truy cập linh hoạt mọi lúc, mọi nơi:</w:t>
      </w:r>
      <w:r>
        <w:t xml:space="preserve"> Người dùng có thể dễ dàng khai thác, lưu trữ và xử lý dữ liệu từ đa dạng thiết bị (máy tính, điện thoại thông minh, máy tính bảng) chỉ cần có kết nối Internet.</w:t>
      </w:r>
    </w:p>
    <w:p>
      <w:pPr>
        <w:spacing w:after="80"/>
        <w:ind w:left="360"/>
      </w:pPr>
      <w:r>
        <w:rPr>
          <w:b/>
          <w:color w:val="0D9488"/>
        </w:rPr>
        <w:t xml:space="preserve">• </w:t>
      </w:r>
      <w:r>
        <w:rPr>
          <w:b/>
          <w:color w:val="1A365D"/>
        </w:rPr>
        <w:t>Khả năng mở rộng tài nguyên tự động (Elasticity &amp; Scalability):</w:t>
      </w:r>
      <w:r>
        <w:t xml:space="preserve"> Hệ thống cho phép tăng hoặc giảm dung lượng lưu trữ và năng lực tính toán tức thì theo nhu cầu sử dụng thực tế mà không gây gián đoạn dịch vụ.</w:t>
      </w:r>
    </w:p>
    <w:p>
      <w:pPr>
        <w:spacing w:after="80"/>
        <w:ind w:left="360"/>
      </w:pPr>
      <w:r>
        <w:rPr>
          <w:b/>
          <w:color w:val="0D9488"/>
        </w:rPr>
        <w:t xml:space="preserve">• </w:t>
      </w:r>
      <w:r>
        <w:rPr>
          <w:b/>
          <w:color w:val="1A365D"/>
        </w:rPr>
        <w:t>Tối ưu hóa chi phí và quản lý:</w:t>
      </w:r>
      <w:r>
        <w:t xml:space="preserve"> Giảm thiểu chi phí đầu tư mua sắm phần cứng, chi phí bảo trì và vận hành hệ thống; doanh nghiệp chỉ trả tiền cho những tài nguyên thực sự sử dụng (Pay-as-you-go).</w:t>
      </w:r>
    </w:p>
    <w:p>
      <w:pPr>
        <w:spacing w:after="80"/>
        <w:ind w:left="360"/>
      </w:pPr>
      <w:r>
        <w:rPr>
          <w:b/>
          <w:color w:val="0D9488"/>
        </w:rPr>
        <w:t xml:space="preserve">• </w:t>
      </w:r>
      <w:r>
        <w:rPr>
          <w:b/>
          <w:color w:val="1A365D"/>
        </w:rPr>
        <w:t>Chia sẻ và cộng tác thời gian thực:</w:t>
      </w:r>
      <w:r>
        <w:t xml:space="preserve"> Cho phép nhiều người dùng đồng thời truy cập, chỉnh sửa, phân quyền và đồng bộ hóa tài liệu tức thì, nâng cao hiệu quả làm việc nhóm số.</w:t>
      </w:r>
    </w:p>
    <w:p>
      <w:pPr>
        <w:spacing w:after="80"/>
        <w:ind w:left="360"/>
      </w:pPr>
      <w:r>
        <w:rPr>
          <w:b/>
          <w:color w:val="0D9488"/>
        </w:rPr>
        <w:t xml:space="preserve">• </w:t>
      </w:r>
      <w:r>
        <w:rPr>
          <w:b/>
          <w:color w:val="1A365D"/>
        </w:rPr>
        <w:t>An toàn dữ liệu và sao lưu tự động:</w:t>
      </w:r>
      <w:r>
        <w:t xml:space="preserve"> Dữ liệu được sao lưu định kỳ trên các trung tâm dữ liệu phân tán, đảm bảo tính sẵn sàng cao và khôi phục nhanh chóng khi gặp sự cố kỹ thuật.</w:t>
      </w:r>
    </w:p>
    <w:p/>
    <w:p>
      <w:pPr>
        <w:keepNext/>
        <w:spacing w:before="280" w:after="120"/>
      </w:pPr>
      <w:r>
        <w:rPr>
          <w:rFonts w:ascii="Arial" w:hAnsi="Arial"/>
          <w:b/>
          <w:color w:val="1A365D"/>
          <w:sz w:val="28"/>
        </w:rPr>
        <w:t>3. Các lĩnh vực ứng dụng tiêu biểu</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A365D"/>
            <w:tcMar>
              <w:top w:w="120" w:type="dxa"/>
              <w:bottom w:w="120" w:type="dxa"/>
              <w:left w:w="120" w:type="dxa"/>
              <w:right w:w="120" w:type="dxa"/>
            </w:tcMar>
          </w:tcPr>
          <w:p>
            <w:pPr>
              <w:jc w:val="left"/>
            </w:pPr>
            <w:r>
              <w:rPr>
                <w:b/>
                <w:color w:val="FFFFFF"/>
                <w:sz w:val="20"/>
              </w:rPr>
              <w:t>Lĩnh vực ứng dụng</w:t>
            </w:r>
          </w:p>
        </w:tc>
        <w:tc>
          <w:tcPr>
            <w:tcW w:type="dxa" w:w="3312"/>
            <w:shd w:fill="1A365D"/>
            <w:tcMar>
              <w:top w:w="120" w:type="dxa"/>
              <w:bottom w:w="120" w:type="dxa"/>
              <w:left w:w="120" w:type="dxa"/>
              <w:right w:w="120" w:type="dxa"/>
            </w:tcMar>
          </w:tcPr>
          <w:p>
            <w:pPr>
              <w:jc w:val="left"/>
            </w:pPr>
            <w:r>
              <w:rPr>
                <w:b/>
                <w:color w:val="FFFFFF"/>
                <w:sz w:val="20"/>
              </w:rPr>
              <w:t>Mô tả giải pháp đám mây</w:t>
            </w:r>
          </w:p>
        </w:tc>
        <w:tc>
          <w:tcPr>
            <w:tcW w:type="dxa" w:w="3888"/>
            <w:shd w:fill="1A365D"/>
            <w:tcMar>
              <w:top w:w="120" w:type="dxa"/>
              <w:bottom w:w="120" w:type="dxa"/>
              <w:left w:w="120" w:type="dxa"/>
              <w:right w:w="120" w:type="dxa"/>
            </w:tcMar>
          </w:tcPr>
          <w:p>
            <w:pPr>
              <w:jc w:val="left"/>
            </w:pPr>
            <w:r>
              <w:rPr>
                <w:b/>
                <w:color w:val="FFFFFF"/>
                <w:sz w:val="20"/>
              </w:rPr>
              <w:t>Lợi ích thực tiễn mang lại</w:t>
            </w:r>
          </w:p>
        </w:tc>
      </w:tr>
      <w:tr>
        <w:tc>
          <w:tcPr>
            <w:tcW w:type="dxa" w:w="2160"/>
            <w:shd w:fill="F7FAFC"/>
            <w:tcMar>
              <w:top w:w="100" w:type="dxa"/>
              <w:bottom w:w="100" w:type="dxa"/>
              <w:left w:w="120" w:type="dxa"/>
              <w:right w:w="120" w:type="dxa"/>
            </w:tcMar>
          </w:tcPr>
          <w:p>
            <w:pPr>
              <w:jc w:val="left"/>
            </w:pPr>
            <w:r>
              <w:rPr>
                <w:b/>
                <w:color w:val="1A365D"/>
                <w:sz w:val="19"/>
              </w:rPr>
              <w:t>Lưu trữ &amp; Sao lưu dữ liệu</w:t>
            </w:r>
          </w:p>
        </w:tc>
        <w:tc>
          <w:tcPr>
            <w:tcW w:type="dxa" w:w="3312"/>
            <w:shd w:fill="F7FAFC"/>
            <w:tcMar>
              <w:top w:w="100" w:type="dxa"/>
              <w:bottom w:w="100" w:type="dxa"/>
              <w:left w:w="120" w:type="dxa"/>
              <w:right w:w="120" w:type="dxa"/>
            </w:tcMar>
          </w:tcPr>
          <w:p>
            <w:pPr>
              <w:jc w:val="left"/>
            </w:pPr>
            <w:r>
              <w:rPr>
                <w:sz w:val="19"/>
              </w:rPr>
              <w:t>Cung cấp không gian lưu trữ trực tuyến tập trung (Cloud Storage), đồng bộ tự động giữa các thiết bị cá nhân và doanh nghiệp.</w:t>
            </w:r>
          </w:p>
        </w:tc>
        <w:tc>
          <w:tcPr>
            <w:tcW w:type="dxa" w:w="3888"/>
            <w:shd w:fill="F7FAFC"/>
            <w:tcMar>
              <w:top w:w="100" w:type="dxa"/>
              <w:bottom w:w="100" w:type="dxa"/>
              <w:left w:w="120" w:type="dxa"/>
              <w:right w:w="120" w:type="dxa"/>
            </w:tcMar>
          </w:tcPr>
          <w:p>
            <w:pPr>
              <w:jc w:val="left"/>
            </w:pPr>
            <w:r>
              <w:rPr>
                <w:sz w:val="19"/>
              </w:rPr>
              <w:t>Tránh mất mát dữ liệu do hỏng hóc thiết bị vật lý; dễ dàng truy xuất dữ liệu mọi lúc mọi nơi.</w:t>
            </w:r>
          </w:p>
        </w:tc>
      </w:tr>
      <w:tr>
        <w:tc>
          <w:tcPr>
            <w:tcW w:type="dxa" w:w="2160"/>
            <w:shd w:fill="FFFFFF"/>
            <w:tcMar>
              <w:top w:w="100" w:type="dxa"/>
              <w:bottom w:w="100" w:type="dxa"/>
              <w:left w:w="120" w:type="dxa"/>
              <w:right w:w="120" w:type="dxa"/>
            </w:tcMar>
          </w:tcPr>
          <w:p>
            <w:pPr>
              <w:jc w:val="left"/>
            </w:pPr>
            <w:r>
              <w:rPr>
                <w:b/>
                <w:color w:val="1A365D"/>
                <w:sz w:val="19"/>
              </w:rPr>
              <w:t>Cộng tác &amp; Làm việc nhóm</w:t>
            </w:r>
          </w:p>
        </w:tc>
        <w:tc>
          <w:tcPr>
            <w:tcW w:type="dxa" w:w="3312"/>
            <w:shd w:fill="FFFFFF"/>
            <w:tcMar>
              <w:top w:w="100" w:type="dxa"/>
              <w:bottom w:w="100" w:type="dxa"/>
              <w:left w:w="120" w:type="dxa"/>
              <w:right w:w="120" w:type="dxa"/>
            </w:tcMar>
          </w:tcPr>
          <w:p>
            <w:pPr>
              <w:jc w:val="left"/>
            </w:pPr>
            <w:r>
              <w:rPr>
                <w:sz w:val="19"/>
              </w:rPr>
              <w:t>Cung cấp các bộ ứng dụng văn phòng trực tuyến (SaaS) hỗ trợ đồng biên tập tài liệu và họp trực tuyến theo thời gian thực.</w:t>
            </w:r>
          </w:p>
        </w:tc>
        <w:tc>
          <w:tcPr>
            <w:tcW w:type="dxa" w:w="3888"/>
            <w:shd w:fill="FFFFFF"/>
            <w:tcMar>
              <w:top w:w="100" w:type="dxa"/>
              <w:bottom w:w="100" w:type="dxa"/>
              <w:left w:w="120" w:type="dxa"/>
              <w:right w:w="120" w:type="dxa"/>
            </w:tcMar>
          </w:tcPr>
          <w:p>
            <w:pPr>
              <w:jc w:val="left"/>
            </w:pPr>
            <w:r>
              <w:rPr>
                <w:sz w:val="19"/>
              </w:rPr>
              <w:t>Tối ưu quy trình làm việc nhóm, loại bỏ việc gửi nhiều phiên bản tệp qua email, tăng tốc độ xử lý công việc.</w:t>
            </w:r>
          </w:p>
        </w:tc>
      </w:tr>
      <w:tr>
        <w:tc>
          <w:tcPr>
            <w:tcW w:type="dxa" w:w="2160"/>
            <w:shd w:fill="F7FAFC"/>
            <w:tcMar>
              <w:top w:w="100" w:type="dxa"/>
              <w:bottom w:w="100" w:type="dxa"/>
              <w:left w:w="120" w:type="dxa"/>
              <w:right w:w="120" w:type="dxa"/>
            </w:tcMar>
          </w:tcPr>
          <w:p>
            <w:pPr>
              <w:jc w:val="left"/>
            </w:pPr>
            <w:r>
              <w:rPr>
                <w:b/>
                <w:color w:val="1A365D"/>
                <w:sz w:val="19"/>
              </w:rPr>
              <w:t>Quản trị Giáo dục &amp; LMS</w:t>
            </w:r>
          </w:p>
        </w:tc>
        <w:tc>
          <w:tcPr>
            <w:tcW w:type="dxa" w:w="3312"/>
            <w:shd w:fill="F7FAFC"/>
            <w:tcMar>
              <w:top w:w="100" w:type="dxa"/>
              <w:bottom w:w="100" w:type="dxa"/>
              <w:left w:w="120" w:type="dxa"/>
              <w:right w:w="120" w:type="dxa"/>
            </w:tcMar>
          </w:tcPr>
          <w:p>
            <w:pPr>
              <w:jc w:val="left"/>
            </w:pPr>
            <w:r>
              <w:rPr>
                <w:sz w:val="19"/>
              </w:rPr>
              <w:t>Triển khai hệ thống quản lý học tập (LMS), lưu trữ bài giảng, bài kiểm tra và theo dõi tiến độ học tập của sinh viên.</w:t>
            </w:r>
          </w:p>
        </w:tc>
        <w:tc>
          <w:tcPr>
            <w:tcW w:type="dxa" w:w="3888"/>
            <w:shd w:fill="F7FAFC"/>
            <w:tcMar>
              <w:top w:w="100" w:type="dxa"/>
              <w:bottom w:w="100" w:type="dxa"/>
              <w:left w:w="120" w:type="dxa"/>
              <w:right w:w="120" w:type="dxa"/>
            </w:tcMar>
          </w:tcPr>
          <w:p>
            <w:pPr>
              <w:jc w:val="left"/>
            </w:pPr>
            <w:r>
              <w:rPr>
                <w:sz w:val="19"/>
              </w:rPr>
              <w:t>Cá nhân hóa lộ trình học tập, tự động hóa khâu điểm danh, giảm tải cho hạ tầng máy chủ của nhà trường.</w:t>
            </w:r>
          </w:p>
        </w:tc>
      </w:tr>
    </w:tbl>
    <w:p/>
    <w:p>
      <w:pPr>
        <w:keepNext/>
        <w:spacing w:before="280" w:after="120"/>
      </w:pPr>
      <w:r>
        <w:rPr>
          <w:rFonts w:ascii="Arial" w:hAnsi="Arial"/>
          <w:b/>
          <w:color w:val="1A365D"/>
          <w:sz w:val="28"/>
        </w:rPr>
        <w:t>4. Ví dụ thực tế tại Việt Nam (Cloud → Google Drive → OneDrive)</w:t>
      </w:r>
    </w:p>
    <w:p>
      <w:pPr>
        <w:jc w:val="both"/>
      </w:pPr>
      <w:r>
        <w:t>Tại Việt Nam, công nghệ Điện toán đám mây đã trở thành hạ tầng số thiết yếu trong học tập, doanh nghiệp và cơ quan nhà nước. Lộ trình ứng dụng thực tế phát triển mạnh mẽ từ mô hình hạ tầng chung đến các ứng dụng lưu trữ và cộng tác phổ biến:</w:t>
      </w:r>
    </w:p>
    <w:p>
      <w:pPr>
        <w:spacing w:after="80"/>
        <w:ind w:left="288"/>
      </w:pPr>
      <w:r>
        <w:rPr>
          <w:b/>
          <w:color w:val="1A365D"/>
        </w:rPr>
        <w:t>👉 Cloud Computing (Hạ tầng số nền tảng):</w:t>
      </w:r>
      <w:r>
        <w:t xml:space="preserve"> Cung cấp môi trường lưu trữ và xử lý dữ liệu trên Internet. Các trường đại học và doanh nghiệp Việt Nam chuyển đổi từ máy chủ truyền thống sang hạ tầng đám mây để vận hành hệ thống LMS, phần mềm ERP và các ứng dụng dịch vụ công trực tuyến.</w:t>
      </w:r>
    </w:p>
    <w:p>
      <w:pPr>
        <w:spacing w:after="80"/>
        <w:ind w:left="288"/>
      </w:pPr>
      <w:r>
        <w:rPr>
          <w:b/>
          <w:color w:val="1A365D"/>
        </w:rPr>
        <w:t>👉 Google Drive (Hệ sinh thái Google Workspace):</w:t>
      </w:r>
      <w:r>
        <w:t xml:space="preserve"> Nền tảng lưu trữ đám mây được sử dụng phổ biến nhất bởi sinh viên và giảng viên tại Việt Nam. Google Drive cho phép tạo cấu trúc thư mục học tập (Bài giảng, Bài tập, Tài liệu tham khảo), thiết lập phân quyền truy cập minh bạch (Viewer, Commenter, Editor) và đồng biên tập báo cáo trực tiếp trên Google Docs/Sheets mà không lo thất lạc phiên bản.</w:t>
      </w:r>
    </w:p>
    <w:p>
      <w:pPr>
        <w:spacing w:after="80"/>
        <w:ind w:left="288"/>
      </w:pPr>
      <w:r>
        <w:rPr>
          <w:b/>
          <w:color w:val="1A365D"/>
        </w:rPr>
        <w:t>👉 Microsoft OneDrive (Hệ sinh thái Microsoft 365):</w:t>
      </w:r>
      <w:r>
        <w:t xml:space="preserve"> Dịch vụ lưu trữ đám mây tích hợp sâu trong hệ điều hành Windows và bộ ứng dụng Office. Sinh viên Việt Nam lưu trữ bài thuyết trình PowerPoint, báo cáo Word và bảng tính Excel trên OneDrive để tự động đồng bộ giữa máy tính cá nhân và máy tính phòng thực hành, giúp việc bảo vệ và trình chiếu tài liệu diễn ra thuận lợi.</w:t>
      </w:r>
    </w:p>
    <w:p/>
    <w:p>
      <w:pPr>
        <w:keepNext/>
        <w:spacing w:before="280" w:after="120"/>
      </w:pPr>
      <w:r>
        <w:rPr>
          <w:rFonts w:ascii="Arial" w:hAnsi="Arial"/>
          <w:b/>
          <w:color w:val="1A365D"/>
          <w:sz w:val="28"/>
        </w:rPr>
        <w:t>5. Nhận xét &amp; Đánh giá cá nhân (Khoảng 150 từ)</w:t>
      </w:r>
    </w:p>
    <w:p>
      <w:pPr>
        <w:jc w:val="both"/>
      </w:pPr>
      <w:r>
        <w:t xml:space="preserve">Theo em, </w:t>
      </w:r>
      <w:r>
        <w:rPr>
          <w:b/>
        </w:rPr>
        <w:t xml:space="preserve">Điện toán đám mây (Cloud Computing) </w:t>
      </w:r>
      <w:r>
        <w:t>chính là một trong những công nghệ số có ảnh hưởng trực tiếp và sâu sắc nhất đến nghề nghiệp tương lai của bản thân. Trong bối cảnh môi trường làm việc hiện đại hướng tới mô hình linh hoạt (Hybrid Work) và chuyển đổi số toàn diện, khả năng quản lý tri thức, lưu trữ dữ liệu an toàn và cộng tác hiệu quả trên nền tảng đám mây đã trở thành một yêu cầu năng lực số bắt buộc đối với mọi người lao động. Việc thành thạo các công cụ như Google Drive, OneDrive hay các hệ thống quản trị đám mây không chỉ giúp em tối ưu hóa thời gian học tập, làm việc nhóm và bảo mật dữ liệu cá nhân, mà còn giúp em sẵn sàng thích ứng với sự phát triển của các công nghệ tiên tiến khác như AI và Big Data – vốn đều vận hành trên hạ tầng đám mây. Do đó, chủ động rèn luyện kỹ năng quản lý dữ liệu đám mây và tư duy công nghệ số chính là bước chuẩn bị quan trọng để xây dựng sự nghiệp bền vững trong kỷ nguyên số.</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BÁO CÁO NGHIÊN CỨU CÔNG NGHỆ SỐ | DỰ ÁN KỸ NĂNG SỐ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