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rFonts w:ascii="Calibri" w:cs="Calibri" w:eastAsia="Calibri" w:hAnsi="Calibri"/>
          <w:b/>
          <w:bCs/>
          <w:color w:val="1F3864"/>
          <w:sz w:val="52"/>
          <w:szCs w:val="52"/>
        </w:rPr>
        <w:t xml:space="preserve">Guía de estudio N.º 1</w:t>
      </w:r>
    </w:p>
    <w:p>
      <w:pPr>
        <w:pBdr>
          <w:bottom w:val="single" w:color="2E5597" w:sz="12" w:space="6"/>
        </w:pBdr>
        <w:spacing w:after="360"/>
      </w:pPr>
      <w:r>
        <w:rPr>
          <w:rFonts w:ascii="Calibri" w:cs="Calibri" w:eastAsia="Calibri" w:hAnsi="Calibri"/>
          <w:color w:val="2E5597"/>
          <w:sz w:val="36"/>
          <w:szCs w:val="36"/>
        </w:rPr>
        <w:t xml:space="preserve">Gestión Pública Intercultural</w:t>
      </w:r>
    </w:p>
    <w:p>
      <w:pPr>
        <w:spacing w:after="120" w:line="276"/>
      </w:pPr>
      <w:r>
        <w:rPr>
          <w:b/>
          <w:bCs/>
        </w:rPr>
        <w:t xml:space="preserve">Unidades:</w:t>
      </w:r>
      <w:r>
        <w:t xml:space="preserve"> políticas públicas · interculturalidad · demandas actuales del pueblo mapuche
</w:t>
      </w:r>
      <w:r>
        <w:rPr>
          <w:b/>
          <w:bCs/>
        </w:rPr>
        <w:t xml:space="preserve">Nivel:</w:t>
      </w:r>
      <w:r>
        <w:t xml:space="preserve"> pregrado avanzado
</w:t>
      </w:r>
      <w:r>
        <w:rPr>
          <w:b/>
          <w:bCs/>
        </w:rPr>
        <w:t xml:space="preserve">Fuentes base:</w:t>
      </w:r>
      <w:r>
        <w:t xml:space="preserve"> Lahera (2004); Walsh (2009); Soto (s.f.-a, s.f.-b, s.f.-c)</w:t>
      </w:r>
    </w:p>
    <w:p>
      <w:r>
        <w:br w:type="page"/>
      </w:r>
    </w:p>
    <w:p>
      <w:pPr>
        <w:pStyle w:val="Heading1"/>
      </w:pPr>
      <w:r>
        <w:t xml:space="preserve">Índice</w:t>
      </w:r>
    </w:p>
    <w:p>
      <w:pPr>
        <w:spacing w:after="20" w:before="0"/>
        <w:ind w:left="360"/>
      </w:pPr>
      <w:hyperlink w:history="1" w:anchor="sec_1">
        <w:r>
          <w:rPr>
            <w:b w:val="false"/>
            <w:bCs w:val="false"/>
            <w:color w:val="333333"/>
            <w:sz w:val="19"/>
            <w:szCs w:val="19"/>
          </w:rPr>
          <w:t xml:space="preserve">Mapa del temario</w:t>
        </w:r>
      </w:hyperlink>
    </w:p>
    <w:p>
      <w:pPr>
        <w:spacing w:after="20" w:before="100"/>
        <w:ind w:left="0"/>
      </w:pPr>
      <w:hyperlink w:history="1" w:anchor="sec_2">
        <w:r>
          <w:rPr>
            <w:b/>
            <w:bCs/>
            <w:color w:val="1F3864"/>
            <w:sz w:val="21"/>
            <w:szCs w:val="21"/>
          </w:rPr>
          <w:t xml:space="preserve">1. Matrices conceptuales comparativas</w:t>
        </w:r>
      </w:hyperlink>
    </w:p>
    <w:p>
      <w:pPr>
        <w:spacing w:after="20" w:before="0"/>
        <w:ind w:left="360"/>
      </w:pPr>
      <w:hyperlink w:history="1" w:anchor="sec_3">
        <w:r>
          <w:rPr>
            <w:b w:val="false"/>
            <w:bCs w:val="false"/>
            <w:color w:val="333333"/>
            <w:sz w:val="19"/>
            <w:szCs w:val="19"/>
          </w:rPr>
          <w:t xml:space="preserve">1.1 Polity, politics y policy</w:t>
        </w:r>
      </w:hyperlink>
    </w:p>
    <w:p>
      <w:pPr>
        <w:spacing w:after="20" w:before="0"/>
        <w:ind w:left="360"/>
      </w:pPr>
      <w:hyperlink w:history="1" w:anchor="sec_4">
        <w:r>
          <w:rPr>
            <w:b w:val="false"/>
            <w:bCs w:val="false"/>
            <w:color w:val="333333"/>
            <w:sz w:val="19"/>
            <w:szCs w:val="19"/>
          </w:rPr>
          <w:t xml:space="preserve">1.2 Dos definiciones de política pública</w:t>
        </w:r>
      </w:hyperlink>
    </w:p>
    <w:p>
      <w:pPr>
        <w:spacing w:after="20" w:before="0"/>
        <w:ind w:left="360"/>
      </w:pPr>
      <w:hyperlink w:history="1" w:anchor="sec_5">
        <w:r>
          <w:rPr>
            <w:b w:val="false"/>
            <w:bCs w:val="false"/>
            <w:color w:val="333333"/>
            <w:sz w:val="19"/>
            <w:szCs w:val="19"/>
          </w:rPr>
          <w:t xml:space="preserve">1.3 Política y políticas públicas: una relación recíproca (Lahera)</w:t>
        </w:r>
      </w:hyperlink>
    </w:p>
    <w:p>
      <w:pPr>
        <w:spacing w:after="20" w:before="0"/>
        <w:ind w:left="360"/>
      </w:pPr>
      <w:hyperlink w:history="1" w:anchor="sec_6">
        <w:r>
          <w:rPr>
            <w:b w:val="false"/>
            <w:bCs w:val="false"/>
            <w:color w:val="333333"/>
            <w:sz w:val="19"/>
            <w:szCs w:val="19"/>
          </w:rPr>
          <w:t xml:space="preserve">1.4 El ciclo de políticas públicas: el modelo de clase y las etapas de Lahera</w:t>
        </w:r>
      </w:hyperlink>
    </w:p>
    <w:p>
      <w:pPr>
        <w:spacing w:after="20" w:before="0"/>
        <w:ind w:left="360"/>
      </w:pPr>
      <w:hyperlink w:history="1" w:anchor="sec_7">
        <w:r>
          <w:rPr>
            <w:b w:val="false"/>
            <w:bCs w:val="false"/>
            <w:color w:val="333333"/>
            <w:sz w:val="19"/>
            <w:szCs w:val="19"/>
          </w:rPr>
          <w:t xml:space="preserve">1.5 Ventanas de oportunidad</w:t>
        </w:r>
      </w:hyperlink>
    </w:p>
    <w:p>
      <w:pPr>
        <w:spacing w:after="20" w:before="0"/>
        <w:ind w:left="360"/>
      </w:pPr>
      <w:hyperlink w:history="1" w:anchor="sec_8">
        <w:r>
          <w:rPr>
            <w:b w:val="false"/>
            <w:bCs w:val="false"/>
            <w:color w:val="333333"/>
            <w:sz w:val="19"/>
            <w:szCs w:val="19"/>
          </w:rPr>
          <w:t xml:space="preserve">1.6 Criterios de factibilidad y política de excelencia</w:t>
        </w:r>
      </w:hyperlink>
    </w:p>
    <w:p>
      <w:pPr>
        <w:spacing w:after="20" w:before="0"/>
        <w:ind w:left="360"/>
      </w:pPr>
      <w:hyperlink w:history="1" w:anchor="sec_9">
        <w:r>
          <w:rPr>
            <w:b w:val="false"/>
            <w:bCs w:val="false"/>
            <w:color w:val="333333"/>
            <w:sz w:val="19"/>
            <w:szCs w:val="19"/>
          </w:rPr>
          <w:t xml:space="preserve">1.7 Modelos de toma de decisión</w:t>
        </w:r>
      </w:hyperlink>
    </w:p>
    <w:p>
      <w:pPr>
        <w:spacing w:after="20" w:before="0"/>
        <w:ind w:left="360"/>
      </w:pPr>
      <w:hyperlink w:history="1" w:anchor="sec_10">
        <w:r>
          <w:rPr>
            <w:b w:val="false"/>
            <w:bCs w:val="false"/>
            <w:color w:val="333333"/>
            <w:sz w:val="19"/>
            <w:szCs w:val="19"/>
          </w:rPr>
          <w:t xml:space="preserve">1.8 Implementación: top-down y bottom-up</w:t>
        </w:r>
      </w:hyperlink>
    </w:p>
    <w:p>
      <w:pPr>
        <w:spacing w:after="20" w:before="0"/>
        <w:ind w:left="360"/>
      </w:pPr>
      <w:hyperlink w:history="1" w:anchor="sec_11">
        <w:r>
          <w:rPr>
            <w:b w:val="false"/>
            <w:bCs w:val="false"/>
            <w:color w:val="333333"/>
            <w:sz w:val="19"/>
            <w:szCs w:val="19"/>
          </w:rPr>
          <w:t xml:space="preserve">1.9 Tres perspectivas de interculturalidad (Walsh): la matriz central de la unidad</w:t>
        </w:r>
      </w:hyperlink>
    </w:p>
    <w:p>
      <w:pPr>
        <w:spacing w:after="20" w:before="0"/>
        <w:ind w:left="360"/>
      </w:pPr>
      <w:hyperlink w:history="1" w:anchor="sec_12">
        <w:r>
          <w:rPr>
            <w:b w:val="false"/>
            <w:bCs w:val="false"/>
            <w:color w:val="333333"/>
            <w:sz w:val="19"/>
            <w:szCs w:val="19"/>
          </w:rPr>
          <w:t xml:space="preserve">1.10 La interculturalidad en la educación y las políticas educativas</w:t>
        </w:r>
      </w:hyperlink>
    </w:p>
    <w:p>
      <w:pPr>
        <w:spacing w:after="20" w:before="0"/>
        <w:ind w:left="360"/>
      </w:pPr>
      <w:hyperlink w:history="1" w:anchor="sec_13">
        <w:r>
          <w:rPr>
            <w:b w:val="false"/>
            <w:bCs w:val="false"/>
            <w:color w:val="333333"/>
            <w:sz w:val="19"/>
            <w:szCs w:val="19"/>
          </w:rPr>
          <w:t xml:space="preserve">1.11 La matriz de la colonialidad</w:t>
        </w:r>
      </w:hyperlink>
    </w:p>
    <w:p>
      <w:pPr>
        <w:spacing w:after="20" w:before="0"/>
        <w:ind w:left="360"/>
      </w:pPr>
      <w:hyperlink w:history="1" w:anchor="sec_14">
        <w:r>
          <w:rPr>
            <w:b w:val="false"/>
            <w:bCs w:val="false"/>
            <w:color w:val="333333"/>
            <w:sz w:val="19"/>
            <w:szCs w:val="19"/>
          </w:rPr>
          <w:t xml:space="preserve">1.12 Los ejes de la Comisión para la Paz y el Entendimiento (2023)</w:t>
        </w:r>
      </w:hyperlink>
    </w:p>
    <w:p>
      <w:pPr>
        <w:spacing w:after="20" w:before="100"/>
        <w:ind w:left="0"/>
      </w:pPr>
      <w:hyperlink w:history="1" w:anchor="sec_15">
        <w:r>
          <w:rPr>
            <w:b/>
            <w:bCs/>
            <w:color w:val="1F3864"/>
            <w:sz w:val="21"/>
            <w:szCs w:val="21"/>
          </w:rPr>
          <w:t xml:space="preserve">2. Casos tipo prueba resueltos</w:t>
        </w:r>
      </w:hyperlink>
    </w:p>
    <w:p>
      <w:pPr>
        <w:spacing w:after="20" w:before="0"/>
        <w:ind w:left="360"/>
      </w:pPr>
      <w:hyperlink w:history="1" w:anchor="sec_16">
        <w:r>
          <w:rPr>
            <w:b w:val="false"/>
            <w:bCs w:val="false"/>
            <w:color w:val="333333"/>
            <w:sz w:val="19"/>
            <w:szCs w:val="19"/>
          </w:rPr>
          <w:t xml:space="preserve">Caso 1. "Plan Comunal Intercultural": ¿declaración o práctica efectiva?</w:t>
        </w:r>
      </w:hyperlink>
    </w:p>
    <w:p>
      <w:pPr>
        <w:spacing w:after="20" w:before="0"/>
        <w:ind w:left="360"/>
      </w:pPr>
      <w:hyperlink w:history="1" w:anchor="sec_17">
        <w:r>
          <w:rPr>
            <w:b w:val="false"/>
            <w:bCs w:val="false"/>
            <w:color w:val="333333"/>
            <w:sz w:val="19"/>
            <w:szCs w:val="19"/>
          </w:rPr>
          <w:t xml:space="preserve">Caso 2. La política de compra de tierras</w:t>
        </w:r>
      </w:hyperlink>
    </w:p>
    <w:p>
      <w:pPr>
        <w:spacing w:after="20" w:before="0"/>
        <w:ind w:left="360"/>
      </w:pPr>
      <w:hyperlink w:history="1" w:anchor="sec_18">
        <w:r>
          <w:rPr>
            <w:b w:val="false"/>
            <w:bCs w:val="false"/>
            <w:color w:val="333333"/>
            <w:sz w:val="19"/>
            <w:szCs w:val="19"/>
          </w:rPr>
          <w:t xml:space="preserve">Caso 3. La Comisión para la Paz y el Entendimiento</w:t>
        </w:r>
      </w:hyperlink>
    </w:p>
    <w:p>
      <w:pPr>
        <w:spacing w:after="20" w:before="0"/>
        <w:ind w:left="360"/>
      </w:pPr>
      <w:hyperlink w:history="1" w:anchor="sec_19">
        <w:r>
          <w:rPr>
            <w:b w:val="false"/>
            <w:bCs w:val="false"/>
            <w:color w:val="333333"/>
            <w:sz w:val="19"/>
            <w:szCs w:val="19"/>
          </w:rPr>
          <w:t xml:space="preserve">Caso 4. Preguntas de desarrollo corto (formato de prueba de contenidos)</w:t>
        </w:r>
      </w:hyperlink>
    </w:p>
    <w:p>
      <w:pPr>
        <w:spacing w:after="20" w:before="100"/>
        <w:ind w:left="0"/>
      </w:pPr>
      <w:hyperlink w:history="1" w:anchor="sec_20">
        <w:r>
          <w:rPr>
            <w:b/>
            <w:bCs/>
            <w:color w:val="1F3864"/>
            <w:sz w:val="21"/>
            <w:szCs w:val="21"/>
          </w:rPr>
          <w:t xml:space="preserve">3. Glosario de conceptos críticos</w:t>
        </w:r>
      </w:hyperlink>
    </w:p>
    <w:p>
      <w:pPr>
        <w:spacing w:after="20" w:before="100"/>
        <w:ind w:left="0"/>
      </w:pPr>
      <w:hyperlink w:history="1" w:anchor="sec_21">
        <w:r>
          <w:rPr>
            <w:b/>
            <w:bCs/>
            <w:color w:val="1F3864"/>
            <w:sz w:val="21"/>
            <w:szCs w:val="21"/>
          </w:rPr>
          <w:t xml:space="preserve">4. Solucionario de la evaluación diagnóstica (tanda 1)</w:t>
        </w:r>
      </w:hyperlink>
    </w:p>
    <w:p>
      <w:pPr>
        <w:spacing w:after="20" w:before="100"/>
        <w:ind w:left="0"/>
      </w:pPr>
      <w:hyperlink w:history="1" w:anchor="sec_22">
        <w:r>
          <w:rPr>
            <w:b/>
            <w:bCs/>
            <w:color w:val="1F3864"/>
            <w:sz w:val="21"/>
            <w:szCs w:val="21"/>
          </w:rPr>
          <w:t xml:space="preserve">5. Checklist antes de la prueba</w:t>
        </w:r>
      </w:hyperlink>
    </w:p>
    <w:p>
      <w:pPr>
        <w:spacing w:after="20" w:before="100"/>
        <w:ind w:left="0"/>
      </w:pPr>
      <w:hyperlink w:history="1" w:anchor="sec_23">
        <w:r>
          <w:rPr>
            <w:b/>
            <w:bCs/>
            <w:color w:val="1F3864"/>
            <w:sz w:val="21"/>
            <w:szCs w:val="21"/>
          </w:rPr>
          <w:t xml:space="preserve">Referencias bibliográficas (APA 7)</w:t>
        </w:r>
      </w:hyperlink>
    </w:p>
    <w:p>
      <w:r>
        <w:br w:type="page"/>
      </w:r>
    </w:p>
    <w:p>
      <w:pPr>
        <w:pStyle w:val="Heading1"/>
      </w:pPr>
      <w:bookmarkStart w:name="sec_0" w:id="1"/>
      <w:r>
        <w:t xml:space="preserve">Cómo usar esta guía</w:t>
      </w:r>
      <w:bookmarkEnd w:id="1"/>
    </w:p>
    <w:p>
      <w:pPr>
        <w:pStyle w:val="ListParagraph"/>
        <w:numPr>
          <w:ilvl w:val="0"/>
          <w:numId w:val="2"/>
        </w:numPr>
        <w:spacing w:after="60" w:line="264"/>
      </w:pPr>
      <w:r>
        <w:rPr>
          <w:b/>
          <w:bCs/>
        </w:rPr>
        <w:t xml:space="preserve">Matrices (sección 1):</w:t>
      </w:r>
      <w:r>
        <w:t xml:space="preserve"> léelas una vez completas. Después tapa las columnas de la derecha y trata de reconstruirlas de memoria.</w:t>
      </w:r>
    </w:p>
    <w:p>
      <w:pPr>
        <w:pStyle w:val="ListParagraph"/>
        <w:numPr>
          <w:ilvl w:val="0"/>
          <w:numId w:val="2"/>
        </w:numPr>
        <w:spacing w:after="60" w:line="264"/>
      </w:pPr>
      <w:r>
        <w:rPr>
          <w:b/>
          <w:bCs/>
        </w:rPr>
        <w:t xml:space="preserve">Casos (sección 2):</w:t>
      </w:r>
      <w:r>
        <w:t xml:space="preserve"> resuelve cada caso </w:t>
      </w:r>
      <w:r>
        <w:rPr>
          <w:b/>
          <w:bCs/>
        </w:rPr>
        <w:t xml:space="preserve">antes</w:t>
      </w:r>
      <w:r>
        <w:t xml:space="preserve"> de leer la respuesta modelo y corrígete con la rúbrica. El tiempo sugerido simula la prueba.</w:t>
      </w:r>
    </w:p>
    <w:p>
      <w:pPr>
        <w:pStyle w:val="ListParagraph"/>
        <w:numPr>
          <w:ilvl w:val="0"/>
          <w:numId w:val="2"/>
        </w:numPr>
        <w:spacing w:after="60" w:line="264"/>
      </w:pPr>
      <w:r>
        <w:rPr>
          <w:b/>
          <w:bCs/>
        </w:rPr>
        <w:t xml:space="preserve">Glosario (sección 3):</w:t>
      </w:r>
      <w:r>
        <w:t xml:space="preserve"> repásalo la noche anterior. Cada definición es breve para que puedas usarla tal cual en una respuesta.</w:t>
      </w:r>
    </w:p>
    <w:p>
      <w:pPr>
        <w:pStyle w:val="ListParagraph"/>
        <w:numPr>
          <w:ilvl w:val="0"/>
          <w:numId w:val="2"/>
        </w:numPr>
        <w:spacing w:after="60" w:line="264"/>
      </w:pPr>
      <w:r>
        <w:rPr>
          <w:b/>
          <w:bCs/>
        </w:rPr>
        <w:t xml:space="preserve">Solucionario (sección 4):</w:t>
      </w:r>
      <w:r>
        <w:t xml:space="preserve"> son las respuestas de la evaluación diagnóstica. Si no la has respondido, hazlo primero.</w:t>
      </w:r>
    </w:p>
    <w:p>
      <w:pPr>
        <w:spacing w:after="60"/>
      </w:pPr>
    </w:p>
    <w:p>
      <w:pPr>
        <w:spacing w:after="120" w:line="276"/>
      </w:pPr>
      <w:r>
        <w:rPr>
          <w:b/>
          <w:bCs/>
        </w:rPr>
        <w:t xml:space="preserve">Convenciones</w:t>
      </w:r>
    </w:p>
    <w:p>
      <w:pPr>
        <w:pStyle w:val="ListParagraph"/>
        <w:numPr>
          <w:ilvl w:val="0"/>
          <w:numId w:val="3"/>
        </w:numPr>
        <w:spacing w:after="60" w:line="264"/>
      </w:pPr>
      <w:r>
        <w:t xml:space="preserve">Las citas siguen APA 7. "Como se citó en" indica que conocemos al autor a través del material del curso.</w:t>
      </w:r>
    </w:p>
    <w:p>
      <w:pPr>
        <w:pStyle w:val="ListParagraph"/>
        <w:numPr>
          <w:ilvl w:val="0"/>
          <w:numId w:val="3"/>
        </w:numPr>
        <w:spacing w:after="60" w:line="264"/>
      </w:pPr>
      <w:r>
        <w:t xml:space="preserve">Walsh (2009) no tiene números de página, así que se cita por sección (p. ej., "Walsh, 2009, sección 2.1").</w:t>
      </w:r>
    </w:p>
    <w:p>
      <w:pPr>
        <w:pStyle w:val="ListParagraph"/>
        <w:numPr>
          <w:ilvl w:val="0"/>
          <w:numId w:val="3"/>
        </w:numPr>
        <w:spacing w:after="60" w:line="264"/>
      </w:pPr>
      <w:r>
        <w:rPr>
          <w:b/>
          <w:bCs/>
          <w:color w:val="C55A11"/>
        </w:rPr>
        <w:t xml:space="preserve">⚠</w:t>
      </w:r>
      <w:r>
        <w:t xml:space="preserve"> marca una </w:t>
      </w:r>
      <w:r>
        <w:rPr>
          <w:b/>
          <w:bCs/>
        </w:rPr>
        <w:t xml:space="preserve">trampa frecuente</w:t>
      </w:r>
      <w:r>
        <w:t xml:space="preserve"> de prueba.</w:t>
      </w:r>
    </w:p>
    <w:p>
      <w:pPr>
        <w:pStyle w:val="ListParagraph"/>
        <w:numPr>
          <w:ilvl w:val="0"/>
          <w:numId w:val="3"/>
        </w:numPr>
        <w:spacing w:after="60" w:line="264"/>
      </w:pPr>
      <w:r>
        <w:rPr>
          <w:b/>
          <w:bCs/>
          <w:color w:val="7030A0"/>
        </w:rPr>
        <w:t xml:space="preserve">◆</w:t>
      </w:r>
      <w:r>
        <w:t xml:space="preserve"> marca un </w:t>
      </w:r>
      <w:r>
        <w:rPr>
          <w:b/>
          <w:bCs/>
        </w:rPr>
        <w:t xml:space="preserve">aporte del tutor</w:t>
      </w:r>
      <w:r>
        <w:t xml:space="preserve">: conocimiento general de la disciplina que no está en tus documentos. Úsalo con criterio y no lo atribuyas a los autores del curso.</w:t>
      </w:r>
    </w:p>
    <w:p>
      <w:pPr>
        <w:spacing w:after="60"/>
      </w:pPr>
    </w:p>
    <w:p>
      <w:pPr>
        <w:pStyle w:val="Heading2"/>
      </w:pPr>
      <w:bookmarkStart w:name="sec_1" w:id="2"/>
      <w:r>
        <w:t xml:space="preserve">Mapa del temario</w:t>
      </w:r>
      <w:bookmarkEnd w:id="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5047"/>
        <w:gridCol w:w="2697"/>
      </w:tblGrid>
      <w:tr>
        <w:trPr>
          <w:cantSplit/>
          <w:tblHeader/>
        </w:trPr>
        <w:tc>
          <w:tcPr>
            <w:tcW w:type="dxa" w:w="233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Eje</w:t>
            </w:r>
          </w:p>
        </w:tc>
        <w:tc>
          <w:tcPr>
            <w:tcW w:type="dxa" w:w="504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Pregunta central</w:t>
            </w:r>
          </w:p>
        </w:tc>
        <w:tc>
          <w:tcPr>
            <w:tcW w:type="dxa" w:w="269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Fuentes</w:t>
            </w:r>
          </w:p>
        </w:tc>
      </w:tr>
      <w:tr>
        <w:trPr>
          <w:cantSplit/>
          <w:tblHeader w:val="false"/>
        </w:trPr>
        <w:tc>
          <w:tcPr>
            <w:tcW w:type="dxa" w:w="233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A. Políticas públicas</w:t>
            </w:r>
          </w:p>
        </w:tc>
        <w:tc>
          <w:tcPr>
            <w:tcW w:type="dxa" w:w="504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¿Cómo se origina, decide, implementa y evalúa la acción del Estado frente a un problema público?</w:t>
            </w:r>
          </w:p>
        </w:tc>
        <w:tc>
          <w:tcPr>
            <w:tcW w:type="dxa" w:w="269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(s.f.-b); Lahera (2004)</w:t>
            </w:r>
          </w:p>
        </w:tc>
      </w:tr>
      <w:tr>
        <w:trPr>
          <w:cantSplit/>
          <w:tblHeader w:val="false"/>
        </w:trPr>
        <w:tc>
          <w:tcPr>
            <w:tcW w:type="dxa" w:w="233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B. Interculturalidad</w:t>
            </w:r>
          </w:p>
        </w:tc>
        <w:tc>
          <w:tcPr>
            <w:tcW w:type="dxa" w:w="504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¿Reconocer la diversidad basta, o hay que transformar las estructuras que producen la desigualdad?</w:t>
            </w:r>
          </w:p>
        </w:tc>
        <w:tc>
          <w:tcPr>
            <w:tcW w:type="dxa" w:w="269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Walsh (2009)</w:t>
            </w:r>
          </w:p>
        </w:tc>
      </w:tr>
      <w:tr>
        <w:trPr>
          <w:cantSplit/>
          <w:tblHeader w:val="false"/>
        </w:trPr>
        <w:tc>
          <w:tcPr>
            <w:tcW w:type="dxa" w:w="233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 Casos regionales</w:t>
            </w:r>
          </w:p>
        </w:tc>
        <w:tc>
          <w:tcPr>
            <w:tcW w:type="dxa" w:w="504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¿Cómo responde hoy el Estado a las demandas del pueblo mapuche?</w:t>
            </w:r>
          </w:p>
        </w:tc>
        <w:tc>
          <w:tcPr>
            <w:tcW w:type="dxa" w:w="269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(s.f.-a, s.f.-c)</w:t>
            </w:r>
          </w:p>
        </w:tc>
      </w:tr>
    </w:tbl>
    <w:p>
      <w:pPr>
        <w:spacing w:after="120"/>
      </w:pPr>
    </w:p>
    <w:p>
      <w:pPr>
        <w:spacing w:after="120" w:line="276"/>
      </w:pPr>
      <w:r>
        <w:rPr>
          <w:b/>
          <w:bCs/>
        </w:rPr>
        <w:t xml:space="preserve">Idea eje del curso:</w:t>
      </w:r>
      <w:r>
        <w:t xml:space="preserve"> una política pública puede ser "técnicamente correcta" y aun así poco eficiente si desconoce la diversidad cultural y territorial de la población (Soto, s.f.-a). Este curso cruza </w:t>
      </w:r>
      <w:r>
        <w:rPr>
          <w:b/>
          <w:bCs/>
        </w:rPr>
        <w:t xml:space="preserve">cómo funciona la política pública</w:t>
      </w:r>
      <w:r>
        <w:t xml:space="preserve"> (eje A) con </w:t>
      </w:r>
      <w:r>
        <w:rPr>
          <w:b/>
          <w:bCs/>
        </w:rPr>
        <w:t xml:space="preserve">qué tipo de interculturalidad produce</w:t>
      </w:r>
      <w:r>
        <w:t xml:space="preserve"> (eje B), en casos concretos (eje C).</w:t>
      </w:r>
    </w:p>
    <w:p>
      <w:r>
        <w:br w:type="page"/>
      </w:r>
    </w:p>
    <w:p>
      <w:pPr>
        <w:pStyle w:val="Heading1"/>
      </w:pPr>
      <w:bookmarkStart w:name="sec_2" w:id="3"/>
      <w:r>
        <w:t xml:space="preserve">1. Matrices conceptuales comparativas</w:t>
      </w:r>
      <w:bookmarkEnd w:id="3"/>
    </w:p>
    <w:p>
      <w:pPr>
        <w:pStyle w:val="Heading2"/>
      </w:pPr>
      <w:bookmarkStart w:name="sec_3" w:id="4"/>
      <w:r>
        <w:t xml:space="preserve">1.1 Polity, politics y policy</w:t>
      </w:r>
      <w:bookmarkEnd w:id="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2662"/>
        <w:gridCol w:w="2741"/>
        <w:gridCol w:w="2912"/>
      </w:tblGrid>
      <w:tr>
        <w:trPr>
          <w:cantSplit/>
          <w:tblHeader/>
        </w:trPr>
        <w:tc>
          <w:tcPr>
            <w:tcW w:type="dxa" w:w="176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Variable</w:t>
            </w:r>
          </w:p>
        </w:tc>
        <w:tc>
          <w:tcPr>
            <w:tcW w:type="dxa" w:w="2662"/>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Polity</w:t>
            </w:r>
          </w:p>
        </w:tc>
        <w:tc>
          <w:tcPr>
            <w:tcW w:type="dxa" w:w="274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Politics</w:t>
            </w:r>
          </w:p>
        </w:tc>
        <w:tc>
          <w:tcPr>
            <w:tcW w:type="dxa" w:w="2912"/>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Public policy</w:t>
            </w:r>
          </w:p>
        </w:tc>
      </w:tr>
      <w:tr>
        <w:trPr>
          <w:cantSplit/>
          <w:tblHeader w:val="false"/>
        </w:trPr>
        <w:tc>
          <w:tcPr>
            <w:tcW w:type="dxa" w:w="176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Se estudia</w:t>
            </w:r>
          </w:p>
        </w:tc>
        <w:tc>
          <w:tcPr>
            <w:tcW w:type="dxa" w:w="266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El sistema político</w:t>
            </w:r>
          </w:p>
        </w:tc>
        <w:tc>
          <w:tcPr>
            <w:tcW w:type="dxa" w:w="274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política como actividad</w:t>
            </w:r>
          </w:p>
        </w:tc>
        <w:tc>
          <w:tcPr>
            <w:tcW w:type="dxa" w:w="291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política pública</w:t>
            </w:r>
          </w:p>
        </w:tc>
      </w:tr>
      <w:tr>
        <w:trPr>
          <w:cantSplit/>
          <w:tblHeader w:val="false"/>
        </w:trPr>
        <w:tc>
          <w:tcPr>
            <w:tcW w:type="dxa" w:w="176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Objeto de análisis</w:t>
            </w:r>
          </w:p>
        </w:tc>
        <w:tc>
          <w:tcPr>
            <w:tcW w:type="dxa" w:w="266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Normas e instituciones que organizan el sistema político</w:t>
            </w:r>
          </w:p>
        </w:tc>
        <w:tc>
          <w:tcPr>
            <w:tcW w:type="dxa" w:w="274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Procesos en que los actores compiten, negocian y ejercen el poder</w:t>
            </w:r>
          </w:p>
        </w:tc>
        <w:tc>
          <w:tcPr>
            <w:tcW w:type="dxa" w:w="291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Decisiones y acciones que el Estado implementa para resolver problemas públicos</w:t>
            </w:r>
          </w:p>
        </w:tc>
      </w:tr>
      <w:tr>
        <w:trPr>
          <w:cantSplit/>
          <w:tblHeader w:val="false"/>
        </w:trPr>
        <w:tc>
          <w:tcPr>
            <w:tcW w:type="dxa" w:w="176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Pregunta central</w:t>
            </w:r>
          </w:p>
        </w:tc>
        <w:tc>
          <w:tcPr>
            <w:tcW w:type="dxa" w:w="266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¿Cuáles son las reglas del juego?</w:t>
            </w:r>
          </w:p>
        </w:tc>
        <w:tc>
          <w:tcPr>
            <w:tcW w:type="dxa" w:w="274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¿Quién obtiene el poder y cómo influye en las decisiones?</w:t>
            </w:r>
          </w:p>
        </w:tc>
        <w:tc>
          <w:tcPr>
            <w:tcW w:type="dxa" w:w="291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¿Qué hace el gobierno frente a un problema público?</w:t>
            </w:r>
          </w:p>
        </w:tc>
      </w:tr>
      <w:tr>
        <w:trPr>
          <w:cantSplit/>
          <w:tblHeader w:val="false"/>
        </w:trPr>
        <w:tc>
          <w:tcPr>
            <w:tcW w:type="dxa" w:w="176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Ejemplos (clase)</w:t>
            </w:r>
          </w:p>
        </w:tc>
        <w:tc>
          <w:tcPr>
            <w:tcW w:type="dxa" w:w="266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Constitución, normas, instituciones, sistema electoral</w:t>
            </w:r>
          </w:p>
        </w:tc>
        <w:tc>
          <w:tcPr>
            <w:tcW w:type="dxa" w:w="274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Partidos, coaliciones, grupos de interés</w:t>
            </w:r>
          </w:p>
        </w:tc>
        <w:tc>
          <w:tcPr>
            <w:tcW w:type="dxa" w:w="291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Políticas, planes, programas, proyectos y acciones</w:t>
            </w:r>
          </w:p>
        </w:tc>
      </w:tr>
      <w:tr>
        <w:trPr>
          <w:cantSplit/>
          <w:tblHeader w:val="false"/>
        </w:trPr>
        <w:tc>
          <w:tcPr>
            <w:tcW w:type="dxa" w:w="176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Aplicación intercultural</w:t>
            </w:r>
          </w:p>
        </w:tc>
        <w:tc>
          <w:tcPr>
            <w:tcW w:type="dxa" w:w="266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Reconocimiento constitucional de los pueblos indígenas; Ley 19.253</w:t>
            </w:r>
          </w:p>
        </w:tc>
        <w:tc>
          <w:tcPr>
            <w:tcW w:type="dxa" w:w="274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Negociación entre gobierno, partidos, gremios y organizaciones mapuche</w:t>
            </w:r>
          </w:p>
        </w:tc>
        <w:tc>
          <w:tcPr>
            <w:tcW w:type="dxa" w:w="291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Programa de compra de tierras de CONADI; subsidios del PAVVR</w:t>
            </w:r>
          </w:p>
        </w:tc>
      </w:tr>
    </w:tbl>
    <w:p>
      <w:pPr>
        <w:spacing w:after="120"/>
      </w:pPr>
    </w:p>
    <w:p>
      <w:pPr>
        <w:spacing w:after="120" w:line="276"/>
      </w:pPr>
      <w:r>
        <w:rPr>
          <w:i/>
          <w:iCs/>
        </w:rPr>
        <w:t xml:space="preserve">Fuente:</w:t>
      </w:r>
      <w:r>
        <w:t xml:space="preserve"> Howlett et al. (2009, como se citó en Soto, s.f.-b); aplicaciones elaboradas con Soto (s.f.-c).</w:t>
      </w:r>
    </w:p>
    <w:p>
      <w:pPr>
        <w:spacing w:after="120" w:line="276"/>
      </w:pPr>
      <w:r>
        <w:rPr>
          <w:b/>
          <w:bCs/>
          <w:color w:val="C55A11"/>
        </w:rPr>
        <w:t xml:space="preserve">⚠</w:t>
      </w:r>
      <w:r>
        <w:t xml:space="preserve"> </w:t>
      </w:r>
      <w:r>
        <w:rPr>
          <w:b/>
          <w:bCs/>
        </w:rPr>
        <w:t xml:space="preserve">Diferencia crítica:</w:t>
      </w:r>
      <w:r>
        <w:t xml:space="preserve"> el reconocimiento constitucional es una demanda que se disputa en la </w:t>
      </w:r>
      <w:r>
        <w:rPr>
          <w:i/>
          <w:iCs/>
        </w:rPr>
        <w:t xml:space="preserve">politics</w:t>
      </w:r>
      <w:r>
        <w:t xml:space="preserve">, pero su objeto pertenece a la </w:t>
      </w:r>
      <w:r>
        <w:rPr>
          <w:i/>
          <w:iCs/>
        </w:rPr>
        <w:t xml:space="preserve">polity</w:t>
      </w:r>
      <w:r>
        <w:t xml:space="preserve">, porque cambia las reglas del juego. Un programa de subsidios, en cambio, es </w:t>
      </w:r>
      <w:r>
        <w:rPr>
          <w:i/>
          <w:iCs/>
        </w:rPr>
        <w:t xml:space="preserve">policy</w:t>
      </w:r>
      <w:r>
        <w:t xml:space="preserve">. Lahera destaca que "el idioma inglés recoge con claridad esta distinción entre politics y policies" (Lahera, 2004, p. 7).</w:t>
      </w:r>
    </w:p>
    <w:p>
      <w:pPr>
        <w:pStyle w:val="Heading2"/>
      </w:pPr>
      <w:bookmarkStart w:name="sec_4" w:id="5"/>
      <w:r>
        <w:t xml:space="preserve">1.2 Dos definiciones de política pública</w:t>
      </w:r>
      <w:bookmarkEnd w:id="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0"/>
        <w:gridCol w:w="4070"/>
        <w:gridCol w:w="4270"/>
      </w:tblGrid>
      <w:tr>
        <w:trPr>
          <w:cantSplit/>
          <w:tblHeader/>
        </w:trPr>
        <w:tc>
          <w:tcPr>
            <w:tcW w:type="dxa" w:w="174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Variable</w:t>
            </w:r>
          </w:p>
        </w:tc>
        <w:tc>
          <w:tcPr>
            <w:tcW w:type="dxa" w:w="407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Tamayo (1997)</w:t>
            </w:r>
          </w:p>
        </w:tc>
        <w:tc>
          <w:tcPr>
            <w:tcW w:type="dxa" w:w="427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Lahera</w:t>
            </w:r>
          </w:p>
        </w:tc>
      </w:tr>
      <w:tr>
        <w:trPr>
          <w:cantSplit/>
          <w:tblHeader w:val="false"/>
        </w:trPr>
        <w:tc>
          <w:tcPr>
            <w:tcW w:type="dxa" w:w="174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Definición</w:t>
            </w:r>
          </w:p>
        </w:tc>
        <w:tc>
          <w:tcPr>
            <w:tcW w:type="dxa" w:w="407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"El conjunto de objetivos, decisiones y acciones que lleva a cabo un gobierno para solucionar los problemas que, en un momento determinado, los ciudadanos y el propio gobierno consideran prioritarios"</w:t>
            </w:r>
          </w:p>
        </w:tc>
        <w:tc>
          <w:tcPr>
            <w:tcW w:type="dxa" w:w="427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"Cursos de acción y flujos de información relacionados con un objetivo público definido en forma democrática", desarrollados por el sector público y, frecuentemente, con la participación de la comunidad y el sector privado</w:t>
            </w:r>
          </w:p>
        </w:tc>
      </w:tr>
      <w:tr>
        <w:trPr>
          <w:cantSplit/>
          <w:tblHeader w:val="false"/>
        </w:trPr>
        <w:tc>
          <w:tcPr>
            <w:tcW w:type="dxa" w:w="174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Quién actúa</w:t>
            </w:r>
          </w:p>
        </w:tc>
        <w:tc>
          <w:tcPr>
            <w:tcW w:type="dxa" w:w="407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El gobierno</w:t>
            </w:r>
          </w:p>
        </w:tc>
        <w:tc>
          <w:tcPr>
            <w:tcW w:type="dxa" w:w="427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El sector público, a menudo con la comunidad y el sector privado</w:t>
            </w:r>
          </w:p>
        </w:tc>
      </w:tr>
      <w:tr>
        <w:trPr>
          <w:cantSplit/>
          <w:tblHeader w:val="false"/>
        </w:trPr>
        <w:tc>
          <w:tcPr>
            <w:tcW w:type="dxa" w:w="174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Componentes</w:t>
            </w:r>
          </w:p>
        </w:tc>
        <w:tc>
          <w:tcPr>
            <w:tcW w:type="dxa" w:w="407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Objetivos, decisiones y acciones</w:t>
            </w:r>
          </w:p>
        </w:tc>
        <w:tc>
          <w:tcPr>
            <w:tcW w:type="dxa" w:w="427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Cursos de acción y </w:t>
            </w:r>
            <w:r>
              <w:rPr>
                <w:b/>
                <w:bCs/>
                <w:sz w:val="19"/>
                <w:szCs w:val="19"/>
              </w:rPr>
              <w:t xml:space="preserve">flujos de información</w:t>
            </w:r>
          </w:p>
        </w:tc>
      </w:tr>
      <w:tr>
        <w:trPr>
          <w:cantSplit/>
          <w:tblHeader w:val="false"/>
        </w:trPr>
        <w:tc>
          <w:tcPr>
            <w:tcW w:type="dxa" w:w="174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Criterio de "problema"</w:t>
            </w:r>
          </w:p>
        </w:tc>
        <w:tc>
          <w:tcPr>
            <w:tcW w:type="dxa" w:w="407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Lo que ciudadanos y gobierno consideran </w:t>
            </w:r>
            <w:r>
              <w:rPr>
                <w:b/>
                <w:bCs/>
                <w:sz w:val="19"/>
                <w:szCs w:val="19"/>
              </w:rPr>
              <w:t xml:space="preserve">prioritario en un momento dado</w:t>
            </w:r>
            <w:r>
              <w:rPr>
                <w:sz w:val="19"/>
                <w:szCs w:val="19"/>
              </w:rPr>
              <w:t xml:space="preserve"> (dimensión temporal y de agenda)</w:t>
            </w:r>
          </w:p>
        </w:tc>
        <w:tc>
          <w:tcPr>
            <w:tcW w:type="dxa" w:w="427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Un objetivo </w:t>
            </w:r>
            <w:r>
              <w:rPr>
                <w:b/>
                <w:bCs/>
                <w:sz w:val="19"/>
                <w:szCs w:val="19"/>
              </w:rPr>
              <w:t xml:space="preserve">definido democráticamente</w:t>
            </w:r>
            <w:r>
              <w:rPr>
                <w:sz w:val="19"/>
                <w:szCs w:val="19"/>
              </w:rPr>
              <w:t xml:space="preserve"> (dimensión de legitimidad)</w:t>
            </w:r>
          </w:p>
        </w:tc>
      </w:tr>
      <w:tr>
        <w:trPr>
          <w:cantSplit/>
          <w:tblHeader w:val="false"/>
        </w:trPr>
        <w:tc>
          <w:tcPr>
            <w:tcW w:type="dxa" w:w="174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Implicancia intercultural</w:t>
            </w:r>
          </w:p>
        </w:tc>
        <w:tc>
          <w:tcPr>
            <w:tcW w:type="dxa" w:w="407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Pregunta abierta: ¿quién define qué es prioritario?</w:t>
            </w:r>
          </w:p>
        </w:tc>
        <w:tc>
          <w:tcPr>
            <w:tcW w:type="dxa" w:w="427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Abre la puerta a la participación de comunidades y pueblos en el diseño</w:t>
            </w:r>
          </w:p>
        </w:tc>
      </w:tr>
    </w:tbl>
    <w:p>
      <w:pPr>
        <w:spacing w:after="120"/>
      </w:pPr>
    </w:p>
    <w:p>
      <w:pPr>
        <w:spacing w:after="120" w:line="276"/>
      </w:pPr>
      <w:r>
        <w:rPr>
          <w:i/>
          <w:iCs/>
        </w:rPr>
        <w:t xml:space="preserve">Fuentes:</w:t>
      </w:r>
      <w:r>
        <w:t xml:space="preserve"> Tamayo (1997, p. 281, como se citó en Soto, s.f.-b); Lahera (2002, p. 4, como se citó en Soto, s.f.-b); Lahera (2004, p. 8).</w:t>
      </w:r>
    </w:p>
    <w:p>
      <w:pPr>
        <w:spacing w:after="120" w:line="276"/>
      </w:pPr>
      <w:r>
        <w:rPr>
          <w:b/>
          <w:bCs/>
          <w:color w:val="C55A11"/>
        </w:rPr>
        <w:t xml:space="preserve">⚠</w:t>
      </w:r>
      <w:r>
        <w:t xml:space="preserve"> La diapositiva cita a Lahera (2002) con "objetivo </w:t>
      </w:r>
      <w:r>
        <w:rPr>
          <w:b/>
          <w:bCs/>
        </w:rPr>
        <w:t xml:space="preserve">público</w:t>
      </w:r>
      <w:r>
        <w:t xml:space="preserve">". La lectura de 2004 define la política pública </w:t>
      </w:r>
      <w:r>
        <w:rPr>
          <w:b/>
          <w:bCs/>
        </w:rPr>
        <w:t xml:space="preserve">de excelencia</w:t>
      </w:r>
      <w:r>
        <w:t xml:space="preserve"> con "objetivo </w:t>
      </w:r>
      <w:r>
        <w:rPr>
          <w:b/>
          <w:bCs/>
        </w:rPr>
        <w:t xml:space="preserve">político</w:t>
      </w:r>
      <w:r>
        <w:t xml:space="preserve"> definido en forma democrática" (Lahera, 2004, p. 8). Cita la versión que uses con su año correcto.</w:t>
      </w:r>
    </w:p>
    <w:p>
      <w:pPr>
        <w:pStyle w:val="Heading2"/>
      </w:pPr>
      <w:bookmarkStart w:name="sec_5" w:id="6"/>
      <w:r>
        <w:t xml:space="preserve">1.3 Política y políticas públicas: una relación recíproca (Lahera)</w:t>
      </w:r>
      <w:bookmarkEnd w:id="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0"/>
        <w:gridCol w:w="3749"/>
        <w:gridCol w:w="4371"/>
      </w:tblGrid>
      <w:tr>
        <w:trPr>
          <w:cantSplit/>
          <w:tblHeader/>
        </w:trPr>
        <w:tc>
          <w:tcPr>
            <w:tcW w:type="dxa" w:w="196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Situación</w:t>
            </w:r>
          </w:p>
        </w:tc>
        <w:tc>
          <w:tcPr>
            <w:tcW w:type="dxa" w:w="3749"/>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Qué ocurre</w:t>
            </w:r>
          </w:p>
        </w:tc>
        <w:tc>
          <w:tcPr>
            <w:tcW w:type="dxa" w:w="437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Consecuencia</w:t>
            </w:r>
          </w:p>
        </w:tc>
      </w:tr>
      <w:tr>
        <w:trPr>
          <w:cantSplit/>
          <w:tblHeader w:val="false"/>
        </w:trPr>
        <w:tc>
          <w:tcPr>
            <w:tcW w:type="dxa" w:w="196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Política sin políticas públicas</w:t>
            </w:r>
          </w:p>
        </w:tc>
        <w:tc>
          <w:tcPr>
            <w:tcW w:type="dxa" w:w="374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El sistema político se concentra en la distribución del poder entre agentes políticos y sociales</w:t>
            </w:r>
          </w:p>
        </w:tc>
        <w:tc>
          <w:tcPr>
            <w:tcW w:type="dxa" w:w="437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"Es más demagógica, menos moderna" (Lahera, 2004, p. 8)</w:t>
            </w:r>
          </w:p>
        </w:tc>
      </w:tr>
      <w:tr>
        <w:trPr>
          <w:cantSplit/>
          <w:tblHeader w:val="false"/>
        </w:trPr>
        <w:tc>
          <w:tcPr>
            <w:tcW w:type="dxa" w:w="196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Políticas públicas sin política</w:t>
            </w:r>
          </w:p>
        </w:tc>
        <w:tc>
          <w:tcPr>
            <w:tcW w:type="dxa" w:w="374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Se desconsidera la dimensión política</w:t>
            </w:r>
          </w:p>
        </w:tc>
        <w:tc>
          <w:tcPr>
            <w:tcW w:type="dxa" w:w="437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"Tienen un problema de diseño" y debilitan la gobernabilidad social (Lahera, 2004, p. 8)</w:t>
            </w:r>
          </w:p>
        </w:tc>
      </w:tr>
      <w:tr>
        <w:trPr>
          <w:cantSplit/>
          <w:tblHeader w:val="false"/>
        </w:trPr>
        <w:tc>
          <w:tcPr>
            <w:tcW w:type="dxa" w:w="196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Articulación recíproca</w:t>
            </w:r>
          </w:p>
        </w:tc>
        <w:tc>
          <w:tcPr>
            <w:tcW w:type="dxa" w:w="374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 política busca establecer o bloquear políticas públicas, y estas incorporan lo político como origen, objetivo o justificación</w:t>
            </w:r>
          </w:p>
        </w:tc>
        <w:tc>
          <w:tcPr>
            <w:tcW w:type="dxa" w:w="437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Moderniza la esfera pública: acota discusiones, diferencia problemas y soluciones, precisa diferencias, vincula temas y permite esfuerzos compartidos (Lahera, 2004, pp. 5, 8)</w:t>
            </w:r>
          </w:p>
        </w:tc>
      </w:tr>
    </w:tbl>
    <w:p>
      <w:pPr>
        <w:spacing w:after="120"/>
      </w:pPr>
    </w:p>
    <w:p>
      <w:pPr>
        <w:spacing w:after="120" w:line="276"/>
      </w:pPr>
      <w:r>
        <w:rPr>
          <w:b/>
          <w:bCs/>
        </w:rPr>
        <w:t xml:space="preserve">Frases para citar en la prueba</w:t>
      </w:r>
    </w:p>
    <w:p>
      <w:pPr>
        <w:pStyle w:val="ListParagraph"/>
        <w:numPr>
          <w:ilvl w:val="0"/>
          <w:numId w:val="4"/>
        </w:numPr>
        <w:spacing w:after="60" w:line="264"/>
      </w:pPr>
      <w:r>
        <w:t xml:space="preserve">"Quien quiere el gobierno, quiere políticas públicas" (Lahera, 2004, p. 8).</w:t>
      </w:r>
    </w:p>
    <w:p>
      <w:pPr>
        <w:pStyle w:val="ListParagraph"/>
        <w:numPr>
          <w:ilvl w:val="0"/>
          <w:numId w:val="4"/>
        </w:numPr>
        <w:spacing w:after="60" w:line="264"/>
      </w:pPr>
      <w:r>
        <w:t xml:space="preserve">"Dentro del gobierno no se puede olvidar la política y fuera del gobierno no se pueden olvidar las políticas públicas" (Lahera, 2004, p. 8).</w:t>
      </w:r>
    </w:p>
    <w:p>
      <w:pPr>
        <w:pStyle w:val="ListParagraph"/>
        <w:numPr>
          <w:ilvl w:val="0"/>
          <w:numId w:val="4"/>
        </w:numPr>
        <w:spacing w:after="60" w:line="264"/>
      </w:pPr>
      <w:r>
        <w:t xml:space="preserve">"Primero la función, después el organigrama" (Lahera, 2004, p. 25).</w:t>
      </w:r>
    </w:p>
    <w:p>
      <w:pPr>
        <w:pStyle w:val="ListParagraph"/>
        <w:numPr>
          <w:ilvl w:val="0"/>
          <w:numId w:val="4"/>
        </w:numPr>
        <w:spacing w:after="60" w:line="264"/>
      </w:pPr>
      <w:r>
        <w:t xml:space="preserve">La política y las políticas públicas "se buscan en la opacidad del sistema político" (Lahera, 2004, p. 7).</w:t>
      </w:r>
    </w:p>
    <w:p>
      <w:pPr>
        <w:spacing w:after="60"/>
      </w:pPr>
    </w:p>
    <w:p>
      <w:pPr>
        <w:pStyle w:val="Heading2"/>
      </w:pPr>
      <w:bookmarkStart w:name="sec_6" w:id="7"/>
      <w:r>
        <w:t xml:space="preserve">1.4 El ciclo de políticas públicas: el modelo de clase y las etapas de Lahera</w:t>
      </w:r>
      <w:bookmarkEnd w:id="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2520"/>
        <w:gridCol w:w="1417"/>
        <w:gridCol w:w="2466"/>
        <w:gridCol w:w="1939"/>
      </w:tblGrid>
      <w:tr>
        <w:trPr>
          <w:cantSplit/>
          <w:tblHeader/>
        </w:trPr>
        <w:tc>
          <w:tcPr>
            <w:tcW w:type="dxa" w:w="173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Etapa en clase (Howlett et al.)</w:t>
            </w:r>
          </w:p>
        </w:tc>
        <w:tc>
          <w:tcPr>
            <w:tcW w:type="dxa" w:w="252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Definición</w:t>
            </w:r>
          </w:p>
        </w:tc>
        <w:tc>
          <w:tcPr>
            <w:tcW w:type="dxa" w:w="141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Equivalente en Lahera</w:t>
            </w:r>
          </w:p>
        </w:tc>
        <w:tc>
          <w:tcPr>
            <w:tcW w:type="dxa" w:w="246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"Fuga" típica según Lahera</w:t>
            </w:r>
          </w:p>
        </w:tc>
        <w:tc>
          <w:tcPr>
            <w:tcW w:type="dxa" w:w="1939"/>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Pregunta intercultural</w:t>
            </w:r>
          </w:p>
        </w:tc>
      </w:tr>
      <w:tr>
        <w:trPr>
          <w:cantSplit/>
          <w:tblHeader w:val="false"/>
        </w:trPr>
        <w:tc>
          <w:tcPr>
            <w:tcW w:type="dxa" w:w="173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Agenda</w:t>
            </w:r>
          </w:p>
        </w:tc>
        <w:tc>
          <w:tcPr>
            <w:tcW w:type="dxa" w:w="252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Momento en que un problema capta la atención de las autoridades y se reconoce como asunto que requiere intervención del Estado. Se prioriza según urgencia y viabilidad política y técnica</w:t>
            </w:r>
          </w:p>
        </w:tc>
        <w:tc>
          <w:tcPr>
            <w:tcW w:type="dxa" w:w="141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Origen</w:t>
            </w:r>
          </w:p>
        </w:tc>
        <w:tc>
          <w:tcPr>
            <w:tcW w:type="dxa" w:w="24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toda idea entra a la agenda" y no todos los temas de la agenda se convierten en programas (p. 12)</w:t>
            </w:r>
          </w:p>
        </w:tc>
        <w:tc>
          <w:tcPr>
            <w:tcW w:type="dxa" w:w="193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¿Quién puede instalar temas? "La participación es un bien que se distribuye de manera muy heterogénea" (p. 14)</w:t>
            </w:r>
          </w:p>
        </w:tc>
      </w:tr>
      <w:tr>
        <w:trPr>
          <w:cantSplit/>
          <w:tblHeader w:val="false"/>
        </w:trPr>
        <w:tc>
          <w:tcPr>
            <w:tcW w:type="dxa" w:w="173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Formulación</w:t>
            </w:r>
          </w:p>
        </w:tc>
        <w:tc>
          <w:tcPr>
            <w:tcW w:type="dxa" w:w="252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Se desarrollan y analizan alternativas para un problema que ya está en la agenda. Debería primar lo técnico: evidencia, datos, experiencia comparada y mecanismos de legitimidad</w:t>
            </w:r>
          </w:p>
        </w:tc>
        <w:tc>
          <w:tcPr>
            <w:tcW w:type="dxa" w:w="141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Diseño</w:t>
            </w:r>
          </w:p>
        </w:tc>
        <w:tc>
          <w:tcPr>
            <w:tcW w:type="dxa" w:w="246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El diseño puede ser defectuoso si no considera aspectos institucionales o evaluación, o si sus orientaciones son "meras declaraciones, sin apoyo financiero o de personal" (p. 12)</w:t>
            </w:r>
          </w:p>
        </w:tc>
        <w:tc>
          <w:tcPr>
            <w:tcW w:type="dxa" w:w="193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¿Se diseñó </w:t>
            </w:r>
            <w:r>
              <w:rPr>
                <w:i/>
                <w:iCs/>
                <w:sz w:val="17"/>
                <w:szCs w:val="17"/>
              </w:rPr>
              <w:t xml:space="preserve">con</w:t>
            </w:r>
            <w:r>
              <w:rPr>
                <w:sz w:val="17"/>
                <w:szCs w:val="17"/>
              </w:rPr>
              <w:t xml:space="preserve"> los pueblos o </w:t>
            </w:r>
            <w:r>
              <w:rPr>
                <w:i/>
                <w:iCs/>
                <w:sz w:val="17"/>
                <w:szCs w:val="17"/>
              </w:rPr>
              <w:t xml:space="preserve">para</w:t>
            </w:r>
            <w:r>
              <w:rPr>
                <w:sz w:val="17"/>
                <w:szCs w:val="17"/>
              </w:rPr>
              <w:t xml:space="preserve"> ellos?</w:t>
            </w:r>
          </w:p>
        </w:tc>
      </w:tr>
      <w:tr>
        <w:trPr>
          <w:cantSplit/>
          <w:tblHeader w:val="false"/>
        </w:trPr>
        <w:tc>
          <w:tcPr>
            <w:tcW w:type="dxa" w:w="173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Toma de decisión</w:t>
            </w:r>
          </w:p>
        </w:tc>
        <w:tc>
          <w:tcPr>
            <w:tcW w:type="dxa" w:w="252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Se comparan alternativas según criterios de decisión. Deciden los actores políticos, condicionados por los técnicos (coproducción)</w:t>
            </w:r>
          </w:p>
        </w:tc>
        <w:tc>
          <w:tcPr>
            <w:tcW w:type="dxa" w:w="141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Momento de aceptación, rediseño o extinción</w:t>
            </w:r>
          </w:p>
        </w:tc>
        <w:tc>
          <w:tcPr>
            <w:tcW w:type="dxa" w:w="24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Exige que coincidan "la preocupación social, la existencia de una solución técnica y el apoyo político" (p. 11)</w:t>
            </w:r>
          </w:p>
        </w:tc>
        <w:tc>
          <w:tcPr>
            <w:tcW w:type="dxa" w:w="193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Fenómeno de "caja cerrada": decisiones poco transparentes</w:t>
            </w:r>
          </w:p>
        </w:tc>
      </w:tr>
      <w:tr>
        <w:trPr>
          <w:cantSplit/>
          <w:tblHeader w:val="false"/>
        </w:trPr>
        <w:tc>
          <w:tcPr>
            <w:tcW w:type="dxa" w:w="173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Implementación</w:t>
            </w:r>
          </w:p>
        </w:tc>
        <w:tc>
          <w:tcPr>
            <w:tcW w:type="dxa" w:w="252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Las decisiones se convierten en acciones concretas. Participa una red compleja de actores y los implementadores no son neutros</w:t>
            </w:r>
          </w:p>
        </w:tc>
        <w:tc>
          <w:tcPr>
            <w:tcW w:type="dxa" w:w="141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Gestión</w:t>
            </w:r>
          </w:p>
        </w:tc>
        <w:tc>
          <w:tcPr>
            <w:tcW w:type="dxa" w:w="246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 gestión suele ser imperfecta o discordante con la política (p. 12)</w:t>
            </w:r>
          </w:p>
        </w:tc>
        <w:tc>
          <w:tcPr>
            <w:tcW w:type="dxa" w:w="193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¿Qué adaptaciones hacen los funcionarios en territorio?</w:t>
            </w:r>
          </w:p>
        </w:tc>
      </w:tr>
      <w:tr>
        <w:trPr>
          <w:cantSplit/>
          <w:tblHeader w:val="false"/>
        </w:trPr>
        <w:tc>
          <w:tcPr>
            <w:tcW w:type="dxa" w:w="173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Evaluación</w:t>
            </w:r>
          </w:p>
        </w:tc>
        <w:tc>
          <w:tcPr>
            <w:tcW w:type="dxa" w:w="252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Se valoran resultados e impactos (sin lámina específica en la clase 2)</w:t>
            </w:r>
          </w:p>
        </w:tc>
        <w:tc>
          <w:tcPr>
            <w:tcW w:type="dxa" w:w="141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Evaluación</w:t>
            </w:r>
          </w:p>
        </w:tc>
        <w:tc>
          <w:tcPr>
            <w:tcW w:type="dxa" w:w="24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Puede no existir, ser parcial o </w:t>
            </w:r>
            <w:r>
              <w:rPr>
                <w:i/>
                <w:iCs/>
                <w:sz w:val="17"/>
                <w:szCs w:val="17"/>
              </w:rPr>
              <w:t xml:space="preserve">ad hoc</w:t>
            </w:r>
            <w:r>
              <w:rPr>
                <w:sz w:val="17"/>
                <w:szCs w:val="17"/>
              </w:rPr>
              <w:t xml:space="preserve">, o concentrarse en políticas menores (p. 12)</w:t>
            </w:r>
          </w:p>
        </w:tc>
        <w:tc>
          <w:tcPr>
            <w:tcW w:type="dxa" w:w="193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¿Quién evalúa y con qué criterios culturales?</w:t>
            </w:r>
          </w:p>
        </w:tc>
      </w:tr>
    </w:tbl>
    <w:p>
      <w:pPr>
        <w:spacing w:after="120"/>
      </w:pPr>
    </w:p>
    <w:p>
      <w:pPr>
        <w:spacing w:after="120" w:line="276"/>
      </w:pPr>
      <w:r>
        <w:rPr>
          <w:i/>
          <w:iCs/>
        </w:rPr>
        <w:t xml:space="preserve">Fuentes:</w:t>
      </w:r>
      <w:r>
        <w:t xml:space="preserve"> Howlett et al. (2009, como se citó en Soto, s.f.-b); Lahera (2004, las páginas indicadas en la tabla).</w:t>
      </w:r>
    </w:p>
    <w:p>
      <w:pPr>
        <w:spacing w:after="120" w:line="276"/>
      </w:pPr>
      <w:r>
        <w:rPr>
          <w:b/>
          <w:bCs/>
        </w:rPr>
        <w:t xml:space="preserve">Diferencias críticas</w:t>
      </w:r>
    </w:p>
    <w:p>
      <w:pPr>
        <w:pStyle w:val="ListParagraph"/>
        <w:numPr>
          <w:ilvl w:val="0"/>
          <w:numId w:val="5"/>
        </w:numPr>
        <w:spacing w:after="60" w:line="264"/>
      </w:pPr>
      <w:r>
        <w:rPr>
          <w:b/>
          <w:bCs/>
          <w:color w:val="C55A11"/>
        </w:rPr>
        <w:t xml:space="preserve">⚠</w:t>
      </w:r>
      <w:r>
        <w:t xml:space="preserve"> Para Lahera, las fases "no necesariamente se dan en etapas causales y consecutivas, sino que en momentos analíticos de calidad y duración heterogéneas" (Lahera, 2004, p. 11). El ciclo es una herramienta analítica, no una secuencia real obligatoria.</w:t>
      </w:r>
    </w:p>
    <w:p>
      <w:pPr>
        <w:pStyle w:val="ListParagraph"/>
        <w:numPr>
          <w:ilvl w:val="0"/>
          <w:numId w:val="5"/>
        </w:numPr>
        <w:spacing w:after="60" w:line="264"/>
      </w:pPr>
      <w:r>
        <w:t xml:space="preserve">En el diagrama de clase, </w:t>
      </w:r>
      <w:r>
        <w:rPr>
          <w:b/>
          <w:bCs/>
        </w:rPr>
        <w:t xml:space="preserve">actores, análisis y modelos</w:t>
      </w:r>
      <w:r>
        <w:t xml:space="preserve"> atraviesan todas las etapas (Howlett et al., 2009, como se citó en Soto, s.f.-b).</w:t>
      </w:r>
    </w:p>
    <w:p>
      <w:pPr>
        <w:pStyle w:val="ListParagraph"/>
        <w:numPr>
          <w:ilvl w:val="0"/>
          <w:numId w:val="5"/>
        </w:numPr>
        <w:spacing w:after="60" w:line="264"/>
      </w:pPr>
      <w:r>
        <w:t xml:space="preserve">Lahera advierte que "en cada etapa del ciclo de las políticas públicas existe la posibilidad de fugas o discrepancias" entre el enfoque analítico y la realidad (Lahera, 2004, p. 11).</w:t>
      </w:r>
    </w:p>
    <w:p>
      <w:pPr>
        <w:spacing w:after="60"/>
      </w:pPr>
    </w:p>
    <w:p>
      <w:pPr>
        <w:pStyle w:val="Heading2"/>
      </w:pPr>
      <w:bookmarkStart w:name="sec_7" w:id="8"/>
      <w:r>
        <w:t xml:space="preserve">1.5 Ventanas de oportunidad</w:t>
      </w:r>
      <w:bookmarkEnd w:id="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6"/>
        <w:gridCol w:w="1684"/>
        <w:gridCol w:w="2204"/>
        <w:gridCol w:w="2336"/>
        <w:gridCol w:w="2380"/>
      </w:tblGrid>
      <w:tr>
        <w:trPr>
          <w:cantSplit/>
          <w:tblHeader/>
        </w:trPr>
        <w:tc>
          <w:tcPr>
            <w:tcW w:type="dxa" w:w="147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Tipo</w:t>
            </w:r>
          </w:p>
        </w:tc>
        <w:tc>
          <w:tcPr>
            <w:tcW w:type="dxa" w:w="168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Previsibilidad</w:t>
            </w:r>
          </w:p>
        </w:tc>
        <w:tc>
          <w:tcPr>
            <w:tcW w:type="dxa" w:w="220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Origen</w:t>
            </w:r>
          </w:p>
        </w:tc>
        <w:tc>
          <w:tcPr>
            <w:tcW w:type="dxa" w:w="233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Ejemplo de clase</w:t>
            </w:r>
          </w:p>
        </w:tc>
        <w:tc>
          <w:tcPr>
            <w:tcW w:type="dxa" w:w="238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Ejemplo de aplicación (</w:t>
            </w:r>
            <w:r>
              <w:rPr>
                <w:b/>
                <w:bCs/>
                <w:color w:val="FFFFFF"/>
                <w:sz w:val="17"/>
                <w:szCs w:val="17"/>
              </w:rPr>
              <w:t xml:space="preserve">◆</w:t>
            </w:r>
            <w:r>
              <w:rPr>
                <w:b/>
                <w:bCs/>
                <w:color w:val="FFFFFF"/>
                <w:sz w:val="17"/>
                <w:szCs w:val="17"/>
              </w:rPr>
              <w:t xml:space="preserve">)</w:t>
            </w:r>
          </w:p>
        </w:tc>
      </w:tr>
      <w:tr>
        <w:trPr>
          <w:cantSplit/>
          <w:tblHeader w:val="false"/>
        </w:trPr>
        <w:tc>
          <w:tcPr>
            <w:tcW w:type="dxa" w:w="147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Rutina</w:t>
            </w:r>
          </w:p>
        </w:tc>
        <w:tc>
          <w:tcPr>
            <w:tcW w:type="dxa" w:w="168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Alta</w:t>
            </w:r>
          </w:p>
        </w:tc>
        <w:tc>
          <w:tcPr>
            <w:tcW w:type="dxa" w:w="220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Procedimientos institucionalizados</w:t>
            </w:r>
          </w:p>
        </w:tc>
        <w:tc>
          <w:tcPr>
            <w:tcW w:type="dxa" w:w="233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Elecciones, discusión anual del presupuesto, evaluación periódica de programas</w:t>
            </w:r>
          </w:p>
        </w:tc>
        <w:tc>
          <w:tcPr>
            <w:tcW w:type="dxa" w:w="238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discusión anual del presupuesto de CONADI</w:t>
            </w:r>
          </w:p>
        </w:tc>
      </w:tr>
      <w:tr>
        <w:trPr>
          <w:cantSplit/>
          <w:tblHeader w:val="false"/>
        </w:trPr>
        <w:tc>
          <w:tcPr>
            <w:tcW w:type="dxa" w:w="147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Discrecional</w:t>
            </w:r>
          </w:p>
        </w:tc>
        <w:tc>
          <w:tcPr>
            <w:tcW w:type="dxa" w:w="168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Media o baja</w:t>
            </w:r>
          </w:p>
        </w:tc>
        <w:tc>
          <w:tcPr>
            <w:tcW w:type="dxa" w:w="220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Iniciativa de actores políticos específicos</w:t>
            </w:r>
          </w:p>
        </w:tc>
        <w:tc>
          <w:tcPr>
            <w:tcW w:type="dxa" w:w="233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Un ministro impulsa una reforma o el presidente anuncia una política</w:t>
            </w:r>
          </w:p>
        </w:tc>
        <w:tc>
          <w:tcPr>
            <w:tcW w:type="dxa" w:w="238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Una autoridad decide crear una comisión de diálogo</w:t>
            </w:r>
          </w:p>
        </w:tc>
      </w:tr>
      <w:tr>
        <w:trPr>
          <w:cantSplit/>
          <w:tblHeader w:val="false"/>
        </w:trPr>
        <w:tc>
          <w:tcPr>
            <w:tcW w:type="dxa" w:w="147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Aleatoria</w:t>
            </w:r>
          </w:p>
        </w:tc>
        <w:tc>
          <w:tcPr>
            <w:tcW w:type="dxa" w:w="168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más baja</w:t>
            </w:r>
          </w:p>
        </w:tc>
        <w:tc>
          <w:tcPr>
            <w:tcW w:type="dxa" w:w="220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Eventos inesperados o crisis</w:t>
            </w:r>
          </w:p>
        </w:tc>
        <w:tc>
          <w:tcPr>
            <w:tcW w:type="dxa" w:w="233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Terremotos, pandemias, crisis económicas</w:t>
            </w:r>
          </w:p>
        </w:tc>
        <w:tc>
          <w:tcPr>
            <w:tcW w:type="dxa" w:w="238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Una emergencia sanitaria en territorio rural</w:t>
            </w:r>
          </w:p>
        </w:tc>
      </w:tr>
      <w:tr>
        <w:trPr>
          <w:cantSplit/>
          <w:tblHeader w:val="false"/>
        </w:trPr>
        <w:tc>
          <w:tcPr>
            <w:tcW w:type="dxa" w:w="147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Expansión</w:t>
            </w:r>
          </w:p>
        </w:tc>
        <w:tc>
          <w:tcPr>
            <w:tcW w:type="dxa" w:w="168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Variable</w:t>
            </w:r>
          </w:p>
        </w:tc>
        <w:tc>
          <w:tcPr>
            <w:tcW w:type="dxa" w:w="220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Una ventana ya abierta permite incorporar problemas relacionados</w:t>
            </w:r>
          </w:p>
        </w:tc>
        <w:tc>
          <w:tcPr>
            <w:tcW w:type="dxa" w:w="233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Estallido social</w:t>
            </w:r>
          </w:p>
        </w:tc>
        <w:tc>
          <w:tcPr>
            <w:tcW w:type="dxa" w:w="238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Demandas indígenas que entran a una agenda constitucional abierta por otra crisis</w:t>
            </w:r>
          </w:p>
        </w:tc>
      </w:tr>
    </w:tbl>
    <w:p>
      <w:pPr>
        <w:spacing w:after="120"/>
      </w:pPr>
    </w:p>
    <w:p>
      <w:pPr>
        <w:spacing w:after="120" w:line="276"/>
      </w:pPr>
      <w:r>
        <w:rPr>
          <w:i/>
          <w:iCs/>
        </w:rPr>
        <w:t xml:space="preserve">Fuente:</w:t>
      </w:r>
      <w:r>
        <w:t xml:space="preserve"> Soto (s.f.-b). Lahera complementa: la oportunidad "es previsible, a veces […] Otras veces ella se abre de manera impredecible", y quienes actúan en lo público deben tener "sus propuestas regalonas listas", o la oportunidad los pasará de largo (Lahera, 2004, p. 11).</w:t>
      </w:r>
    </w:p>
    <w:p>
      <w:pPr>
        <w:pStyle w:val="Heading2"/>
      </w:pPr>
      <w:bookmarkStart w:name="sec_8" w:id="9"/>
      <w:r>
        <w:t xml:space="preserve">1.6 Criterios de factibilidad y política de excelencia</w:t>
      </w:r>
      <w:bookmarkEnd w:id="9"/>
    </w:p>
    <w:p>
      <w:pPr>
        <w:spacing w:after="120" w:line="276"/>
      </w:pPr>
      <w:r>
        <w:rPr>
          <w:b/>
          <w:bCs/>
        </w:rPr>
        <w:t xml:space="preserve">Criterios base de factibilidad (Soto, s.f.-b)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1"/>
        <w:gridCol w:w="4062"/>
        <w:gridCol w:w="3917"/>
      </w:tblGrid>
      <w:tr>
        <w:trPr>
          <w:cantSplit/>
          <w:tblHeader/>
        </w:trPr>
        <w:tc>
          <w:tcPr>
            <w:tcW w:type="dxa" w:w="210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Factibilidad</w:t>
            </w:r>
          </w:p>
        </w:tc>
        <w:tc>
          <w:tcPr>
            <w:tcW w:type="dxa" w:w="4062"/>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Pregunta clave</w:t>
            </w:r>
          </w:p>
        </w:tc>
        <w:tc>
          <w:tcPr>
            <w:tcW w:type="dxa" w:w="391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Ejemplo intercultural (</w:t>
            </w:r>
            <w:r>
              <w:rPr>
                <w:b/>
                <w:bCs/>
                <w:color w:val="FFFFFF"/>
                <w:sz w:val="19"/>
                <w:szCs w:val="19"/>
              </w:rPr>
              <w:t xml:space="preserve">◆</w:t>
            </w:r>
            <w:r>
              <w:rPr>
                <w:b/>
                <w:bCs/>
                <w:color w:val="FFFFFF"/>
                <w:sz w:val="19"/>
                <w:szCs w:val="19"/>
              </w:rPr>
              <w:t xml:space="preserve">)</w:t>
            </w:r>
          </w:p>
        </w:tc>
      </w:tr>
      <w:tr>
        <w:trPr>
          <w:cantSplit/>
          <w:tblHeader w:val="false"/>
        </w:trPr>
        <w:tc>
          <w:tcPr>
            <w:tcW w:type="dxa" w:w="210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Técnica y económica</w:t>
            </w:r>
          </w:p>
        </w:tc>
        <w:tc>
          <w:tcPr>
            <w:tcW w:type="dxa" w:w="406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¿Es posible implementarla, organizar los recursos y evaluar su impacto?</w:t>
            </w:r>
          </w:p>
        </w:tc>
        <w:tc>
          <w:tcPr>
            <w:tcW w:type="dxa" w:w="391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¿Hay facilitadores interculturales formados y presupuesto estable?</w:t>
            </w:r>
          </w:p>
        </w:tc>
      </w:tr>
      <w:tr>
        <w:trPr>
          <w:cantSplit/>
          <w:tblHeader w:val="false"/>
        </w:trPr>
        <w:tc>
          <w:tcPr>
            <w:tcW w:type="dxa" w:w="210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Política</w:t>
            </w:r>
          </w:p>
        </w:tc>
        <w:tc>
          <w:tcPr>
            <w:tcW w:type="dxa" w:w="406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¿Hay apoyo suficiente para aprobarla?</w:t>
            </w:r>
          </w:p>
        </w:tc>
        <w:tc>
          <w:tcPr>
            <w:tcW w:type="dxa" w:w="391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 respaldan el concejo, las comunidades y los gremios?</w:t>
            </w:r>
          </w:p>
        </w:tc>
      </w:tr>
      <w:tr>
        <w:trPr>
          <w:cantSplit/>
          <w:tblHeader w:val="false"/>
        </w:trPr>
        <w:tc>
          <w:tcPr>
            <w:tcW w:type="dxa" w:w="210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Jurídica</w:t>
            </w:r>
          </w:p>
        </w:tc>
        <w:tc>
          <w:tcPr>
            <w:tcW w:type="dxa" w:w="406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¿Es compatible con el marco legal vigente?</w:t>
            </w:r>
          </w:p>
        </w:tc>
        <w:tc>
          <w:tcPr>
            <w:tcW w:type="dxa" w:w="391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¿Respeta la Ley 19.253 y el Convenio 169 de la OIT?</w:t>
            </w:r>
          </w:p>
        </w:tc>
      </w:tr>
    </w:tbl>
    <w:p>
      <w:pPr>
        <w:spacing w:after="120"/>
      </w:pPr>
    </w:p>
    <w:p>
      <w:pPr>
        <w:spacing w:after="120" w:line="276"/>
      </w:pPr>
      <w:r>
        <w:rPr>
          <w:b/>
          <w:bCs/>
        </w:rPr>
        <w:t xml:space="preserve">Las 11 características de una política pública de excelencia (Lahera, 2004, p. 9, Recuadro 1), agrupadas para memorizar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5"/>
        <w:gridCol w:w="7565"/>
      </w:tblGrid>
      <w:tr>
        <w:trPr>
          <w:cantSplit/>
          <w:tblHeader/>
        </w:trPr>
        <w:tc>
          <w:tcPr>
            <w:tcW w:type="dxa" w:w="251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Familia</w:t>
            </w:r>
          </w:p>
        </w:tc>
        <w:tc>
          <w:tcPr>
            <w:tcW w:type="dxa" w:w="756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Características</w:t>
            </w:r>
          </w:p>
        </w:tc>
      </w:tr>
      <w:tr>
        <w:trPr>
          <w:cantSplit/>
          <w:tblHeader w:val="false"/>
        </w:trPr>
        <w:tc>
          <w:tcPr>
            <w:tcW w:type="dxa" w:w="251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Idea y rumbo</w:t>
            </w:r>
          </w:p>
        </w:tc>
        <w:tc>
          <w:tcPr>
            <w:tcW w:type="dxa" w:w="756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(1) Fundamentación amplia, no solo específica: ¿cuál es la idea?, ¿a dónde vamos? · (9) Claridad de objetivos</w:t>
            </w:r>
          </w:p>
        </w:tc>
      </w:tr>
      <w:tr>
        <w:trPr>
          <w:cantSplit/>
          <w:tblHeader w:val="false"/>
        </w:trPr>
        <w:tc>
          <w:tcPr>
            <w:tcW w:type="dxa" w:w="251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Costos y beneficios</w:t>
            </w:r>
          </w:p>
        </w:tc>
        <w:tc>
          <w:tcPr>
            <w:tcW w:type="dxa" w:w="756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(2) Estimación de costos y alternativas de financiamiento · (3) Factores para una evaluación costo-beneficio social · (4) Beneficio social marginal comparado con otras políticas: ¿qué es prioritario?</w:t>
            </w:r>
          </w:p>
        </w:tc>
      </w:tr>
      <w:tr>
        <w:trPr>
          <w:cantSplit/>
          <w:tblHeader w:val="false"/>
        </w:trPr>
        <w:tc>
          <w:tcPr>
            <w:tcW w:type="dxa" w:w="251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Coherencia y secuencia</w:t>
            </w:r>
          </w:p>
        </w:tc>
        <w:tc>
          <w:tcPr>
            <w:tcW w:type="dxa" w:w="756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(5) Consistencia interna y agregada · (8) Lugar en la secuencia de medidas: ¿qué es primero? · (10) Funcionalidad de los instrumentos</w:t>
            </w:r>
          </w:p>
        </w:tc>
      </w:tr>
      <w:tr>
        <w:trPr>
          <w:cantSplit/>
          <w:tblHeader w:val="false"/>
        </w:trPr>
        <w:tc>
          <w:tcPr>
            <w:tcW w:type="dxa" w:w="251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Viabilidad política</w:t>
            </w:r>
          </w:p>
        </w:tc>
        <w:tc>
          <w:tcPr>
            <w:tcW w:type="dxa" w:w="756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(6) Apoyos y críticas probables · (7) Oportunidad política</w:t>
            </w:r>
          </w:p>
        </w:tc>
      </w:tr>
      <w:tr>
        <w:trPr>
          <w:cantSplit/>
          <w:tblHeader w:val="false"/>
        </w:trPr>
        <w:tc>
          <w:tcPr>
            <w:tcW w:type="dxa" w:w="251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Medición</w:t>
            </w:r>
          </w:p>
        </w:tc>
        <w:tc>
          <w:tcPr>
            <w:tcW w:type="dxa" w:w="756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(11) Indicadores: costo unitario, economía, eficacia, eficiencia</w:t>
            </w:r>
          </w:p>
        </w:tc>
      </w:tr>
    </w:tbl>
    <w:p>
      <w:pPr>
        <w:spacing w:after="120"/>
      </w:pPr>
    </w:p>
    <w:p>
      <w:pPr>
        <w:spacing w:after="120" w:line="276"/>
      </w:pPr>
      <w:r>
        <w:rPr>
          <w:b/>
          <w:bCs/>
          <w:color w:val="C55A11"/>
        </w:rPr>
        <w:t xml:space="preserve">⚠</w:t>
      </w:r>
      <w:r>
        <w:t xml:space="preserve"> Incluso la excelencia formal "no es una garantía respecto de la corrección de sus contenidos sustantivos". Las políticas suelen ser un </w:t>
      </w:r>
      <w:r>
        <w:rPr>
          <w:i/>
          <w:iCs/>
        </w:rPr>
        <w:t xml:space="preserve">second best</w:t>
      </w:r>
      <w:r>
        <w:t xml:space="preserve"> frente a una política óptima que puede no existir (Lahera, 2004, p. 9).</w:t>
      </w:r>
    </w:p>
    <w:p>
      <w:pPr>
        <w:pStyle w:val="Heading2"/>
      </w:pPr>
      <w:bookmarkStart w:name="sec_9" w:id="10"/>
      <w:r>
        <w:t xml:space="preserve">1.7 Modelos de toma de decisión</w:t>
      </w:r>
      <w:bookmarkEnd w:id="1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9"/>
        <w:gridCol w:w="2822"/>
        <w:gridCol w:w="2311"/>
        <w:gridCol w:w="3088"/>
      </w:tblGrid>
      <w:tr>
        <w:trPr>
          <w:cantSplit/>
          <w:tblHeader/>
        </w:trPr>
        <w:tc>
          <w:tcPr>
            <w:tcW w:type="dxa" w:w="1859"/>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Variable</w:t>
            </w:r>
          </w:p>
        </w:tc>
        <w:tc>
          <w:tcPr>
            <w:tcW w:type="dxa" w:w="2822"/>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Racional</w:t>
            </w:r>
          </w:p>
        </w:tc>
        <w:tc>
          <w:tcPr>
            <w:tcW w:type="dxa" w:w="231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Racionalidad limitada</w:t>
            </w:r>
          </w:p>
        </w:tc>
        <w:tc>
          <w:tcPr>
            <w:tcW w:type="dxa" w:w="308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Cubo de basura</w:t>
            </w:r>
          </w:p>
        </w:tc>
      </w:tr>
      <w:tr>
        <w:trPr>
          <w:cantSplit/>
          <w:tblHeader w:val="false"/>
        </w:trPr>
        <w:tc>
          <w:tcPr>
            <w:tcW w:type="dxa" w:w="18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Supuesto sobre quien decide</w:t>
            </w:r>
          </w:p>
        </w:tc>
        <w:tc>
          <w:tcPr>
            <w:tcW w:type="dxa" w:w="282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Capacidades ilimitadas</w:t>
            </w:r>
          </w:p>
        </w:tc>
        <w:tc>
          <w:tcPr>
            <w:tcW w:type="dxa" w:w="231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Limitaciones cognitivas, de tiempo y de información</w:t>
            </w:r>
          </w:p>
        </w:tc>
        <w:tc>
          <w:tcPr>
            <w:tcW w:type="dxa" w:w="308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Participantes que cambian, al igual que sus intereses, prioridades y tiempo</w:t>
            </w:r>
          </w:p>
        </w:tc>
      </w:tr>
      <w:tr>
        <w:trPr>
          <w:cantSplit/>
          <w:tblHeader w:val="false"/>
        </w:trPr>
        <w:tc>
          <w:tcPr>
            <w:tcW w:type="dxa" w:w="18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Relación entre objetivos y medios</w:t>
            </w:r>
          </w:p>
        </w:tc>
        <w:tc>
          <w:tcPr>
            <w:tcW w:type="dxa" w:w="282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Primero se definen los objetivos y luego los medios</w:t>
            </w:r>
          </w:p>
        </w:tc>
        <w:tc>
          <w:tcPr>
            <w:tcW w:type="dxa" w:w="231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Se ajustan mutuamente</w:t>
            </w:r>
          </w:p>
        </w:tc>
        <w:tc>
          <w:tcPr>
            <w:tcW w:type="dxa" w:w="308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 hay relación ordenada: soluciones buscan problemas</w:t>
            </w:r>
          </w:p>
        </w:tc>
      </w:tr>
      <w:tr>
        <w:trPr>
          <w:cantSplit/>
          <w:tblHeader w:val="false"/>
        </w:trPr>
        <w:tc>
          <w:tcPr>
            <w:tcW w:type="dxa" w:w="18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Criterio de elección</w:t>
            </w:r>
          </w:p>
        </w:tc>
        <w:tc>
          <w:tcPr>
            <w:tcW w:type="dxa" w:w="282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alternativa </w:t>
            </w:r>
            <w:r>
              <w:rPr>
                <w:b/>
                <w:bCs/>
                <w:sz w:val="17"/>
                <w:szCs w:val="17"/>
              </w:rPr>
              <w:t xml:space="preserve">óptima</w:t>
            </w:r>
            <w:r>
              <w:rPr>
                <w:sz w:val="17"/>
                <w:szCs w:val="17"/>
              </w:rPr>
              <w:t xml:space="preserve">: máximo beneficio y mínimo costo</w:t>
            </w:r>
          </w:p>
        </w:tc>
        <w:tc>
          <w:tcPr>
            <w:tcW w:type="dxa" w:w="231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Una solución </w:t>
            </w:r>
            <w:r>
              <w:rPr>
                <w:b/>
                <w:bCs/>
                <w:sz w:val="17"/>
                <w:szCs w:val="17"/>
              </w:rPr>
              <w:t xml:space="preserve">satisfactoria</w:t>
            </w:r>
          </w:p>
        </w:tc>
        <w:tc>
          <w:tcPr>
            <w:tcW w:type="dxa" w:w="308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El encuentro más o menos azaroso entre problemas, soluciones, participantes y oportunidades</w:t>
            </w:r>
          </w:p>
        </w:tc>
      </w:tr>
      <w:tr>
        <w:trPr>
          <w:cantSplit/>
          <w:tblHeader w:val="false"/>
        </w:trPr>
        <w:tc>
          <w:tcPr>
            <w:tcW w:type="dxa" w:w="18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Proceso</w:t>
            </w:r>
          </w:p>
        </w:tc>
        <w:tc>
          <w:tcPr>
            <w:tcW w:type="dxa" w:w="282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Definir objetivos → identificar alternativas → analizar costos → seleccionar</w:t>
            </w:r>
          </w:p>
        </w:tc>
        <w:tc>
          <w:tcPr>
            <w:tcW w:type="dxa" w:w="231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Búsqueda acotada que se ajusta sobre la marcha</w:t>
            </w:r>
          </w:p>
        </w:tc>
        <w:tc>
          <w:tcPr>
            <w:tcW w:type="dxa" w:w="308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Oportunidades diversas (reuniones, votaciones) que se presentan desordenadamente</w:t>
            </w:r>
          </w:p>
        </w:tc>
      </w:tr>
      <w:tr>
        <w:trPr>
          <w:cantSplit/>
          <w:tblHeader w:val="false"/>
        </w:trPr>
        <w:tc>
          <w:tcPr>
            <w:tcW w:type="dxa" w:w="18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Fortaleza</w:t>
            </w:r>
          </w:p>
        </w:tc>
        <w:tc>
          <w:tcPr>
            <w:tcW w:type="dxa" w:w="282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Es sistemático</w:t>
            </w:r>
          </w:p>
        </w:tc>
        <w:tc>
          <w:tcPr>
            <w:tcW w:type="dxa" w:w="231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Es realista</w:t>
            </w:r>
          </w:p>
        </w:tc>
        <w:tc>
          <w:tcPr>
            <w:tcW w:type="dxa" w:w="308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Explica decisiones erráticas</w:t>
            </w:r>
          </w:p>
        </w:tc>
      </w:tr>
      <w:tr>
        <w:trPr>
          <w:cantSplit/>
          <w:tblHeader w:val="false"/>
        </w:trPr>
        <w:tc>
          <w:tcPr>
            <w:tcW w:type="dxa" w:w="18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Crítica</w:t>
            </w:r>
          </w:p>
        </w:tc>
        <w:tc>
          <w:tcPr>
            <w:tcW w:type="dxa" w:w="282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Poco realista</w:t>
            </w:r>
          </w:p>
        </w:tc>
        <w:tc>
          <w:tcPr>
            <w:tcW w:type="dxa" w:w="231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Puede justificar decisiones mediocres (</w:t>
            </w:r>
            <w:r>
              <w:rPr>
                <w:b/>
                <w:bCs/>
                <w:color w:val="7030A0"/>
                <w:sz w:val="17"/>
                <w:szCs w:val="17"/>
              </w:rPr>
              <w:t xml:space="preserve">◆</w:t>
            </w:r>
            <w:r>
              <w:rPr>
                <w:sz w:val="17"/>
                <w:szCs w:val="17"/>
              </w:rPr>
              <w:t xml:space="preserve">)</w:t>
            </w:r>
          </w:p>
        </w:tc>
        <w:tc>
          <w:tcPr>
            <w:tcW w:type="dxa" w:w="308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Lahera lo considera un enfoque "que exagera la desarticulación" del proceso</w:t>
            </w:r>
          </w:p>
        </w:tc>
      </w:tr>
    </w:tbl>
    <w:p>
      <w:pPr>
        <w:spacing w:after="120"/>
      </w:pPr>
    </w:p>
    <w:p>
      <w:pPr>
        <w:spacing w:after="120" w:line="276"/>
      </w:pPr>
      <w:r>
        <w:rPr>
          <w:i/>
          <w:iCs/>
        </w:rPr>
        <w:t xml:space="preserve">Fuentes:</w:t>
      </w:r>
      <w:r>
        <w:t xml:space="preserve"> Soto (s.f.-b); Cohen et al. (1972, como se citó en Lahera, 2004, p. 11).</w:t>
      </w:r>
    </w:p>
    <w:p>
      <w:pPr>
        <w:pStyle w:val="ListParagraph"/>
        <w:numPr>
          <w:ilvl w:val="0"/>
          <w:numId w:val="6"/>
        </w:numPr>
        <w:spacing w:after="60" w:line="264"/>
      </w:pPr>
      <w:r>
        <w:t xml:space="preserve">Lahera resume el cubo de basura como "una colección de selecciones buscando problemas, temas y sentimientos buscando situaciones de decisión […] soluciones buscando temas para los que puedan ser la respuesta, y tomadores de decisiones buscando trabajo" (Cohen et al., 1972, como se citó en Lahera, 2004, p. 11).</w:t>
      </w:r>
    </w:p>
    <w:p>
      <w:pPr>
        <w:pStyle w:val="ListParagraph"/>
        <w:numPr>
          <w:ilvl w:val="0"/>
          <w:numId w:val="6"/>
        </w:numPr>
        <w:spacing w:after="60" w:line="264"/>
      </w:pPr>
      <w:r>
        <w:t xml:space="preserve">La pregunta de la clase 2 para la prueba es: </w:t>
      </w:r>
      <w:r>
        <w:rPr>
          <w:i/>
          <w:iCs/>
        </w:rPr>
        <w:t xml:space="preserve">¿qué modelo de toma de decisión han presentado los gobiernos en materia de interculturalidad?</w:t>
      </w:r>
      <w:r>
        <w:t xml:space="preserve"> (Soto, s.f.-b). Para responderla, elige un modelo y respáldalo con un caso. Por ejemplo, la irregularidad de la compra de tierras entre 1993 y 2024 (Soto, s.f.-c) permite plantear la hipótesis de decisiones de racionalidad limitada o de cubo de basura, más que de un plan racional.</w:t>
      </w:r>
    </w:p>
    <w:p>
      <w:pPr>
        <w:pStyle w:val="ListParagraph"/>
        <w:numPr>
          <w:ilvl w:val="0"/>
          <w:numId w:val="6"/>
        </w:numPr>
        <w:spacing w:after="60" w:line="264"/>
      </w:pPr>
      <w:r>
        <w:rPr>
          <w:b/>
          <w:bCs/>
          <w:color w:val="7030A0"/>
        </w:rPr>
        <w:t xml:space="preserve">◆</w:t>
      </w:r>
      <w:r>
        <w:t xml:space="preserve"> </w:t>
      </w:r>
      <w:r>
        <w:rPr>
          <w:b/>
          <w:bCs/>
        </w:rPr>
        <w:t xml:space="preserve">Incremental o no incremental</w:t>
      </w:r>
      <w:r>
        <w:t xml:space="preserve"> (clase 2, lámina de formulación): una formulación incremental ajusta en el margen lo que ya existe; una no incremental propone un cambio de fondo. Lo apoya la idea de Lahera de que "las políticas rara vez se extinguen por completo; es más habitual que cambien o se combinen con otras" (Lahera, 2004, p. 11).</w:t>
      </w:r>
    </w:p>
    <w:p>
      <w:pPr>
        <w:spacing w:after="60"/>
      </w:pPr>
    </w:p>
    <w:p>
      <w:pPr>
        <w:pStyle w:val="Heading2"/>
      </w:pPr>
      <w:bookmarkStart w:name="sec_10" w:id="11"/>
      <w:r>
        <w:t xml:space="preserve">1.8 Implementación: top-down y bottom-up</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3478"/>
        <w:gridCol w:w="4159"/>
      </w:tblGrid>
      <w:tr>
        <w:trPr>
          <w:cantSplit/>
          <w:tblHeader/>
        </w:trPr>
        <w:tc>
          <w:tcPr>
            <w:tcW w:type="dxa" w:w="2443"/>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Variable</w:t>
            </w:r>
          </w:p>
        </w:tc>
        <w:tc>
          <w:tcPr>
            <w:tcW w:type="dxa" w:w="347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Top-down</w:t>
            </w:r>
          </w:p>
        </w:tc>
        <w:tc>
          <w:tcPr>
            <w:tcW w:type="dxa" w:w="4159"/>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Bottom-up</w:t>
            </w:r>
          </w:p>
        </w:tc>
      </w:tr>
      <w:tr>
        <w:trPr>
          <w:cantSplit/>
          <w:tblHeader w:val="false"/>
        </w:trPr>
        <w:tc>
          <w:tcPr>
            <w:tcW w:type="dxa" w:w="244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Pregunta guía</w:t>
            </w:r>
          </w:p>
        </w:tc>
        <w:tc>
          <w:tcPr>
            <w:tcW w:type="dxa" w:w="347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¿Se está implementando correctamente la política que diseñaron las autoridades?</w:t>
            </w:r>
          </w:p>
        </w:tc>
        <w:tc>
          <w:tcPr>
            <w:tcW w:type="dxa" w:w="41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¿Cómo se adapta la implementación al contexto real?</w:t>
            </w:r>
          </w:p>
        </w:tc>
      </w:tr>
      <w:tr>
        <w:trPr>
          <w:cantSplit/>
          <w:tblHeader w:val="false"/>
        </w:trPr>
        <w:tc>
          <w:tcPr>
            <w:tcW w:type="dxa" w:w="244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Lectura de la "desviación"</w:t>
            </w:r>
          </w:p>
        </w:tc>
        <w:tc>
          <w:tcPr>
            <w:tcW w:type="dxa" w:w="347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Un error que hay que reducir entre lo decidido y lo implementado</w:t>
            </w:r>
          </w:p>
        </w:tc>
        <w:tc>
          <w:tcPr>
            <w:tcW w:type="dxa" w:w="41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Una adaptación que hay que comprender</w:t>
            </w:r>
          </w:p>
        </w:tc>
      </w:tr>
      <w:tr>
        <w:trPr>
          <w:cantSplit/>
          <w:tblHeader w:val="false"/>
        </w:trPr>
        <w:tc>
          <w:tcPr>
            <w:tcW w:type="dxa" w:w="244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Elementos</w:t>
            </w:r>
          </w:p>
        </w:tc>
        <w:tc>
          <w:tcPr>
            <w:tcW w:type="dxa" w:w="347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Objetivos, estándares, recursos, dirección política, comunicación jerárquica</w:t>
            </w:r>
          </w:p>
        </w:tc>
        <w:tc>
          <w:tcPr>
            <w:tcW w:type="dxa" w:w="41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Comportamiento de los implementadores, discrecionalidad, adaptación, contexto local, experiencia con los usuarios</w:t>
            </w:r>
          </w:p>
        </w:tc>
      </w:tr>
      <w:tr>
        <w:trPr>
          <w:cantSplit/>
          <w:tblHeader w:val="false"/>
        </w:trPr>
        <w:tc>
          <w:tcPr>
            <w:tcW w:type="dxa" w:w="244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Actor clave</w:t>
            </w:r>
          </w:p>
        </w:tc>
        <w:tc>
          <w:tcPr>
            <w:tcW w:type="dxa" w:w="347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 autoridad que diseña</w:t>
            </w:r>
          </w:p>
        </w:tc>
        <w:tc>
          <w:tcPr>
            <w:tcW w:type="dxa" w:w="41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Los burócratas de calle (Lipsky)</w:t>
            </w:r>
          </w:p>
        </w:tc>
      </w:tr>
      <w:tr>
        <w:trPr>
          <w:cantSplit/>
          <w:tblHeader w:val="false"/>
        </w:trPr>
        <w:tc>
          <w:tcPr>
            <w:tcW w:type="dxa" w:w="244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Fortaleza en contexto intercultural (</w:t>
            </w:r>
            <w:r>
              <w:rPr>
                <w:b/>
                <w:bCs/>
                <w:color w:val="7030A0"/>
                <w:sz w:val="19"/>
                <w:szCs w:val="19"/>
              </w:rPr>
              <w:t xml:space="preserve">◆</w:t>
            </w:r>
            <w:r>
              <w:rPr>
                <w:sz w:val="19"/>
                <w:szCs w:val="19"/>
              </w:rPr>
              <w:t xml:space="preserve">)</w:t>
            </w:r>
          </w:p>
        </w:tc>
        <w:tc>
          <w:tcPr>
            <w:tcW w:type="dxa" w:w="347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Coordinar una institucionalidad dispersa (CONADI y varios ministerios)</w:t>
            </w:r>
          </w:p>
        </w:tc>
        <w:tc>
          <w:tcPr>
            <w:tcW w:type="dxa" w:w="41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Capturar la diversidad territorial y cultural</w:t>
            </w:r>
          </w:p>
        </w:tc>
      </w:tr>
      <w:tr>
        <w:trPr>
          <w:cantSplit/>
          <w:tblHeader w:val="false"/>
        </w:trPr>
        <w:tc>
          <w:tcPr>
            <w:tcW w:type="dxa" w:w="244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Límite (</w:t>
            </w:r>
            <w:r>
              <w:rPr>
                <w:b/>
                <w:bCs/>
                <w:color w:val="7030A0"/>
                <w:sz w:val="19"/>
                <w:szCs w:val="19"/>
              </w:rPr>
              <w:t xml:space="preserve">◆</w:t>
            </w:r>
            <w:r>
              <w:rPr>
                <w:sz w:val="19"/>
                <w:szCs w:val="19"/>
              </w:rPr>
              <w:t xml:space="preserve">)</w:t>
            </w:r>
          </w:p>
        </w:tc>
        <w:tc>
          <w:tcPr>
            <w:tcW w:type="dxa" w:w="347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Ignora el conocimiento local</w:t>
            </w:r>
          </w:p>
        </w:tc>
        <w:tc>
          <w:tcPr>
            <w:tcW w:type="dxa" w:w="41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Puede perder la coherencia nacional</w:t>
            </w:r>
          </w:p>
        </w:tc>
      </w:tr>
    </w:tbl>
    <w:p>
      <w:pPr>
        <w:spacing w:after="120"/>
      </w:pPr>
    </w:p>
    <w:p>
      <w:pPr>
        <w:spacing w:after="120" w:line="276"/>
      </w:pPr>
      <w:r>
        <w:rPr>
          <w:i/>
          <w:iCs/>
        </w:rPr>
        <w:t xml:space="preserve">Fuentes:</w:t>
      </w:r>
      <w:r>
        <w:t xml:space="preserve"> Soto (s.f.-b); Lipsky (1980, como se citó en Soto, s.f.-b).</w:t>
      </w:r>
    </w:p>
    <w:p>
      <w:pPr>
        <w:spacing w:after="120" w:line="276"/>
      </w:pPr>
      <w:r>
        <w:t xml:space="preserve">La clase 2 plantea cuatro rasgos de la implementación (Soto, s.f.-b):</w:t>
      </w:r>
    </w:p>
    <w:p>
      <w:pPr>
        <w:pStyle w:val="ListParagraph"/>
        <w:numPr>
          <w:ilvl w:val="0"/>
          <w:numId w:val="7"/>
        </w:numPr>
        <w:spacing w:after="60" w:line="264"/>
      </w:pPr>
      <w:r>
        <w:t xml:space="preserve">Las ideas, leyes y lineamientos se materializan en acciones.</w:t>
      </w:r>
    </w:p>
    <w:p>
      <w:pPr>
        <w:pStyle w:val="ListParagraph"/>
        <w:numPr>
          <w:ilvl w:val="0"/>
          <w:numId w:val="7"/>
        </w:numPr>
        <w:spacing w:after="60" w:line="264"/>
      </w:pPr>
      <w:r>
        <w:t xml:space="preserve">Una buena formulación </w:t>
      </w:r>
      <w:r>
        <w:rPr>
          <w:b/>
          <w:bCs/>
        </w:rPr>
        <w:t xml:space="preserve">no garantiza</w:t>
      </w:r>
      <w:r>
        <w:t xml:space="preserve"> una buena ejecución.</w:t>
      </w:r>
    </w:p>
    <w:p>
      <w:pPr>
        <w:pStyle w:val="ListParagraph"/>
        <w:numPr>
          <w:ilvl w:val="0"/>
          <w:numId w:val="7"/>
        </w:numPr>
        <w:spacing w:after="60" w:line="264"/>
      </w:pPr>
      <w:r>
        <w:t xml:space="preserve">Se desarrolla en una red de gobernanza, a veces con externalización.</w:t>
      </w:r>
    </w:p>
    <w:p>
      <w:pPr>
        <w:pStyle w:val="ListParagraph"/>
        <w:numPr>
          <w:ilvl w:val="0"/>
          <w:numId w:val="7"/>
        </w:numPr>
        <w:spacing w:after="60" w:line="264"/>
      </w:pPr>
      <w:r>
        <w:rPr>
          <w:b/>
          <w:bCs/>
        </w:rPr>
        <w:t xml:space="preserve">Los implementadores no son neutros:</w:t>
      </w:r>
      <w:r>
        <w:t xml:space="preserve"> sus prácticas y resistencias pueden modificar la política.</w:t>
      </w:r>
    </w:p>
    <w:p>
      <w:pPr>
        <w:spacing w:after="60"/>
      </w:pPr>
    </w:p>
    <w:p>
      <w:pPr>
        <w:spacing w:after="120" w:line="276"/>
      </w:pPr>
      <w:r>
        <w:t xml:space="preserve">Lahera agrega que, mientras no se encaren las reformas de modo integral, los funcionarios "considerarán que los cambios son para perjudicarlos" (Lahera, 2004, p. 12).</w:t>
      </w:r>
    </w:p>
    <w:p>
      <w:pPr>
        <w:pStyle w:val="Heading2"/>
      </w:pPr>
      <w:bookmarkStart w:name="sec_11" w:id="12"/>
      <w:r>
        <w:t xml:space="preserve">1.9 Tres perspectivas de interculturalidad (Walsh): la matriz central de la unidad</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2834"/>
        <w:gridCol w:w="2726"/>
        <w:gridCol w:w="3102"/>
      </w:tblGrid>
      <w:tr>
        <w:trPr>
          <w:cantSplit/>
          <w:tblHeader/>
        </w:trPr>
        <w:tc>
          <w:tcPr>
            <w:tcW w:type="dxa" w:w="141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Variable</w:t>
            </w:r>
          </w:p>
        </w:tc>
        <w:tc>
          <w:tcPr>
            <w:tcW w:type="dxa" w:w="283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Relacional</w:t>
            </w:r>
          </w:p>
        </w:tc>
        <w:tc>
          <w:tcPr>
            <w:tcW w:type="dxa" w:w="272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Funcional</w:t>
            </w:r>
          </w:p>
        </w:tc>
        <w:tc>
          <w:tcPr>
            <w:tcW w:type="dxa" w:w="3102"/>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Crítica</w:t>
            </w:r>
          </w:p>
        </w:tc>
      </w:tr>
      <w:tr>
        <w:trPr>
          <w:cantSplit/>
          <w:tblHeader w:val="false"/>
        </w:trPr>
        <w:tc>
          <w:tcPr>
            <w:tcW w:type="dxa" w:w="141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Definición</w:t>
            </w:r>
          </w:p>
        </w:tc>
        <w:tc>
          <w:tcPr>
            <w:tcW w:type="dxa" w:w="283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Contacto e intercambio </w:t>
            </w:r>
            <w:r>
              <w:rPr>
                <w:i/>
                <w:iCs/>
                <w:sz w:val="17"/>
                <w:szCs w:val="17"/>
              </w:rPr>
              <w:t xml:space="preserve">entre</w:t>
            </w:r>
            <w:r>
              <w:rPr>
                <w:sz w:val="17"/>
                <w:szCs w:val="17"/>
              </w:rPr>
              <w:t xml:space="preserve"> culturas (personas, prácticas, saberes, valores), en condiciones de igualdad o desigualdad</w:t>
            </w:r>
          </w:p>
        </w:tc>
        <w:tc>
          <w:tcPr>
            <w:tcW w:type="dxa" w:w="272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Reconocimiento de la diversidad cultural con la meta de </w:t>
            </w:r>
            <w:r>
              <w:rPr>
                <w:b/>
                <w:bCs/>
                <w:sz w:val="17"/>
                <w:szCs w:val="17"/>
              </w:rPr>
              <w:t xml:space="preserve">incluirla dentro de la estructura social establecida</w:t>
            </w:r>
          </w:p>
        </w:tc>
        <w:tc>
          <w:tcPr>
            <w:tcW w:type="dxa" w:w="310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Proyecto que parte del </w:t>
            </w:r>
            <w:r>
              <w:rPr>
                <w:b/>
                <w:bCs/>
                <w:sz w:val="17"/>
                <w:szCs w:val="17"/>
              </w:rPr>
              <w:t xml:space="preserve">problema estructural-colonial-racial</w:t>
            </w:r>
            <w:r>
              <w:rPr>
                <w:sz w:val="17"/>
                <w:szCs w:val="17"/>
              </w:rPr>
              <w:t xml:space="preserve"> y busca transformar estructuras, instituciones y relaciones</w:t>
            </w:r>
          </w:p>
        </w:tc>
      </w:tr>
      <w:tr>
        <w:trPr>
          <w:cantSplit/>
          <w:tblHeader w:val="false"/>
        </w:trPr>
        <w:tc>
          <w:tcPr>
            <w:tcW w:type="dxa" w:w="141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Punto de partida</w:t>
            </w:r>
          </w:p>
        </w:tc>
        <w:tc>
          <w:tcPr>
            <w:tcW w:type="dxa" w:w="283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Que la interculturalidad "siempre ha existido" (mestizaje, sincretismos)</w:t>
            </w:r>
          </w:p>
        </w:tc>
        <w:tc>
          <w:tcPr>
            <w:tcW w:type="dxa" w:w="272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 diversidad como dato que hay que gestionar</w:t>
            </w:r>
          </w:p>
        </w:tc>
        <w:tc>
          <w:tcPr>
            <w:tcW w:type="dxa" w:w="310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 diferencia </w:t>
            </w:r>
            <w:r>
              <w:rPr>
                <w:b/>
                <w:bCs/>
                <w:sz w:val="17"/>
                <w:szCs w:val="17"/>
              </w:rPr>
              <w:t xml:space="preserve">construida</w:t>
            </w:r>
            <w:r>
              <w:rPr>
                <w:sz w:val="17"/>
                <w:szCs w:val="17"/>
              </w:rPr>
              <w:t xml:space="preserve"> dentro de una matriz colonial de poder racializado y jerarquizado</w:t>
            </w:r>
          </w:p>
        </w:tc>
      </w:tr>
      <w:tr>
        <w:trPr>
          <w:cantSplit/>
          <w:tblHeader w:val="false"/>
        </w:trPr>
        <w:tc>
          <w:tcPr>
            <w:tcW w:type="dxa" w:w="141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Poder y conflicto</w:t>
            </w:r>
          </w:p>
        </w:tc>
        <w:tc>
          <w:tcPr>
            <w:tcW w:type="dxa" w:w="283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"Oculta o minimiza la conflictividad y los contextos de poder"</w:t>
            </w:r>
          </w:p>
        </w:tc>
        <w:tc>
          <w:tcPr>
            <w:tcW w:type="dxa" w:w="272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toca las causas de la asimetría y tampoco "cuestiona las reglas del juego"</w:t>
            </w:r>
          </w:p>
        </w:tc>
        <w:tc>
          <w:tcPr>
            <w:tcW w:type="dxa" w:w="310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Pone el poder en el centro</w:t>
            </w:r>
          </w:p>
        </w:tc>
      </w:tr>
      <w:tr>
        <w:trPr>
          <w:cantSplit/>
          <w:tblHeader w:val="false"/>
        </w:trPr>
        <w:tc>
          <w:tcPr>
            <w:tcW w:type="dxa" w:w="141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Desde dónde se construye</w:t>
            </w:r>
          </w:p>
        </w:tc>
        <w:tc>
          <w:tcPr>
            <w:tcW w:type="dxa" w:w="283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Desde las relaciones individuales</w:t>
            </w:r>
          </w:p>
        </w:tc>
        <w:tc>
          <w:tcPr>
            <w:tcW w:type="dxa" w:w="272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Desde arriba</w:t>
            </w:r>
          </w:p>
        </w:tc>
        <w:tc>
          <w:tcPr>
            <w:tcW w:type="dxa" w:w="310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Desde la gente</w:t>
            </w:r>
            <w:r>
              <w:rPr>
                <w:sz w:val="17"/>
                <w:szCs w:val="17"/>
              </w:rPr>
              <w:t xml:space="preserve">, como demanda de la subalternidad</w:t>
            </w:r>
          </w:p>
        </w:tc>
      </w:tr>
      <w:tr>
        <w:trPr>
          <w:cantSplit/>
          <w:tblHeader w:val="false"/>
        </w:trPr>
        <w:tc>
          <w:tcPr>
            <w:tcW w:type="dxa" w:w="141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Relación con el modelo</w:t>
            </w:r>
          </w:p>
        </w:tc>
        <w:tc>
          <w:tcPr>
            <w:tcW w:type="dxa" w:w="283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lo problematiza</w:t>
            </w:r>
          </w:p>
        </w:tc>
        <w:tc>
          <w:tcPr>
            <w:tcW w:type="dxa" w:w="272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"Perfectamente compatible con la lógica del modelo neo-liberal"</w:t>
            </w:r>
          </w:p>
        </w:tc>
        <w:tc>
          <w:tcPr>
            <w:tcW w:type="dxa" w:w="310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Contrahegemónica</w:t>
            </w:r>
          </w:p>
        </w:tc>
      </w:tr>
      <w:tr>
        <w:trPr>
          <w:cantSplit/>
          <w:tblHeader w:val="false"/>
        </w:trPr>
        <w:tc>
          <w:tcPr>
            <w:tcW w:type="dxa" w:w="141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Qué busca</w:t>
            </w:r>
          </w:p>
        </w:tc>
        <w:tc>
          <w:tcPr>
            <w:tcW w:type="dxa" w:w="283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Convivencia</w:t>
            </w:r>
          </w:p>
        </w:tc>
        <w:tc>
          <w:tcPr>
            <w:tcW w:type="dxa" w:w="272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Diálogo, convivencia y tolerancia; control del conflicto étnico y estabilidad social</w:t>
            </w:r>
          </w:p>
        </w:tc>
        <w:tc>
          <w:tcPr>
            <w:tcW w:type="dxa" w:w="310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Condiciones radicalmente distintas de estar, ser, pensar, conocer y vivir</w:t>
            </w:r>
          </w:p>
        </w:tc>
      </w:tr>
      <w:tr>
        <w:trPr>
          <w:cantSplit/>
          <w:tblHeader w:val="false"/>
        </w:trPr>
        <w:tc>
          <w:tcPr>
            <w:tcW w:type="dxa" w:w="141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 quién interpela</w:t>
            </w:r>
          </w:p>
        </w:tc>
        <w:tc>
          <w:tcPr>
            <w:tcW w:type="dxa" w:w="283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 las personas</w:t>
            </w:r>
          </w:p>
        </w:tc>
        <w:tc>
          <w:tcPr>
            <w:tcW w:type="dxa" w:w="272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 los "diferentes" que hay que incluir</w:t>
            </w:r>
          </w:p>
        </w:tc>
        <w:tc>
          <w:tcPr>
            <w:tcW w:type="dxa" w:w="310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 </w:t>
            </w:r>
            <w:r>
              <w:rPr>
                <w:b/>
                <w:bCs/>
                <w:sz w:val="17"/>
                <w:szCs w:val="17"/>
              </w:rPr>
              <w:t xml:space="preserve">toda</w:t>
            </w:r>
            <w:r>
              <w:rPr>
                <w:sz w:val="17"/>
                <w:szCs w:val="17"/>
              </w:rPr>
              <w:t xml:space="preserve"> la sociedad, incluidos los blanco-mestizos occidentalizados</w:t>
            </w:r>
          </w:p>
        </w:tc>
      </w:tr>
      <w:tr>
        <w:trPr>
          <w:cantSplit/>
          <w:tblHeader w:val="false"/>
        </w:trPr>
        <w:tc>
          <w:tcPr>
            <w:tcW w:type="dxa" w:w="141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Estado actual</w:t>
            </w:r>
          </w:p>
        </w:tc>
        <w:tc>
          <w:tcPr>
            <w:tcW w:type="dxa" w:w="283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Se asume existente</w:t>
            </w:r>
          </w:p>
        </w:tc>
        <w:tc>
          <w:tcPr>
            <w:tcW w:type="dxa" w:w="272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Es la forma predominante en las políticas</w:t>
            </w:r>
          </w:p>
        </w:tc>
        <w:tc>
          <w:tcPr>
            <w:tcW w:type="dxa" w:w="310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"Aún no existe, es algo por construir"</w:t>
            </w:r>
          </w:p>
        </w:tc>
      </w:tr>
      <w:tr>
        <w:trPr>
          <w:cantSplit/>
          <w:tblHeader w:val="false"/>
        </w:trPr>
        <w:tc>
          <w:tcPr>
            <w:tcW w:type="dxa" w:w="141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Ejemplo</w:t>
            </w:r>
          </w:p>
        </w:tc>
        <w:tc>
          <w:tcPr>
            <w:tcW w:type="dxa" w:w="283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Las relaciones cotidianas de la sociedad criolla con pueblos indígenas y afrodescendientes</w:t>
            </w:r>
          </w:p>
        </w:tc>
        <w:tc>
          <w:tcPr>
            <w:tcW w:type="dxa" w:w="272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Las re-formas de los 90; textos escolares con imágenes que refuerzan estereotipos</w:t>
            </w:r>
          </w:p>
        </w:tc>
        <w:tc>
          <w:tcPr>
            <w:tcW w:type="dxa" w:w="310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Constitución de Ecuador 2008, que lleva la interculturalidad al campo epistémico (saberes ancestrales, </w:t>
            </w:r>
            <w:r>
              <w:rPr>
                <w:i/>
                <w:iCs/>
                <w:sz w:val="17"/>
                <w:szCs w:val="17"/>
              </w:rPr>
              <w:t xml:space="preserve">sumak kawsay</w:t>
            </w:r>
            <w:r>
              <w:rPr>
                <w:sz w:val="17"/>
                <w:szCs w:val="17"/>
              </w:rPr>
              <w:t xml:space="preserve">), aunque sin idealizarla</w:t>
            </w:r>
          </w:p>
        </w:tc>
      </w:tr>
    </w:tbl>
    <w:p>
      <w:pPr>
        <w:spacing w:after="120"/>
      </w:pPr>
    </w:p>
    <w:p>
      <w:pPr>
        <w:spacing w:after="120" w:line="276"/>
      </w:pPr>
      <w:r>
        <w:rPr>
          <w:i/>
          <w:iCs/>
        </w:rPr>
        <w:t xml:space="preserve">Fuentes:</w:t>
      </w:r>
      <w:r>
        <w:t xml:space="preserve"> Walsh (2009, sección 1); Tubino (2005, como se citó en Walsh, 2009, sección 1); Walsh (2009, secciones 2.2 y 2.3).</w:t>
      </w:r>
    </w:p>
    <w:p>
      <w:pPr>
        <w:spacing w:after="120" w:line="276"/>
      </w:pPr>
      <w:r>
        <w:rPr>
          <w:b/>
          <w:bCs/>
        </w:rPr>
        <w:t xml:space="preserve">Diferencias críticas</w:t>
      </w:r>
    </w:p>
    <w:p>
      <w:pPr>
        <w:pStyle w:val="ListParagraph"/>
        <w:numPr>
          <w:ilvl w:val="0"/>
          <w:numId w:val="8"/>
        </w:numPr>
        <w:spacing w:after="60" w:line="264"/>
      </w:pPr>
      <w:r>
        <w:rPr>
          <w:b/>
          <w:bCs/>
          <w:color w:val="C55A11"/>
        </w:rPr>
        <w:t xml:space="preserve">⚠</w:t>
      </w:r>
      <w:r>
        <w:t xml:space="preserve"> Lo que distingue la interculturalidad funcional de la crítica </w:t>
      </w:r>
      <w:r>
        <w:rPr>
          <w:b/>
          <w:bCs/>
        </w:rPr>
        <w:t xml:space="preserve">no es si hay reconocimiento</w:t>
      </w:r>
      <w:r>
        <w:t xml:space="preserve">, sino </w:t>
      </w:r>
      <w:r>
        <w:rPr>
          <w:b/>
          <w:bCs/>
        </w:rPr>
        <w:t xml:space="preserve">si se transforman las estructuras</w:t>
      </w:r>
      <w:r>
        <w:t xml:space="preserve">. La funcional reconoce y "respeta", pero ese reconocimiento se vuelve "una nueva estrategia de dominación" al servicio del control del conflicto étnico (Walsh, 2009, sección 1).</w:t>
      </w:r>
    </w:p>
    <w:p>
      <w:pPr>
        <w:pStyle w:val="ListParagraph"/>
        <w:numPr>
          <w:ilvl w:val="0"/>
          <w:numId w:val="8"/>
        </w:numPr>
        <w:spacing w:after="60" w:line="264"/>
      </w:pPr>
      <w:r>
        <w:rPr>
          <w:b/>
          <w:bCs/>
          <w:color w:val="C55A11"/>
        </w:rPr>
        <w:t xml:space="preserve">⚠</w:t>
      </w:r>
      <w:r>
        <w:t xml:space="preserve"> Para Walsh, el problema de la interculturalidad no reside solo en los pueblos indígenas y afrodescendientes, sino "en todos los sectores de la sociedad" (Walsh, 2009, sección 1). Una respuesta que la reduzca a "políticas para indígenas" pierde puntos.</w:t>
      </w:r>
    </w:p>
    <w:p>
      <w:pPr>
        <w:pStyle w:val="ListParagraph"/>
        <w:numPr>
          <w:ilvl w:val="0"/>
          <w:numId w:val="8"/>
        </w:numPr>
        <w:spacing w:after="60" w:line="264"/>
      </w:pPr>
      <w:r>
        <w:t xml:space="preserve">Walsh escribe "re-formas" con guion para enfatizar que los cambios de los 90 "no hicieron más que re-formular (o re-formar) lo mismo" (Walsh, 2009, nota 4).</w:t>
      </w:r>
    </w:p>
    <w:p>
      <w:pPr>
        <w:spacing w:after="60"/>
      </w:pPr>
    </w:p>
    <w:p>
      <w:pPr>
        <w:pStyle w:val="Heading2"/>
      </w:pPr>
      <w:bookmarkStart w:name="sec_12" w:id="13"/>
      <w:r>
        <w:t xml:space="preserve">1.10 La interculturalidad en la educación y las políticas educativas</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5"/>
        <w:gridCol w:w="1828"/>
        <w:gridCol w:w="3194"/>
        <w:gridCol w:w="3343"/>
      </w:tblGrid>
      <w:tr>
        <w:trPr>
          <w:cantSplit/>
          <w:tblHeader/>
        </w:trPr>
        <w:tc>
          <w:tcPr>
            <w:tcW w:type="dxa" w:w="171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Momento</w:t>
            </w:r>
          </w:p>
        </w:tc>
        <w:tc>
          <w:tcPr>
            <w:tcW w:type="dxa" w:w="182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Período</w:t>
            </w:r>
          </w:p>
        </w:tc>
        <w:tc>
          <w:tcPr>
            <w:tcW w:type="dxa" w:w="319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Rasgos</w:t>
            </w:r>
          </w:p>
        </w:tc>
        <w:tc>
          <w:tcPr>
            <w:tcW w:type="dxa" w:w="3343"/>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Lectura crítica de Walsh</w:t>
            </w:r>
          </w:p>
        </w:tc>
      </w:tr>
      <w:tr>
        <w:trPr>
          <w:cantSplit/>
          <w:tblHeader w:val="false"/>
        </w:trPr>
        <w:tc>
          <w:tcPr>
            <w:tcW w:type="dxa" w:w="171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Educación intercultural bilingüe (EIB)</w:t>
            </w:r>
          </w:p>
        </w:tc>
        <w:tc>
          <w:tcPr>
            <w:tcW w:type="dxa" w:w="182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Desde los 80 (reunión de especialistas, México, 1982)</w:t>
            </w:r>
          </w:p>
        </w:tc>
        <w:tc>
          <w:tcPr>
            <w:tcW w:type="dxa" w:w="31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Cambio de "educación bilingüe bicultural" a "educación intercultural bilingüe". Doble sentido: político-reivindicativo (lucha indígena) y socio-estatal de burocratización. Respaldo del Convenio 169 OIT</w:t>
            </w:r>
          </w:p>
        </w:tc>
        <w:tc>
          <w:tcPr>
            <w:tcW w:type="dxa" w:w="334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Es unidireccional, "desde la lengua indígena hacia la lengua 'nacional'", con sentido de transición. Su oficialización es "un cuchillo de doble filo": reconocimiento merecido, pero debilitamiento de lo propio y mecanismos de regulación</w:t>
            </w:r>
          </w:p>
        </w:tc>
      </w:tr>
      <w:tr>
        <w:trPr>
          <w:cantSplit/>
          <w:tblHeader w:val="false"/>
        </w:trPr>
        <w:tc>
          <w:tcPr>
            <w:tcW w:type="dxa" w:w="171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Re-formas de los 90</w:t>
            </w:r>
          </w:p>
        </w:tc>
        <w:tc>
          <w:tcPr>
            <w:tcW w:type="dxa" w:w="182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Años 90</w:t>
            </w:r>
          </w:p>
        </w:tc>
        <w:tc>
          <w:tcPr>
            <w:tcW w:type="dxa" w:w="31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Constitucionalismo multicultural: se reconoce el carácter multiétnico y pluricultural. La interculturalidad pasa a ser "eje transversal"</w:t>
            </w:r>
          </w:p>
        </w:tc>
        <w:tc>
          <w:tcPr>
            <w:tcW w:type="dxa" w:w="334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Son fruto de las luchas, pero también del proyecto neoliberal: "incluir" a los excluidos para apaciguarlos. Añaden un discurso de la diversidad "sin mayor cambio"</w:t>
            </w:r>
          </w:p>
        </w:tc>
      </w:tr>
      <w:tr>
        <w:trPr>
          <w:cantSplit/>
          <w:tblHeader w:val="false"/>
        </w:trPr>
        <w:tc>
          <w:tcPr>
            <w:tcW w:type="dxa" w:w="171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Siglo XXI, eje 1</w:t>
            </w:r>
          </w:p>
        </w:tc>
        <w:tc>
          <w:tcPr>
            <w:tcW w:type="dxa" w:w="182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Década de 2000</w:t>
            </w:r>
          </w:p>
        </w:tc>
        <w:tc>
          <w:tcPr>
            <w:tcW w:type="dxa" w:w="31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"Desarrollo humano integral" (Max Neef, Sen) y cohesión social (UNESCO, PNUD, BID, EUROsociAL)</w:t>
            </w:r>
          </w:p>
        </w:tc>
        <w:tc>
          <w:tcPr>
            <w:tcW w:type="dxa" w:w="334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Es un "interculturalismo funcional ya madurado", compatible con el mercado y centrado en el individuo</w:t>
            </w:r>
          </w:p>
        </w:tc>
      </w:tr>
      <w:tr>
        <w:trPr>
          <w:cantSplit/>
          <w:tblHeader w:val="false"/>
        </w:trPr>
        <w:tc>
          <w:tcPr>
            <w:tcW w:type="dxa" w:w="171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Siglo XXI, eje 2</w:t>
            </w:r>
          </w:p>
        </w:tc>
        <w:tc>
          <w:tcPr>
            <w:tcW w:type="dxa" w:w="182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Década de 2000</w:t>
            </w:r>
          </w:p>
        </w:tc>
        <w:tc>
          <w:tcPr>
            <w:tcW w:type="dxa" w:w="31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Educación intercultural "universal". México crea universidades interculturales (2003); Colombia, la Cátedra de Estudios Afrocolombianos; Venezuela, un subsistema</w:t>
            </w:r>
          </w:p>
        </w:tc>
        <w:tc>
          <w:tcPr>
            <w:tcW w:type="dxa" w:w="334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Sigue asociando lo intercultural con lo indígena: Walsh pregunta por qué no llamarlas "indígenas" en vez de "interculturales"</w:t>
            </w:r>
          </w:p>
        </w:tc>
      </w:tr>
      <w:tr>
        <w:trPr>
          <w:cantSplit/>
          <w:tblHeader w:val="false"/>
        </w:trPr>
        <w:tc>
          <w:tcPr>
            <w:tcW w:type="dxa" w:w="171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Bolivia y Ecuador</w:t>
            </w:r>
          </w:p>
        </w:tc>
        <w:tc>
          <w:tcPr>
            <w:tcW w:type="dxa" w:w="182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Constituciones de 2009 y 2008</w:t>
            </w:r>
          </w:p>
        </w:tc>
        <w:tc>
          <w:tcPr>
            <w:tcW w:type="dxa" w:w="31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Bolivia: educación "intracultural, intercultural y plurilingüe" (Art. 78). Ecuador: interculturalidad epistémica y </w:t>
            </w:r>
            <w:r>
              <w:rPr>
                <w:i/>
                <w:iCs/>
                <w:sz w:val="17"/>
                <w:szCs w:val="17"/>
              </w:rPr>
              <w:t xml:space="preserve">sumak kawsay</w:t>
            </w:r>
            <w:r>
              <w:rPr>
                <w:sz w:val="17"/>
                <w:szCs w:val="17"/>
              </w:rPr>
              <w:t xml:space="preserve"> (Arts. 27, 343 y 387)</w:t>
            </w:r>
          </w:p>
        </w:tc>
        <w:tc>
          <w:tcPr>
            <w:tcW w:type="dxa" w:w="334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Proponen refundación y descolonización, aunque tienen "problemas y contradicciones"</w:t>
            </w:r>
          </w:p>
        </w:tc>
      </w:tr>
    </w:tbl>
    <w:p>
      <w:pPr>
        <w:spacing w:after="120"/>
      </w:pPr>
    </w:p>
    <w:p>
      <w:pPr>
        <w:spacing w:after="120" w:line="276"/>
      </w:pPr>
      <w:r>
        <w:rPr>
          <w:i/>
          <w:iCs/>
        </w:rPr>
        <w:t xml:space="preserve">Fuentes:</w:t>
      </w:r>
      <w:r>
        <w:t xml:space="preserve"> Walsh (2009, secciones 2.1, 2.2 y 2.3).</w:t>
      </w:r>
    </w:p>
    <w:p>
      <w:pPr>
        <w:pStyle w:val="Heading2"/>
      </w:pPr>
      <w:bookmarkStart w:name="sec_13" w:id="14"/>
      <w:r>
        <w:t xml:space="preserve">1.11 La matriz de la colonialidad</w:t>
      </w:r>
      <w:bookmarkEnd w:id="1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86"/>
        <w:gridCol w:w="2164"/>
        <w:gridCol w:w="2345"/>
      </w:tblGrid>
      <w:tr>
        <w:trPr>
          <w:cantSplit/>
          <w:tblHeader/>
        </w:trPr>
        <w:tc>
          <w:tcPr>
            <w:tcW w:type="dxa" w:w="198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Dimensión</w:t>
            </w:r>
          </w:p>
        </w:tc>
        <w:tc>
          <w:tcPr>
            <w:tcW w:type="dxa" w:w="358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Qué produce</w:t>
            </w:r>
          </w:p>
        </w:tc>
        <w:tc>
          <w:tcPr>
            <w:tcW w:type="dxa" w:w="216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Referencia</w:t>
            </w:r>
          </w:p>
        </w:tc>
        <w:tc>
          <w:tcPr>
            <w:tcW w:type="dxa" w:w="234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Observable en gestión pública (</w:t>
            </w:r>
            <w:r>
              <w:rPr>
                <w:b/>
                <w:bCs/>
                <w:color w:val="FFFFFF"/>
                <w:sz w:val="17"/>
                <w:szCs w:val="17"/>
              </w:rPr>
              <w:t xml:space="preserve">◆</w:t>
            </w:r>
            <w:r>
              <w:rPr>
                <w:b/>
                <w:bCs/>
                <w:color w:val="FFFFFF"/>
                <w:sz w:val="17"/>
                <w:szCs w:val="17"/>
              </w:rPr>
              <w:t xml:space="preserve">)</w:t>
            </w:r>
          </w:p>
        </w:tc>
      </w:tr>
      <w:tr>
        <w:trPr>
          <w:cantSplit/>
          <w:tblHeader w:val="false"/>
        </w:trPr>
        <w:tc>
          <w:tcPr>
            <w:tcW w:type="dxa" w:w="198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Colonialidad del poder</w:t>
            </w:r>
          </w:p>
        </w:tc>
        <w:tc>
          <w:tcPr>
            <w:tcW w:type="dxa" w:w="35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Une la idea de "raza", como instrumento de clasificación y control social, con el capitalismo mundial. Fija una jerarquía racializada: blancos, mestizos, "indios" y "negros"</w:t>
            </w:r>
          </w:p>
        </w:tc>
        <w:tc>
          <w:tcPr>
            <w:tcW w:type="dxa" w:w="216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Quijano (2000, como se citó en Walsh, 2009, sección 3)</w:t>
            </w:r>
          </w:p>
        </w:tc>
        <w:tc>
          <w:tcPr>
            <w:tcW w:type="dxa" w:w="234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Quién ocupa los cargos de decisión y quién es "beneficiario"</w:t>
            </w:r>
          </w:p>
        </w:tc>
      </w:tr>
      <w:tr>
        <w:trPr>
          <w:cantSplit/>
          <w:tblHeader w:val="false"/>
        </w:trPr>
        <w:tc>
          <w:tcPr>
            <w:tcW w:type="dxa" w:w="198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Colonialidad del saber</w:t>
            </w:r>
          </w:p>
        </w:tc>
        <w:tc>
          <w:tcPr>
            <w:tcW w:type="dxa" w:w="35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Instala el eurocentrismo como perspectiva hegemónica de conocimiento, con binarios como primitivo/civilizado o mágico/científico</w:t>
            </w:r>
          </w:p>
        </w:tc>
        <w:tc>
          <w:tcPr>
            <w:tcW w:type="dxa" w:w="216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Quijano (2000, como se citó en Walsh, 2009, sección 3)</w:t>
            </w:r>
          </w:p>
        </w:tc>
        <w:tc>
          <w:tcPr>
            <w:tcW w:type="dxa" w:w="234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¿Se reconoce la medicina mapuche como conocimiento o solo como "creencia"?</w:t>
            </w:r>
          </w:p>
        </w:tc>
      </w:tr>
      <w:tr>
        <w:trPr>
          <w:cantSplit/>
          <w:tblHeader w:val="false"/>
        </w:trPr>
        <w:tc>
          <w:tcPr>
            <w:tcW w:type="dxa" w:w="198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Colonialidad del ser</w:t>
            </w:r>
          </w:p>
        </w:tc>
        <w:tc>
          <w:tcPr>
            <w:tcW w:type="dxa" w:w="35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deshumanización racial en la modernidad", la negación de la humanidad del sujeto colonizado</w:t>
            </w:r>
          </w:p>
        </w:tc>
        <w:tc>
          <w:tcPr>
            <w:tcW w:type="dxa" w:w="216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Maldonado-Torres (2007, como se citó en Walsh, 2009, sección 3)</w:t>
            </w:r>
          </w:p>
        </w:tc>
        <w:tc>
          <w:tcPr>
            <w:tcW w:type="dxa" w:w="234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Trato y lenguaje institucional que infantiliza o estigmatiza</w:t>
            </w:r>
          </w:p>
        </w:tc>
      </w:tr>
      <w:tr>
        <w:trPr>
          <w:cantSplit/>
          <w:tblHeader w:val="false"/>
        </w:trPr>
        <w:tc>
          <w:tcPr>
            <w:tcW w:type="dxa" w:w="198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Colonialidad cosmológica o de la madre naturaleza</w:t>
            </w:r>
          </w:p>
        </w:tc>
        <w:tc>
          <w:tcPr>
            <w:tcW w:type="dxa" w:w="35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Parte de la distinción binaria hombre/naturaleza y califica de "primitivas" las relaciones espirituales con la tierra y los ancestros</w:t>
            </w:r>
          </w:p>
        </w:tc>
        <w:tc>
          <w:tcPr>
            <w:tcW w:type="dxa" w:w="216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Walsh (2009, sección 3)</w:t>
            </w:r>
          </w:p>
        </w:tc>
        <w:tc>
          <w:tcPr>
            <w:tcW w:type="dxa" w:w="234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Proyectos territoriales que ignoran espacios sagrados</w:t>
            </w:r>
          </w:p>
        </w:tc>
      </w:tr>
    </w:tbl>
    <w:p>
      <w:pPr>
        <w:spacing w:after="120"/>
      </w:pPr>
    </w:p>
    <w:p>
      <w:pPr>
        <w:spacing w:after="120" w:line="276"/>
      </w:pPr>
      <w:r>
        <w:rPr>
          <w:b/>
          <w:bCs/>
        </w:rPr>
        <w:t xml:space="preserve">Síntesis:</w:t>
      </w:r>
      <w:r>
        <w:t xml:space="preserve"> esta "matriz cuatri-dimensionada" muestra que la diferencia colonial no es solo cultural ni solo de clase. La raza, el racismo y la racialización son "elementos constitutivos y fundantes de las relaciones de dominación y del capitalismo mismo" (Walsh, 2009, sección 3). De ahí que el proyecto crítico sea necesariamente </w:t>
      </w:r>
      <w:r>
        <w:rPr>
          <w:b/>
          <w:bCs/>
        </w:rPr>
        <w:t xml:space="preserve">de-colonial</w:t>
      </w:r>
      <w:r>
        <w:t xml:space="preserve"> y se exprese como </w:t>
      </w:r>
      <w:r>
        <w:rPr>
          <w:b/>
          <w:bCs/>
        </w:rPr>
        <w:t xml:space="preserve">pedagogía de-colonial</w:t>
      </w:r>
      <w:r>
        <w:t xml:space="preserve"> (Walsh, 2009, sección 3).</w:t>
      </w:r>
    </w:p>
    <w:p>
      <w:pPr>
        <w:spacing w:after="120" w:line="276"/>
      </w:pPr>
      <w:r>
        <w:rPr>
          <w:b/>
          <w:bCs/>
          <w:color w:val="C55A11"/>
        </w:rPr>
        <w:t xml:space="preserve">⚠</w:t>
      </w:r>
      <w:r>
        <w:t xml:space="preserve"> </w:t>
      </w:r>
      <w:r>
        <w:rPr>
          <w:b/>
          <w:bCs/>
        </w:rPr>
        <w:t xml:space="preserve">De-colonial, no "descolonial":</w:t>
      </w:r>
      <w:r>
        <w:t xml:space="preserve"> quitar la "s" no es un anglicismo. Busca marcar una postura continua de "transgredir, intervenir, in-surgir e incidir", porque las huellas coloniales no desaparecen simplemente (Walsh, 2009, nota 25). Del mismo modo, Walsh habla de modos "</w:t>
      </w:r>
      <w:r>
        <w:rPr>
          <w:b/>
          <w:bCs/>
        </w:rPr>
        <w:t xml:space="preserve">otros</w:t>
      </w:r>
      <w:r>
        <w:t xml:space="preserve">", no de "otros modos", para referirse a formas asentadas en la diferencia colonial (Walsh, 2009, nota 22).</w:t>
      </w:r>
    </w:p>
    <w:p>
      <w:pPr>
        <w:pStyle w:val="Heading2"/>
      </w:pPr>
      <w:bookmarkStart w:name="sec_14" w:id="15"/>
      <w:r>
        <w:t xml:space="preserve">1.12 Los ejes de la Comisión para la Paz y el Entendimiento (2023)</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1"/>
        <w:gridCol w:w="2571"/>
        <w:gridCol w:w="3466"/>
        <w:gridCol w:w="2022"/>
      </w:tblGrid>
      <w:tr>
        <w:trPr>
          <w:cantSplit/>
          <w:tblHeader/>
        </w:trPr>
        <w:tc>
          <w:tcPr>
            <w:tcW w:type="dxa" w:w="202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Eje</w:t>
            </w:r>
          </w:p>
        </w:tc>
        <w:tc>
          <w:tcPr>
            <w:tcW w:type="dxa" w:w="257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Diagnóstico o demanda</w:t>
            </w:r>
          </w:p>
        </w:tc>
        <w:tc>
          <w:tcPr>
            <w:tcW w:type="dxa" w:w="346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Dato clave</w:t>
            </w:r>
          </w:p>
        </w:tc>
        <w:tc>
          <w:tcPr>
            <w:tcW w:type="dxa" w:w="2022"/>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Concepto para analizarlo</w:t>
            </w:r>
          </w:p>
        </w:tc>
      </w:tr>
      <w:tr>
        <w:trPr>
          <w:cantSplit/>
          <w:tblHeader w:val="false"/>
        </w:trPr>
        <w:tc>
          <w:tcPr>
            <w:tcW w:type="dxa" w:w="202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1. Justicia y reconocimiento</w:t>
            </w:r>
          </w:p>
        </w:tc>
        <w:tc>
          <w:tcPr>
            <w:tcW w:type="dxa" w:w="257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El reconocimiento de los daños históricos se percibe insuficiente. La demanda central es el reconocimiento constitucional</w:t>
            </w:r>
          </w:p>
        </w:tc>
        <w:tc>
          <w:tcPr>
            <w:tcW w:type="dxa" w:w="34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Impulsado desde el Acuerdo de Nueva Imperial (1989). "El lenguaje construye realidades": Primeras Naciones de Canadá frente al Pueblo Mapuche</w:t>
            </w:r>
          </w:p>
        </w:tc>
        <w:tc>
          <w:tcPr>
            <w:tcW w:type="dxa" w:w="202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i/>
                <w:iCs/>
                <w:sz w:val="17"/>
                <w:szCs w:val="17"/>
              </w:rPr>
              <w:t xml:space="preserve">Polity</w:t>
            </w:r>
            <w:r>
              <w:rPr>
                <w:sz w:val="17"/>
                <w:szCs w:val="17"/>
              </w:rPr>
              <w:t xml:space="preserve">; interculturalidad funcional frente a crítica</w:t>
            </w:r>
          </w:p>
        </w:tc>
      </w:tr>
      <w:tr>
        <w:trPr>
          <w:cantSplit/>
          <w:tblHeader w:val="false"/>
        </w:trPr>
        <w:tc>
          <w:tcPr>
            <w:tcW w:type="dxa" w:w="202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2. Tierras</w:t>
            </w:r>
          </w:p>
        </w:tc>
        <w:tc>
          <w:tcPr>
            <w:tcW w:type="dxa" w:w="257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Pérdida territorial histórica</w:t>
            </w:r>
          </w:p>
        </w:tc>
        <w:tc>
          <w:tcPr>
            <w:tcW w:type="dxa" w:w="346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Del río Aconcagua (antes de la colonia) al Biobío (después); la "Pacificación de la Araucanía" redujo el territorio de </w:t>
            </w:r>
            <w:r>
              <w:rPr>
                <w:b/>
                <w:bCs/>
                <w:sz w:val="17"/>
                <w:szCs w:val="17"/>
              </w:rPr>
              <w:t xml:space="preserve">10 millones a 500 mil hectáreas</w:t>
            </w:r>
            <w:r>
              <w:rPr>
                <w:sz w:val="17"/>
                <w:szCs w:val="17"/>
              </w:rPr>
              <w:t xml:space="preserve">. </w:t>
            </w:r>
            <w:r>
              <w:rPr>
                <w:b/>
                <w:bCs/>
                <w:sz w:val="17"/>
                <w:szCs w:val="17"/>
              </w:rPr>
              <w:t xml:space="preserve">Cerca del 62% del presupuesto de CONADI</w:t>
            </w:r>
            <w:r>
              <w:rPr>
                <w:sz w:val="17"/>
                <w:szCs w:val="17"/>
              </w:rPr>
              <w:t xml:space="preserve"> se destina a comprar tierras</w:t>
            </w:r>
          </w:p>
        </w:tc>
        <w:tc>
          <w:tcPr>
            <w:tcW w:type="dxa" w:w="202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i/>
                <w:iCs/>
                <w:sz w:val="17"/>
                <w:szCs w:val="17"/>
              </w:rPr>
              <w:t xml:space="preserve">Policy</w:t>
            </w:r>
            <w:r>
              <w:rPr>
                <w:sz w:val="17"/>
                <w:szCs w:val="17"/>
              </w:rPr>
              <w:t xml:space="preserve">; incrementalismo; evaluación</w:t>
            </w:r>
          </w:p>
        </w:tc>
      </w:tr>
      <w:tr>
        <w:trPr>
          <w:cantSplit/>
          <w:tblHeader w:val="false"/>
        </w:trPr>
        <w:tc>
          <w:tcPr>
            <w:tcW w:type="dxa" w:w="202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3. Reparación a víctimas</w:t>
            </w:r>
          </w:p>
        </w:tc>
        <w:tc>
          <w:tcPr>
            <w:tcW w:type="dxa" w:w="257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Inseguridad: miedo, desconfianza, pérdida de presencia del Estado</w:t>
            </w:r>
          </w:p>
        </w:tc>
        <w:tc>
          <w:tcPr>
            <w:tcW w:type="dxa" w:w="34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1997 como punto de inflexión del conflicto. Medidas insuficientes, como el acceso preferente a subsidios habitacionales del PAVVR</w:t>
            </w:r>
          </w:p>
        </w:tc>
        <w:tc>
          <w:tcPr>
            <w:tcW w:type="dxa" w:w="202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Diseño defectuoso: "meras declaraciones" (Lahera)</w:t>
            </w:r>
          </w:p>
        </w:tc>
      </w:tr>
      <w:tr>
        <w:trPr>
          <w:cantSplit/>
          <w:tblHeader w:val="false"/>
        </w:trPr>
        <w:tc>
          <w:tcPr>
            <w:tcW w:type="dxa" w:w="202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4. Desarrollo territorial</w:t>
            </w:r>
          </w:p>
        </w:tc>
        <w:tc>
          <w:tcPr>
            <w:tcW w:type="dxa" w:w="257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Pobreza multidimensional; la pregunta de si es "¿una realidad alejada?"</w:t>
            </w:r>
          </w:p>
        </w:tc>
        <w:tc>
          <w:tcPr>
            <w:tcW w:type="dxa" w:w="346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 Araucanía tiene la </w:t>
            </w:r>
            <w:r>
              <w:rPr>
                <w:b/>
                <w:bCs/>
                <w:sz w:val="17"/>
                <w:szCs w:val="17"/>
              </w:rPr>
              <w:t xml:space="preserve">mayor incidencia de pobreza del país (28,6%)</w:t>
            </w:r>
            <w:r>
              <w:rPr>
                <w:sz w:val="17"/>
                <w:szCs w:val="17"/>
              </w:rPr>
              <w:t xml:space="preserve">, frente a un promedio nacional de 17,3% (2024)</w:t>
            </w:r>
          </w:p>
        </w:tc>
        <w:tc>
          <w:tcPr>
            <w:tcW w:type="dxa" w:w="2022"/>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Agenda; ventanas; enfoque territorial</w:t>
            </w:r>
          </w:p>
        </w:tc>
      </w:tr>
      <w:tr>
        <w:trPr>
          <w:cantSplit/>
          <w:tblHeader w:val="false"/>
        </w:trPr>
        <w:tc>
          <w:tcPr>
            <w:tcW w:type="dxa" w:w="202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5. Institucionalidad</w:t>
            </w:r>
          </w:p>
        </w:tc>
        <w:tc>
          <w:tcPr>
            <w:tcW w:type="dxa" w:w="257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Acción dispersa del Estado</w:t>
            </w:r>
          </w:p>
        </w:tc>
        <w:tc>
          <w:tcPr>
            <w:tcW w:type="dxa" w:w="34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CONADI coordina, pero actúan también Desarrollo Social, MOP, MINEDUC, MINSAL y MINVU. La Ley 19.253 reconoce </w:t>
            </w:r>
            <w:r>
              <w:rPr>
                <w:b/>
                <w:bCs/>
                <w:sz w:val="17"/>
                <w:szCs w:val="17"/>
              </w:rPr>
              <w:t xml:space="preserve">11 pueblos</w:t>
            </w:r>
          </w:p>
        </w:tc>
        <w:tc>
          <w:tcPr>
            <w:tcW w:type="dxa" w:w="2022"/>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Implementación top-down: coordinación</w:t>
            </w:r>
          </w:p>
        </w:tc>
      </w:tr>
    </w:tbl>
    <w:p>
      <w:pPr>
        <w:spacing w:after="120"/>
      </w:pPr>
    </w:p>
    <w:p>
      <w:pPr>
        <w:spacing w:after="120" w:line="276"/>
      </w:pPr>
      <w:r>
        <w:rPr>
          <w:i/>
          <w:iCs/>
        </w:rPr>
        <w:t xml:space="preserve">Fuente:</w:t>
      </w:r>
      <w:r>
        <w:t xml:space="preserve"> Soto (s.f.-c).</w:t>
      </w:r>
    </w:p>
    <w:p>
      <w:pPr>
        <w:spacing w:after="120" w:line="276"/>
      </w:pPr>
      <w:r>
        <w:rPr>
          <w:b/>
          <w:bCs/>
        </w:rPr>
        <w:t xml:space="preserve">Eje transversal, la gobernanza:</w:t>
      </w:r>
      <w:r>
        <w:t xml:space="preserve"> son "formas cooperativas de dirección, en las cuales el Estado interactúa con actores privados y sociales para producir decisiones y políticas" (Mayntz, 2001, como se citó en Soto, s.f.-c). La Comisión lo aplicó con un mapa de </w:t>
      </w:r>
      <w:r>
        <w:rPr>
          <w:b/>
          <w:bCs/>
        </w:rPr>
        <w:t xml:space="preserve">430 representantes</w:t>
      </w:r>
      <w:r>
        <w:t xml:space="preserve"> del sector público, comunidades mapuche, sector privado, sociedad civil, academia y organismos internacionales (Soto, s.f.-c).</w:t>
      </w:r>
    </w:p>
    <w:p>
      <w:r>
        <w:br w:type="page"/>
      </w:r>
    </w:p>
    <w:p>
      <w:pPr>
        <w:pStyle w:val="Heading1"/>
      </w:pPr>
      <w:bookmarkStart w:name="sec_15" w:id="16"/>
      <w:r>
        <w:t xml:space="preserve">2. Casos tipo prueba resueltos</w:t>
      </w:r>
      <w:bookmarkEnd w:id="16"/>
    </w:p>
    <w:p>
      <w:pPr>
        <w:pBdr>
          <w:left w:val="single" w:color="2E5597" w:sz="18" w:space="8"/>
        </w:pBdr>
        <w:shd w:fill="EEF3F9" w:color="auto" w:val="clear"/>
        <w:spacing w:after="0" w:before="0" w:line="276"/>
        <w:ind w:left="240" w:right="120"/>
      </w:pPr>
      <w:r>
        <w:rPr>
          <w:b/>
          <w:bCs/>
        </w:rPr>
        <w:t xml:space="preserve">Procedimiento para cualquier caso (método IDAC):</w:t>
      </w:r>
    </w:p>
    <w:p>
      <w:pPr>
        <w:pStyle w:val="ListParagraph"/>
        <w:numPr>
          <w:ilvl w:val="0"/>
          <w:numId w:val="9"/>
        </w:numPr>
        <w:pBdr>
          <w:left w:val="single" w:color="2E5597" w:sz="18" w:space="8"/>
        </w:pBdr>
        <w:shd w:fill="EEF3F9" w:color="auto" w:val="clear"/>
        <w:spacing w:after="60" w:line="264"/>
      </w:pPr>
      <w:r>
        <w:rPr>
          <w:b/>
          <w:bCs/>
        </w:rPr>
        <w:t xml:space="preserve">I</w:t>
      </w:r>
      <w:r>
        <w:t xml:space="preserve">dentificar el problema y el concepto que se pregunta.</w:t>
      </w:r>
    </w:p>
    <w:p>
      <w:pPr>
        <w:pStyle w:val="ListParagraph"/>
        <w:numPr>
          <w:ilvl w:val="0"/>
          <w:numId w:val="9"/>
        </w:numPr>
        <w:pBdr>
          <w:left w:val="single" w:color="2E5597" w:sz="18" w:space="8"/>
        </w:pBdr>
        <w:shd w:fill="EEF3F9" w:color="auto" w:val="clear"/>
        <w:spacing w:after="60" w:line="264"/>
      </w:pPr>
      <w:r>
        <w:rPr>
          <w:b/>
          <w:bCs/>
        </w:rPr>
        <w:t xml:space="preserve">D</w:t>
      </w:r>
      <w:r>
        <w:t xml:space="preserve">efinir el concepto con su autor y su cita.</w:t>
      </w:r>
    </w:p>
    <w:p>
      <w:pPr>
        <w:pStyle w:val="ListParagraph"/>
        <w:numPr>
          <w:ilvl w:val="0"/>
          <w:numId w:val="9"/>
        </w:numPr>
        <w:pBdr>
          <w:left w:val="single" w:color="2E5597" w:sz="18" w:space="8"/>
        </w:pBdr>
        <w:shd w:fill="EEF3F9" w:color="auto" w:val="clear"/>
        <w:spacing w:after="60" w:line="264"/>
      </w:pPr>
      <w:r>
        <w:rPr>
          <w:b/>
          <w:bCs/>
        </w:rPr>
        <w:t xml:space="preserve">A</w:t>
      </w:r>
      <w:r>
        <w:t xml:space="preserve">plicarlo al caso con evidencia del enunciado.</w:t>
      </w:r>
    </w:p>
    <w:p>
      <w:pPr>
        <w:pStyle w:val="ListParagraph"/>
        <w:numPr>
          <w:ilvl w:val="0"/>
          <w:numId w:val="9"/>
        </w:numPr>
        <w:pBdr>
          <w:left w:val="single" w:color="2E5597" w:sz="18" w:space="8"/>
        </w:pBdr>
        <w:shd w:fill="EEF3F9" w:color="auto" w:val="clear"/>
        <w:spacing w:after="60" w:line="264"/>
      </w:pPr>
      <w:r>
        <w:rPr>
          <w:b/>
          <w:bCs/>
        </w:rPr>
        <w:t xml:space="preserve">C</w:t>
      </w:r>
      <w:r>
        <w:t xml:space="preserve">oncluir con una postura y una limitación.</w:t>
      </w:r>
    </w:p>
    <w:p>
      <w:pPr>
        <w:spacing w:after="80"/>
      </w:pPr>
    </w:p>
    <w:p>
      <w:pPr>
        <w:pStyle w:val="Heading2"/>
      </w:pPr>
      <w:bookmarkStart w:name="sec_16" w:id="17"/>
      <w:r>
        <w:t xml:space="preserve">Caso 1. "Plan Comunal Intercultural": ¿declaración o práctica efectiva?</w:t>
      </w:r>
      <w:bookmarkEnd w:id="17"/>
    </w:p>
    <w:p>
      <w:pPr>
        <w:spacing w:after="120" w:line="276"/>
      </w:pPr>
      <w:r>
        <w:rPr>
          <w:b/>
          <w:bCs/>
        </w:rPr>
        <w:t xml:space="preserve">Tiempo sugerido:</w:t>
      </w:r>
      <w:r>
        <w:t xml:space="preserve"> 20 minutos · </w:t>
      </w:r>
      <w:r>
        <w:rPr>
          <w:b/>
          <w:bCs/>
        </w:rPr>
        <w:t xml:space="preserve">Puntaje:</w:t>
      </w:r>
      <w:r>
        <w:t xml:space="preserve"> 12 puntos</w:t>
      </w:r>
    </w:p>
    <w:p>
      <w:pPr>
        <w:pBdr>
          <w:left w:val="single" w:color="2E5597" w:sz="18" w:space="8"/>
        </w:pBdr>
        <w:shd w:fill="EEF3F9" w:color="auto" w:val="clear"/>
        <w:spacing w:after="0" w:before="0" w:line="276"/>
        <w:ind w:left="240" w:right="120"/>
      </w:pPr>
      <w:r>
        <w:rPr>
          <w:i/>
          <w:iCs/>
        </w:rPr>
        <w:t xml:space="preserve">Caso ficticio con fines pedagógicos.</w:t>
      </w:r>
      <w:r>
        <w:t xml:space="preserve"> La Municipalidad de "Villa Araucana", en una comuna con alta población mapuche, lanza su "Plan Comunal Intercultural". El plan incluye:</w:t>
      </w:r>
    </w:p>
    <w:p>
      <w:pPr>
        <w:pStyle w:val="ListParagraph"/>
        <w:numPr>
          <w:ilvl w:val="0"/>
          <w:numId w:val="10"/>
        </w:numPr>
        <w:pBdr>
          <w:left w:val="single" w:color="2E5597" w:sz="18" w:space="8"/>
        </w:pBdr>
        <w:shd w:fill="EEF3F9" w:color="auto" w:val="clear"/>
        <w:spacing w:after="60" w:line="264"/>
      </w:pPr>
      <w:r>
        <w:t xml:space="preserve">señalética bilingüe mapuzugun-castellano;</w:t>
      </w:r>
    </w:p>
    <w:p>
      <w:pPr>
        <w:pStyle w:val="ListParagraph"/>
        <w:numPr>
          <w:ilvl w:val="0"/>
          <w:numId w:val="10"/>
        </w:numPr>
        <w:pBdr>
          <w:left w:val="single" w:color="2E5597" w:sz="18" w:space="8"/>
        </w:pBdr>
        <w:shd w:fill="EEF3F9" w:color="auto" w:val="clear"/>
        <w:spacing w:after="60" w:line="264"/>
      </w:pPr>
      <w:r>
        <w:t xml:space="preserve">financiamiento de la celebración del </w:t>
      </w:r>
      <w:r>
        <w:rPr>
          <w:i/>
          <w:iCs/>
        </w:rPr>
        <w:t xml:space="preserve">We Tripantu</w:t>
      </w:r>
      <w:r>
        <w:t xml:space="preserve">;</w:t>
      </w:r>
    </w:p>
    <w:p>
      <w:pPr>
        <w:pStyle w:val="ListParagraph"/>
        <w:numPr>
          <w:ilvl w:val="0"/>
          <w:numId w:val="10"/>
        </w:numPr>
        <w:pBdr>
          <w:left w:val="single" w:color="2E5597" w:sz="18" w:space="8"/>
        </w:pBdr>
        <w:shd w:fill="EEF3F9" w:color="auto" w:val="clear"/>
        <w:spacing w:after="60" w:line="264"/>
      </w:pPr>
      <w:r>
        <w:t xml:space="preserve">un facilitador intercultural en el CESFAM.</w:t>
      </w:r>
    </w:p>
    <w:p>
      <w:pPr>
        <w:pBdr>
          <w:left w:val="single" w:color="2E5597" w:sz="18" w:space="8"/>
        </w:pBdr>
        <w:shd w:fill="EEF3F9" w:color="auto" w:val="clear"/>
        <w:spacing w:after="0" w:before="0" w:line="276"/>
        <w:ind w:left="240" w:right="120"/>
      </w:pPr>
      <w:r>
        <w:t xml:space="preserve">El Departamento de Cultura diseñó el plan en dos meses, sin instancias de participación de las comunidades. Tiene presupuesto por un año y no define indicadores. El alcalde declara que la comuna es "referente de interculturalidad".</w:t>
      </w:r>
    </w:p>
    <w:p>
      <w:pPr>
        <w:pBdr>
          <w:left w:val="single" w:color="2E5597" w:sz="18" w:space="8"/>
        </w:pBdr>
        <w:shd w:fill="EEF3F9" w:color="auto" w:val="clear"/>
        <w:spacing w:after="0" w:before="0" w:line="276"/>
        <w:ind w:left="240" w:right="120"/>
      </w:pPr>
      <w:r>
        <w:rPr>
          <w:b/>
          <w:bCs/>
        </w:rPr>
        <w:t xml:space="preserve">Preguntas:</w:t>
      </w:r>
      <w:r>
        <w:t xml:space="preserve">
a) Clasifique el plan según las perspectivas de Walsh (2009). Justifique.
b) Identifique dos "fugas" del ciclo de políticas según Lahera (2004).
c) Proponga tres rediseños que acerquen el plan a una interculturalidad crítica.</w:t>
      </w:r>
    </w:p>
    <w:p>
      <w:pPr>
        <w:spacing w:after="80"/>
      </w:pPr>
    </w:p>
    <w:p>
      <w:pPr>
        <w:spacing w:after="120" w:line="276"/>
      </w:pPr>
      <w:r>
        <w:rPr>
          <w:b/>
          <w:bCs/>
        </w:rPr>
        <w:t xml:space="preserve">Resolución paso a paso</w:t>
      </w:r>
    </w:p>
    <w:p>
      <w:pPr>
        <w:pStyle w:val="ListParagraph"/>
        <w:numPr>
          <w:ilvl w:val="0"/>
          <w:numId w:val="11"/>
        </w:numPr>
        <w:spacing w:after="60" w:line="264"/>
      </w:pPr>
      <w:r>
        <w:rPr>
          <w:b/>
          <w:bCs/>
        </w:rPr>
        <w:t xml:space="preserve">Identificar.</w:t>
      </w:r>
      <w:r>
        <w:t xml:space="preserve"> La pregunta de fondo es la de la clase 1: ¿declaración o práctica efectiva? (Soto, s.f.-a). Se evalúa con la distinción funcional/crítica de Walsh y con las fugas de Lahera.</w:t>
      </w:r>
    </w:p>
    <w:p>
      <w:pPr>
        <w:pStyle w:val="ListParagraph"/>
        <w:numPr>
          <w:ilvl w:val="0"/>
          <w:numId w:val="11"/>
        </w:numPr>
        <w:spacing w:after="60" w:line="264"/>
      </w:pPr>
      <w:r>
        <w:rPr>
          <w:b/>
          <w:bCs/>
        </w:rPr>
        <w:t xml:space="preserve">Definir.</w:t>
      </w:r>
      <w:r>
        <w:t xml:space="preserve"> La interculturalidad funcional reconoce la diversidad para incluirla en la estructura establecida sin tocar las causas de la asimetría. La crítica parte del problema estructural-colonial-racial y se construye desde abajo (Walsh, 2009, sección 1).</w:t>
      </w:r>
    </w:p>
    <w:p>
      <w:pPr>
        <w:pStyle w:val="ListParagraph"/>
        <w:numPr>
          <w:ilvl w:val="0"/>
          <w:numId w:val="11"/>
        </w:numPr>
        <w:spacing w:after="60" w:line="264"/>
      </w:pPr>
      <w:r>
        <w:rPr>
          <w:b/>
          <w:bCs/>
        </w:rPr>
        <w:t xml:space="preserve">Aplicar (a).</w:t>
      </w:r>
      <w:r>
        <w:t xml:space="preserve"> El plan reconoce y visibiliza (señalética, celebración, facilitador), pero:</w:t>
      </w:r>
    </w:p>
    <w:p>
      <w:pPr>
        <w:pStyle w:val="ListParagraph"/>
        <w:numPr>
          <w:ilvl w:val="1"/>
          <w:numId w:val="12"/>
        </w:numPr>
        <w:spacing w:after="60" w:line="264"/>
      </w:pPr>
      <w:r>
        <w:t xml:space="preserve">se diseñó </w:t>
      </w:r>
      <w:r>
        <w:rPr>
          <w:b/>
          <w:bCs/>
        </w:rPr>
        <w:t xml:space="preserve">desde arriba</w:t>
      </w:r>
      <w:r>
        <w:t xml:space="preserve">, sin las comunidades;</w:t>
      </w:r>
    </w:p>
    <w:p>
      <w:pPr>
        <w:pStyle w:val="ListParagraph"/>
        <w:numPr>
          <w:ilvl w:val="1"/>
          <w:numId w:val="12"/>
        </w:numPr>
        <w:spacing w:after="60" w:line="264"/>
      </w:pPr>
      <w:r>
        <w:t xml:space="preserve">no modifica estructuras: el facilitador se </w:t>
      </w:r>
      <w:r>
        <w:rPr>
          <w:i/>
          <w:iCs/>
        </w:rPr>
        <w:t xml:space="preserve">agrega</w:t>
      </w:r>
      <w:r>
        <w:t xml:space="preserve"> al CESFAM sin cambiar la organización de la atención;</w:t>
      </w:r>
    </w:p>
    <w:p>
      <w:pPr>
        <w:pStyle w:val="ListParagraph"/>
        <w:numPr>
          <w:ilvl w:val="1"/>
          <w:numId w:val="12"/>
        </w:numPr>
        <w:spacing w:after="60" w:line="264"/>
      </w:pPr>
      <w:r>
        <w:t xml:space="preserve">interpela solo a lo mapuche y no a funcionarios ni a la población no indígena.</w:t>
      </w:r>
    </w:p>
    <w:p>
      <w:pPr>
        <w:spacing w:after="60" w:line="264"/>
        <w:ind w:left="450"/>
      </w:pPr>
    </w:p>
    <w:p>
      <w:pPr>
        <w:spacing w:after="60" w:line="264"/>
        <w:ind w:left="450"/>
      </w:pPr>
      <w:r>
        <w:rPr>
          <w:b/>
          <w:bCs/>
        </w:rPr>
        <w:t xml:space="preserve">Conclusión:</w:t>
      </w:r>
      <w:r>
        <w:t xml:space="preserve"> predomina la interculturalidad </w:t>
      </w:r>
      <w:r>
        <w:rPr>
          <w:b/>
          <w:bCs/>
        </w:rPr>
        <w:t xml:space="preserve">funcional</w:t>
      </w:r>
      <w:r>
        <w:t xml:space="preserve">, con rasgos simbólicos. Es compatible con el orden existente y tampoco "cuestiona las reglas del juego" (Tubino, 2005, como se citó en Walsh, 2009, sección 1).</w:t>
      </w:r>
    </w:p>
    <w:p>
      <w:pPr>
        <w:pStyle w:val="ListParagraph"/>
        <w:numPr>
          <w:ilvl w:val="0"/>
          <w:numId w:val="11"/>
        </w:numPr>
        <w:spacing w:after="60" w:line="264"/>
      </w:pPr>
      <w:r>
        <w:rPr>
          <w:b/>
          <w:bCs/>
        </w:rPr>
        <w:t xml:space="preserve">Aplicar (b).</w:t>
      </w:r>
    </w:p>
    <w:p>
      <w:pPr>
        <w:pStyle w:val="ListParagraph"/>
        <w:numPr>
          <w:ilvl w:val="1"/>
          <w:numId w:val="13"/>
        </w:numPr>
        <w:spacing w:after="60" w:line="264"/>
      </w:pPr>
      <w:r>
        <w:rPr>
          <w:b/>
          <w:bCs/>
        </w:rPr>
        <w:t xml:space="preserve">Fuga de diseño:</w:t>
      </w:r>
      <w:r>
        <w:t xml:space="preserve"> sin indicadores ni continuidad presupuestaria, sus orientaciones corren el riesgo de ser "meras declaraciones, sin apoyo financiero o de personal" (Lahera, 2004, p. 12).</w:t>
      </w:r>
    </w:p>
    <w:p>
      <w:pPr>
        <w:pStyle w:val="ListParagraph"/>
        <w:numPr>
          <w:ilvl w:val="1"/>
          <w:numId w:val="13"/>
        </w:numPr>
        <w:spacing w:after="60" w:line="264"/>
      </w:pPr>
      <w:r>
        <w:rPr>
          <w:b/>
          <w:bCs/>
        </w:rPr>
        <w:t xml:space="preserve">Fuga de evaluación:</w:t>
      </w:r>
      <w:r>
        <w:t xml:space="preserve"> sin indicadores, la evaluación "puede simplemente no existir" (Lahera, 2004, p. 12).</w:t>
      </w:r>
    </w:p>
    <w:p>
      <w:pPr>
        <w:pStyle w:val="ListParagraph"/>
        <w:numPr>
          <w:ilvl w:val="1"/>
          <w:numId w:val="13"/>
        </w:numPr>
        <w:spacing w:after="60" w:line="264"/>
      </w:pPr>
      <w:r>
        <w:t xml:space="preserve">Vale también la </w:t>
      </w:r>
      <w:r>
        <w:rPr>
          <w:b/>
          <w:bCs/>
        </w:rPr>
        <w:t xml:space="preserve">fuga de agenda o participación</w:t>
      </w:r>
      <w:r>
        <w:t xml:space="preserve">: sectores subrepresentados (Lahera, 2004, p. 14).</w:t>
      </w:r>
    </w:p>
    <w:p>
      <w:pPr>
        <w:pStyle w:val="ListParagraph"/>
        <w:numPr>
          <w:ilvl w:val="0"/>
          <w:numId w:val="11"/>
        </w:numPr>
        <w:spacing w:after="60" w:line="264"/>
      </w:pPr>
      <w:r>
        <w:rPr>
          <w:b/>
          <w:bCs/>
        </w:rPr>
        <w:t xml:space="preserve">Aplicar (c).</w:t>
      </w:r>
      <w:r>
        <w:t xml:space="preserve"> Tres rediseños:</w:t>
      </w:r>
    </w:p>
    <w:p>
      <w:pPr>
        <w:pStyle w:val="ListParagraph"/>
        <w:numPr>
          <w:ilvl w:val="1"/>
          <w:numId w:val="14"/>
        </w:numPr>
        <w:spacing w:after="60" w:line="264"/>
      </w:pPr>
      <w:r>
        <w:rPr>
          <w:b/>
          <w:bCs/>
        </w:rPr>
        <w:t xml:space="preserve">Participación vinculante en la formulación.</w:t>
      </w:r>
      <w:r>
        <w:t xml:space="preserve"> Pasar del nivel de información al de participación en las decisiones y la implementación (Lahera, 2004, p. 18).</w:t>
      </w:r>
    </w:p>
    <w:p>
      <w:pPr>
        <w:pStyle w:val="ListParagraph"/>
        <w:numPr>
          <w:ilvl w:val="1"/>
          <w:numId w:val="14"/>
        </w:numPr>
        <w:spacing w:after="60" w:line="264"/>
      </w:pPr>
      <w:r>
        <w:rPr>
          <w:b/>
          <w:bCs/>
        </w:rPr>
        <w:t xml:space="preserve">Cambio estructural.</w:t>
      </w:r>
      <w:r>
        <w:t xml:space="preserve"> Por ejemplo, un modelo de co-gestión con las organizaciones, como el que Walsh describe para la DINEIB ecuatoriana, donde las organizaciones indígenas nombran funcionarios (Walsh, 2009, nota 7). También formación intercultural obligatoria para </w:t>
      </w:r>
      <w:r>
        <w:rPr>
          <w:b/>
          <w:bCs/>
        </w:rPr>
        <w:t xml:space="preserve">todo</w:t>
      </w:r>
      <w:r>
        <w:t xml:space="preserve"> el personal municipal, porque el problema "no reside solamente en las poblaciones indígenas" (Walsh, 2009, sección 1).</w:t>
      </w:r>
    </w:p>
    <w:p>
      <w:pPr>
        <w:pStyle w:val="ListParagraph"/>
        <w:numPr>
          <w:ilvl w:val="1"/>
          <w:numId w:val="14"/>
        </w:numPr>
        <w:spacing w:after="60" w:line="264"/>
      </w:pPr>
      <w:r>
        <w:rPr>
          <w:b/>
          <w:bCs/>
        </w:rPr>
        <w:t xml:space="preserve">Dimensión epistémica y medición.</w:t>
      </w:r>
      <w:r>
        <w:t xml:space="preserve"> Reconocer los saberes de salud mapuche como conocimiento, no como folklore (colonialidad del saber; Quijano, 2000, como se citó en Walsh, 2009, sección 3), e incorporar indicadores (Lahera, 2004, p. 9, característica 11).</w:t>
      </w:r>
    </w:p>
    <w:p>
      <w:pPr>
        <w:pStyle w:val="ListParagraph"/>
        <w:numPr>
          <w:ilvl w:val="0"/>
          <w:numId w:val="11"/>
        </w:numPr>
        <w:spacing w:after="60" w:line="264"/>
      </w:pPr>
      <w:r>
        <w:rPr>
          <w:b/>
          <w:bCs/>
        </w:rPr>
        <w:t xml:space="preserve">Concluir.</w:t>
      </w:r>
      <w:r>
        <w:t xml:space="preserve"> El plan es un avance </w:t>
      </w:r>
      <w:r>
        <w:rPr>
          <w:b/>
          <w:bCs/>
        </w:rPr>
        <w:t xml:space="preserve">declarativo</w:t>
      </w:r>
      <w:r>
        <w:t xml:space="preserve">. Solo sería práctica efectiva si redistribuye poder de decisión y transforma estructuras. Limitación: según Walsh, la interculturalidad crítica "aún no existe, es algo por construir" desde la gente (Walsh, 2009, sección 1). Un municipio no puede decretarla, pero sí puede abrir condiciones para que se construya.</w:t>
      </w:r>
    </w:p>
    <w:p>
      <w:pPr>
        <w:spacing w:after="60"/>
      </w:pPr>
    </w:p>
    <w:p>
      <w:pPr>
        <w:spacing w:after="120" w:line="276"/>
      </w:pPr>
      <w:r>
        <w:rPr>
          <w:b/>
          <w:bCs/>
        </w:rPr>
        <w:t xml:space="preserve">Rúbrica analítica, caso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3"/>
        <w:gridCol w:w="3106"/>
        <w:gridCol w:w="2176"/>
        <w:gridCol w:w="1664"/>
        <w:gridCol w:w="1581"/>
      </w:tblGrid>
      <w:tr>
        <w:trPr>
          <w:cantSplit/>
          <w:tblHeader/>
        </w:trPr>
        <w:tc>
          <w:tcPr>
            <w:tcW w:type="dxa" w:w="1553"/>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Criterio</w:t>
            </w:r>
          </w:p>
        </w:tc>
        <w:tc>
          <w:tcPr>
            <w:tcW w:type="dxa" w:w="310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Logrado (3)</w:t>
            </w:r>
          </w:p>
        </w:tc>
        <w:tc>
          <w:tcPr>
            <w:tcW w:type="dxa" w:w="217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Parcial (2)</w:t>
            </w:r>
          </w:p>
        </w:tc>
        <w:tc>
          <w:tcPr>
            <w:tcW w:type="dxa" w:w="166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Inicial (1)</w:t>
            </w:r>
          </w:p>
        </w:tc>
        <w:tc>
          <w:tcPr>
            <w:tcW w:type="dxa" w:w="158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Ausente (0)</w:t>
            </w:r>
          </w:p>
        </w:tc>
      </w:tr>
      <w:tr>
        <w:trPr>
          <w:cantSplit/>
          <w:tblHeader w:val="false"/>
        </w:trPr>
        <w:tc>
          <w:tcPr>
            <w:tcW w:type="dxa" w:w="155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Precisión conceptual</w:t>
            </w:r>
          </w:p>
        </w:tc>
        <w:tc>
          <w:tcPr>
            <w:tcW w:type="dxa" w:w="31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Define funcional y crítica con sus rasgos distintivos (desde arriba/abajo, estructura, poder) y cita a Walsh</w:t>
            </w:r>
          </w:p>
        </w:tc>
        <w:tc>
          <w:tcPr>
            <w:tcW w:type="dxa" w:w="217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Define ambas, pero sin el rasgo distintivo o sin cita</w:t>
            </w:r>
          </w:p>
        </w:tc>
        <w:tc>
          <w:tcPr>
            <w:tcW w:type="dxa" w:w="166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Define solo una o de forma vaga</w:t>
            </w:r>
          </w:p>
        </w:tc>
        <w:tc>
          <w:tcPr>
            <w:tcW w:type="dxa" w:w="158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define</w:t>
            </w:r>
          </w:p>
        </w:tc>
      </w:tr>
      <w:tr>
        <w:trPr>
          <w:cantSplit/>
          <w:tblHeader w:val="false"/>
        </w:trPr>
        <w:tc>
          <w:tcPr>
            <w:tcW w:type="dxa" w:w="155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Aplicación al caso</w:t>
            </w:r>
          </w:p>
        </w:tc>
        <w:tc>
          <w:tcPr>
            <w:tcW w:type="dxa" w:w="31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Usa al menos tres evidencias del enunciado para clasificar</w:t>
            </w:r>
          </w:p>
        </w:tc>
        <w:tc>
          <w:tcPr>
            <w:tcW w:type="dxa" w:w="217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Usa una o dos evidencias</w:t>
            </w:r>
          </w:p>
        </w:tc>
        <w:tc>
          <w:tcPr>
            <w:tcW w:type="dxa" w:w="166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Clasifica sin evidencia</w:t>
            </w:r>
          </w:p>
        </w:tc>
        <w:tc>
          <w:tcPr>
            <w:tcW w:type="dxa" w:w="158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 clasifica o clasifica mal</w:t>
            </w:r>
          </w:p>
        </w:tc>
      </w:tr>
      <w:tr>
        <w:trPr>
          <w:cantSplit/>
          <w:tblHeader w:val="false"/>
        </w:trPr>
        <w:tc>
          <w:tcPr>
            <w:tcW w:type="dxa" w:w="155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Análisis del ciclo (Lahera)</w:t>
            </w:r>
          </w:p>
        </w:tc>
        <w:tc>
          <w:tcPr>
            <w:tcW w:type="dxa" w:w="31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Identifica dos fugas correctas con cita y las conecta con el caso</w:t>
            </w:r>
          </w:p>
        </w:tc>
        <w:tc>
          <w:tcPr>
            <w:tcW w:type="dxa" w:w="217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Identifica dos fugas sin conectarlas, o una conectada</w:t>
            </w:r>
          </w:p>
        </w:tc>
        <w:tc>
          <w:tcPr>
            <w:tcW w:type="dxa" w:w="166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Menciona fugas genéricas</w:t>
            </w:r>
          </w:p>
        </w:tc>
        <w:tc>
          <w:tcPr>
            <w:tcW w:type="dxa" w:w="158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responde</w:t>
            </w:r>
          </w:p>
        </w:tc>
      </w:tr>
      <w:tr>
        <w:trPr>
          <w:cantSplit/>
          <w:tblHeader w:val="false"/>
        </w:trPr>
        <w:tc>
          <w:tcPr>
            <w:tcW w:type="dxa" w:w="155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Propuesta y juicio crítico</w:t>
            </w:r>
          </w:p>
        </w:tc>
        <w:tc>
          <w:tcPr>
            <w:tcW w:type="dxa" w:w="31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Tres rediseños coherentes con la interculturalidad crítica, más una limitación</w:t>
            </w:r>
          </w:p>
        </w:tc>
        <w:tc>
          <w:tcPr>
            <w:tcW w:type="dxa" w:w="217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Dos rediseños coherentes o sin limitación</w:t>
            </w:r>
          </w:p>
        </w:tc>
        <w:tc>
          <w:tcPr>
            <w:tcW w:type="dxa" w:w="166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Rediseños solo simbólicos</w:t>
            </w:r>
          </w:p>
        </w:tc>
        <w:tc>
          <w:tcPr>
            <w:tcW w:type="dxa" w:w="158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 propone</w:t>
            </w:r>
          </w:p>
        </w:tc>
      </w:tr>
    </w:tbl>
    <w:p>
      <w:pPr>
        <w:spacing w:after="120"/>
      </w:pPr>
    </w:p>
    <w:p>
      <w:pPr>
        <w:pStyle w:val="Heading2"/>
      </w:pPr>
      <w:bookmarkStart w:name="sec_17" w:id="18"/>
      <w:r>
        <w:t xml:space="preserve">Caso 2. La política de compra de tierras</w:t>
      </w:r>
      <w:bookmarkEnd w:id="18"/>
    </w:p>
    <w:p>
      <w:pPr>
        <w:spacing w:after="120" w:line="276"/>
      </w:pPr>
      <w:r>
        <w:rPr>
          <w:b/>
          <w:bCs/>
        </w:rPr>
        <w:t xml:space="preserve">Tiempo sugerido:</w:t>
      </w:r>
      <w:r>
        <w:t xml:space="preserve"> 20 minutos · </w:t>
      </w:r>
      <w:r>
        <w:rPr>
          <w:b/>
          <w:bCs/>
        </w:rPr>
        <w:t xml:space="preserve">Puntaje:</w:t>
      </w:r>
      <w:r>
        <w:t xml:space="preserve"> 12 puntos</w:t>
      </w:r>
    </w:p>
    <w:p>
      <w:pPr>
        <w:pBdr>
          <w:left w:val="single" w:color="2E5597" w:sz="18" w:space="8"/>
        </w:pBdr>
        <w:shd w:fill="EEF3F9" w:color="auto" w:val="clear"/>
        <w:spacing w:after="0" w:before="0" w:line="276"/>
        <w:ind w:left="240" w:right="120"/>
      </w:pPr>
      <w:r>
        <w:t xml:space="preserve">Según el material del curso, cerca del 62% del presupuesto de CONADI se destina a comprar tierras. La serie 1993–2024 muestra montos muy irregulares: años cercanos a 16.000–19.000 hectáreas y otros con compras mínimas (Soto, s.f.-c). Históricamente, el territorio mapuche se redujo de 10 millones a 500 mil hectáreas.</w:t>
      </w:r>
    </w:p>
    <w:p>
      <w:pPr>
        <w:pBdr>
          <w:left w:val="single" w:color="2E5597" w:sz="18" w:space="8"/>
        </w:pBdr>
        <w:shd w:fill="EEF3F9" w:color="auto" w:val="clear"/>
        <w:spacing w:after="0" w:before="0" w:line="276"/>
        <w:ind w:left="240" w:right="120"/>
      </w:pPr>
      <w:r>
        <w:rPr>
          <w:b/>
          <w:bCs/>
        </w:rPr>
        <w:t xml:space="preserve">Preguntas:</w:t>
      </w:r>
      <w:r>
        <w:t xml:space="preserve">
a) ¿Qué componente de la distinción polity/politics/policy es esta política? Justifique.
b) Formule dos hipótesis sobre la irregularidad de las compras usando modelos de decisión y ventanas de oportunidad.
c) Proponga tres indicadores de evaluación y fundamente con Lahera.</w:t>
      </w:r>
    </w:p>
    <w:p>
      <w:pPr>
        <w:spacing w:after="80"/>
      </w:pPr>
    </w:p>
    <w:p>
      <w:pPr>
        <w:spacing w:after="120" w:line="276"/>
      </w:pPr>
      <w:r>
        <w:rPr>
          <w:b/>
          <w:bCs/>
        </w:rPr>
        <w:t xml:space="preserve">Resolución paso a paso</w:t>
      </w:r>
    </w:p>
    <w:p>
      <w:pPr>
        <w:pStyle w:val="ListParagraph"/>
        <w:numPr>
          <w:ilvl w:val="0"/>
          <w:numId w:val="15"/>
        </w:numPr>
        <w:spacing w:after="60" w:line="264"/>
      </w:pPr>
      <w:r>
        <w:rPr>
          <w:b/>
          <w:bCs/>
        </w:rPr>
        <w:t xml:space="preserve">(a)</w:t>
      </w:r>
      <w:r>
        <w:t xml:space="preserve"> Es </w:t>
      </w:r>
      <w:r>
        <w:rPr>
          <w:i/>
          <w:iCs/>
        </w:rPr>
        <w:t xml:space="preserve">public policy</w:t>
      </w:r>
      <w:r>
        <w:t xml:space="preserve">: una acción concreta del Estado frente a un problema público, la pérdida territorial (Howlett et al., 2009, como se citó en Soto, s.f.-b). Se conecta con la </w:t>
      </w:r>
      <w:r>
        <w:rPr>
          <w:i/>
          <w:iCs/>
        </w:rPr>
        <w:t xml:space="preserve">polity</w:t>
      </w:r>
      <w:r>
        <w:t xml:space="preserve"> porque se ejecuta bajo la Ley 19.253, y con la </w:t>
      </w:r>
      <w:r>
        <w:rPr>
          <w:i/>
          <w:iCs/>
        </w:rPr>
        <w:t xml:space="preserve">politics</w:t>
      </w:r>
      <w:r>
        <w:t xml:space="preserve"> porque depende de la disputa presupuestaria.</w:t>
      </w:r>
    </w:p>
    <w:p>
      <w:pPr>
        <w:pStyle w:val="ListParagraph"/>
        <w:numPr>
          <w:ilvl w:val="0"/>
          <w:numId w:val="15"/>
        </w:numPr>
        <w:spacing w:after="60" w:line="264"/>
      </w:pPr>
      <w:r>
        <w:rPr>
          <w:b/>
          <w:bCs/>
        </w:rPr>
        <w:t xml:space="preserve">(b) Hipótesis.</w:t>
      </w:r>
      <w:r>
        <w:t xml:space="preserve"> Plantéalas con lenguaje condicional, porque el material no explica las causas.</w:t>
      </w:r>
    </w:p>
    <w:p>
      <w:pPr>
        <w:pStyle w:val="ListParagraph"/>
        <w:numPr>
          <w:ilvl w:val="1"/>
          <w:numId w:val="16"/>
        </w:numPr>
        <w:spacing w:after="60" w:line="264"/>
      </w:pPr>
      <w:r>
        <w:rPr>
          <w:b/>
          <w:bCs/>
        </w:rPr>
        <w:t xml:space="preserve">H1, ventanas de rutina y discrecionales.</w:t>
      </w:r>
      <w:r>
        <w:t xml:space="preserve"> Los máximos podrían coincidir con discusiones presupuestarias favorables (rutina) o con prioridades de cada gobierno (discrecional) (Soto, s.f.-b).</w:t>
      </w:r>
    </w:p>
    <w:p>
      <w:pPr>
        <w:pStyle w:val="ListParagraph"/>
        <w:numPr>
          <w:ilvl w:val="1"/>
          <w:numId w:val="16"/>
        </w:numPr>
        <w:spacing w:after="60" w:line="264"/>
      </w:pPr>
      <w:r>
        <w:rPr>
          <w:b/>
          <w:bCs/>
        </w:rPr>
        <w:t xml:space="preserve">H2, racionalidad limitada o cubo de basura.</w:t>
      </w:r>
      <w:r>
        <w:t xml:space="preserve"> Sin un plan de largo plazo, las compras podrían depender de soluciones disponibles (predios en venta, recursos del año) que "buscan" problemas. Eso encaja con la descripción del cubo de basura (Cohen et al., 1972, como se citó en Lahera, 2004, p. 11). Una alternativa es la racionalidad limitada: compras "satisfactorias" según la información disponible (Soto, s.f.-b).</w:t>
      </w:r>
    </w:p>
    <w:p>
      <w:pPr>
        <w:pStyle w:val="ListParagraph"/>
        <w:numPr>
          <w:ilvl w:val="0"/>
          <w:numId w:val="15"/>
        </w:numPr>
        <w:spacing w:after="60" w:line="264"/>
      </w:pPr>
      <w:r>
        <w:rPr>
          <w:b/>
          <w:bCs/>
        </w:rPr>
        <w:t xml:space="preserve">(c) Indicadores.</w:t>
      </w:r>
      <w:r>
        <w:t xml:space="preserve"> Lahera exige indicadores de costo unitario, economía, eficacia y eficiencia (Lahera, 2004, p. 9). Propuesta:</w:t>
      </w:r>
    </w:p>
    <w:p>
      <w:pPr>
        <w:pStyle w:val="ListParagraph"/>
        <w:numPr>
          <w:ilvl w:val="1"/>
          <w:numId w:val="17"/>
        </w:numPr>
        <w:spacing w:after="60" w:line="264"/>
      </w:pPr>
      <w:r>
        <w:rPr>
          <w:b/>
          <w:bCs/>
        </w:rPr>
        <w:t xml:space="preserve">Costo por hectárea</w:t>
      </w:r>
      <w:r>
        <w:t xml:space="preserve"> transferida (costo unitario).</w:t>
      </w:r>
    </w:p>
    <w:p>
      <w:pPr>
        <w:pStyle w:val="ListParagraph"/>
        <w:numPr>
          <w:ilvl w:val="1"/>
          <w:numId w:val="17"/>
        </w:numPr>
        <w:spacing w:after="60" w:line="264"/>
      </w:pPr>
      <w:r>
        <w:rPr>
          <w:b/>
          <w:bCs/>
        </w:rPr>
        <w:t xml:space="preserve">Porcentaje de las demandas territoriales priorizadas que se resolvieron</w:t>
      </w:r>
      <w:r>
        <w:t xml:space="preserve"> (eficacia).</w:t>
      </w:r>
    </w:p>
    <w:p>
      <w:pPr>
        <w:pStyle w:val="ListParagraph"/>
        <w:numPr>
          <w:ilvl w:val="1"/>
          <w:numId w:val="17"/>
        </w:numPr>
        <w:spacing w:after="60" w:line="264"/>
      </w:pPr>
      <w:r>
        <w:rPr>
          <w:b/>
          <w:bCs/>
        </w:rPr>
        <w:t xml:space="preserve">Uso productivo o cultural de las tierras a 5 años</w:t>
      </w:r>
      <w:r>
        <w:t xml:space="preserve">, medido con las comunidades. Esto responde a la advertencia de que es posible que "se gasten más recursos sin que los resultados mejoren" (Lahera, 2004, p. 12) y aplica la evaluación interactiva con </w:t>
      </w:r>
      <w:r>
        <w:rPr>
          <w:i/>
          <w:iCs/>
        </w:rPr>
        <w:t xml:space="preserve">stakeholders</w:t>
      </w:r>
      <w:r>
        <w:t xml:space="preserve"> (Lahera, 2004, p. 23).</w:t>
      </w:r>
    </w:p>
    <w:p>
      <w:pPr>
        <w:pStyle w:val="ListParagraph"/>
        <w:numPr>
          <w:ilvl w:val="0"/>
          <w:numId w:val="15"/>
        </w:numPr>
        <w:spacing w:after="60" w:line="264"/>
      </w:pPr>
      <w:r>
        <w:rPr>
          <w:b/>
          <w:bCs/>
        </w:rPr>
        <w:t xml:space="preserve">Concluir.</w:t>
      </w:r>
      <w:r>
        <w:t xml:space="preserve"> Una política que absorbe cerca del 62% del presupuesto institucional sin evaluación sistemática ilustra la advertencia de que en América Latina la evaluación es "una actividad casi inexistente" (Lahera, 2004, p. 23). </w:t>
      </w:r>
      <w:r>
        <w:rPr>
          <w:b/>
          <w:bCs/>
          <w:color w:val="7030A0"/>
        </w:rPr>
        <w:t xml:space="preserve">◆</w:t>
      </w:r>
      <w:r>
        <w:t xml:space="preserve"> Desde Walsh, cabe preguntarse si comprar tierras, sin un reconocimiento más amplio, repara o solo administra el conflicto.</w:t>
      </w:r>
    </w:p>
    <w:p>
      <w:pPr>
        <w:spacing w:after="60"/>
      </w:pPr>
    </w:p>
    <w:p>
      <w:pPr>
        <w:spacing w:after="120" w:line="276"/>
      </w:pPr>
      <w:r>
        <w:rPr>
          <w:b/>
          <w:bCs/>
        </w:rPr>
        <w:t xml:space="preserve">Rúbrica analítica, caso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2666"/>
        <w:gridCol w:w="1959"/>
        <w:gridCol w:w="1808"/>
        <w:gridCol w:w="1300"/>
      </w:tblGrid>
      <w:tr>
        <w:trPr>
          <w:cantSplit/>
          <w:tblHeader/>
        </w:trPr>
        <w:tc>
          <w:tcPr>
            <w:tcW w:type="dxa" w:w="234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Criterio</w:t>
            </w:r>
          </w:p>
        </w:tc>
        <w:tc>
          <w:tcPr>
            <w:tcW w:type="dxa" w:w="266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Logrado (3)</w:t>
            </w:r>
          </w:p>
        </w:tc>
        <w:tc>
          <w:tcPr>
            <w:tcW w:type="dxa" w:w="1959"/>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Parcial (2)</w:t>
            </w:r>
          </w:p>
        </w:tc>
        <w:tc>
          <w:tcPr>
            <w:tcW w:type="dxa" w:w="180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Inicial (1)</w:t>
            </w:r>
          </w:p>
        </w:tc>
        <w:tc>
          <w:tcPr>
            <w:tcW w:type="dxa" w:w="1300"/>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Ausente (0)</w:t>
            </w:r>
          </w:p>
        </w:tc>
      </w:tr>
      <w:tr>
        <w:trPr>
          <w:cantSplit/>
          <w:tblHeader w:val="false"/>
        </w:trPr>
        <w:tc>
          <w:tcPr>
            <w:tcW w:type="dxa" w:w="234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Clasificación polity/politics/policy</w:t>
            </w:r>
          </w:p>
        </w:tc>
        <w:tc>
          <w:tcPr>
            <w:tcW w:type="dxa" w:w="26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Clasifica como </w:t>
            </w:r>
            <w:r>
              <w:rPr>
                <w:i/>
                <w:iCs/>
                <w:sz w:val="17"/>
                <w:szCs w:val="17"/>
              </w:rPr>
              <w:t xml:space="preserve">policy</w:t>
            </w:r>
            <w:r>
              <w:rPr>
                <w:sz w:val="17"/>
                <w:szCs w:val="17"/>
              </w:rPr>
              <w:t xml:space="preserve"> y vincula con los otros dos niveles, con cita</w:t>
            </w:r>
          </w:p>
        </w:tc>
        <w:tc>
          <w:tcPr>
            <w:tcW w:type="dxa" w:w="19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Clasifica bien sin vincular</w:t>
            </w:r>
          </w:p>
        </w:tc>
        <w:tc>
          <w:tcPr>
            <w:tcW w:type="dxa" w:w="180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Clasificación ambigua</w:t>
            </w:r>
          </w:p>
        </w:tc>
        <w:tc>
          <w:tcPr>
            <w:tcW w:type="dxa" w:w="130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Incorrecta</w:t>
            </w:r>
          </w:p>
        </w:tc>
      </w:tr>
      <w:tr>
        <w:trPr>
          <w:cantSplit/>
          <w:tblHeader w:val="false"/>
        </w:trPr>
        <w:tc>
          <w:tcPr>
            <w:tcW w:type="dxa" w:w="234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Hipótesis con teoría</w:t>
            </w:r>
          </w:p>
        </w:tc>
        <w:tc>
          <w:tcPr>
            <w:tcW w:type="dxa" w:w="266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Dos hipótesis distintas, condicionales, cada una con su modelo o ventana y cita</w:t>
            </w:r>
          </w:p>
        </w:tc>
        <w:tc>
          <w:tcPr>
            <w:tcW w:type="dxa" w:w="19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Dos hipótesis, una sin teoría</w:t>
            </w:r>
          </w:p>
        </w:tc>
        <w:tc>
          <w:tcPr>
            <w:tcW w:type="dxa" w:w="180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Una hipótesis</w:t>
            </w:r>
          </w:p>
        </w:tc>
        <w:tc>
          <w:tcPr>
            <w:tcW w:type="dxa" w:w="130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 responde</w:t>
            </w:r>
          </w:p>
        </w:tc>
      </w:tr>
      <w:tr>
        <w:trPr>
          <w:cantSplit/>
          <w:tblHeader w:val="false"/>
        </w:trPr>
        <w:tc>
          <w:tcPr>
            <w:tcW w:type="dxa" w:w="234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Indicadores</w:t>
            </w:r>
          </w:p>
        </w:tc>
        <w:tc>
          <w:tcPr>
            <w:tcW w:type="dxa" w:w="266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Tres indicadores medibles, tipificados (costo unitario, eficacia…) y fundados en Lahera</w:t>
            </w:r>
          </w:p>
        </w:tc>
        <w:tc>
          <w:tcPr>
            <w:tcW w:type="dxa" w:w="1959"/>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Tres indicadores sin tipificar, o dos correctos</w:t>
            </w:r>
          </w:p>
        </w:tc>
        <w:tc>
          <w:tcPr>
            <w:tcW w:type="dxa" w:w="180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Indicadores vagos ("mejorar la calidad")</w:t>
            </w:r>
          </w:p>
        </w:tc>
        <w:tc>
          <w:tcPr>
            <w:tcW w:type="dxa" w:w="1300"/>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propone</w:t>
            </w:r>
          </w:p>
        </w:tc>
      </w:tr>
      <w:tr>
        <w:trPr>
          <w:cantSplit/>
          <w:tblHeader w:val="false"/>
        </w:trPr>
        <w:tc>
          <w:tcPr>
            <w:tcW w:type="dxa" w:w="234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Juicio crítico</w:t>
            </w:r>
          </w:p>
        </w:tc>
        <w:tc>
          <w:tcPr>
            <w:tcW w:type="dxa" w:w="266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Conclusión que cruza evaluación (Lahera) con reparación (Walsh o el eje de tierras)</w:t>
            </w:r>
          </w:p>
        </w:tc>
        <w:tc>
          <w:tcPr>
            <w:tcW w:type="dxa" w:w="1959"/>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Conclusión solo técnica</w:t>
            </w:r>
          </w:p>
        </w:tc>
        <w:tc>
          <w:tcPr>
            <w:tcW w:type="dxa" w:w="180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Conclusión descriptiva</w:t>
            </w:r>
          </w:p>
        </w:tc>
        <w:tc>
          <w:tcPr>
            <w:tcW w:type="dxa" w:w="1300"/>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 concluye</w:t>
            </w:r>
          </w:p>
        </w:tc>
      </w:tr>
    </w:tbl>
    <w:p>
      <w:pPr>
        <w:spacing w:after="120"/>
      </w:pPr>
    </w:p>
    <w:p>
      <w:pPr>
        <w:pStyle w:val="Heading2"/>
      </w:pPr>
      <w:bookmarkStart w:name="sec_18" w:id="19"/>
      <w:r>
        <w:t xml:space="preserve">Caso 3. La Comisión para la Paz y el Entendimiento</w:t>
      </w:r>
      <w:bookmarkEnd w:id="19"/>
    </w:p>
    <w:p>
      <w:pPr>
        <w:spacing w:after="120" w:line="276"/>
      </w:pPr>
      <w:r>
        <w:t xml:space="preserve">Este caso resuelve la pregunta 11 del diagnóstico.</w:t>
      </w:r>
    </w:p>
    <w:p>
      <w:pPr>
        <w:spacing w:after="120" w:line="276"/>
      </w:pPr>
      <w:r>
        <w:rPr>
          <w:b/>
          <w:bCs/>
        </w:rPr>
        <w:t xml:space="preserve">Tiempo sugerido:</w:t>
      </w:r>
      <w:r>
        <w:t xml:space="preserve"> 15 minutos · </w:t>
      </w:r>
      <w:r>
        <w:rPr>
          <w:b/>
          <w:bCs/>
        </w:rPr>
        <w:t xml:space="preserve">Puntaje:</w:t>
      </w:r>
      <w:r>
        <w:t xml:space="preserve"> 9 puntos</w:t>
      </w:r>
    </w:p>
    <w:p>
      <w:pPr>
        <w:pBdr>
          <w:left w:val="single" w:color="2E5597" w:sz="18" w:space="8"/>
        </w:pBdr>
        <w:shd w:fill="EEF3F9" w:color="auto" w:val="clear"/>
        <w:spacing w:after="0" w:before="0" w:line="276"/>
        <w:ind w:left="240" w:right="120"/>
      </w:pPr>
      <w:r>
        <w:t xml:space="preserve">La Comisión para la Paz y el Entendimiento se creó en 2023 como instancia de diálogo con el pueblo mapuche y otros actores. Busca identificar las causas estructurales del conflicto y avanzar hacia acuerdos de largo plazo. Construyó un mapa de actores con 430 representantes.</w:t>
      </w:r>
    </w:p>
    <w:p>
      <w:pPr>
        <w:pBdr>
          <w:left w:val="single" w:color="2E5597" w:sz="18" w:space="8"/>
        </w:pBdr>
        <w:shd w:fill="EEF3F9" w:color="auto" w:val="clear"/>
        <w:spacing w:after="0" w:before="0" w:line="276"/>
        <w:ind w:left="240" w:right="120"/>
      </w:pPr>
      <w:r>
        <w:rPr>
          <w:b/>
          <w:bCs/>
        </w:rPr>
        <w:t xml:space="preserve">Preguntas:</w:t>
      </w:r>
      <w:r>
        <w:t xml:space="preserve">
a) Ubique su trabajo en el ciclo de políticas públicas.
b) Explique por qué es un ejemplo de gobernanza.
c) Elija un eje y anticipe un problema de implementación.</w:t>
      </w:r>
    </w:p>
    <w:p>
      <w:pPr>
        <w:spacing w:after="80"/>
      </w:pPr>
    </w:p>
    <w:p>
      <w:pPr>
        <w:spacing w:after="120" w:line="276"/>
      </w:pPr>
      <w:r>
        <w:rPr>
          <w:b/>
          <w:bCs/>
        </w:rPr>
        <w:t xml:space="preserve">Resolución paso a paso</w:t>
      </w:r>
    </w:p>
    <w:p>
      <w:pPr>
        <w:pStyle w:val="ListParagraph"/>
        <w:numPr>
          <w:ilvl w:val="0"/>
          <w:numId w:val="18"/>
        </w:numPr>
        <w:spacing w:after="60" w:line="264"/>
      </w:pPr>
      <w:r>
        <w:rPr>
          <w:b/>
          <w:bCs/>
        </w:rPr>
        <w:t xml:space="preserve">(a) Etapa.</w:t>
      </w:r>
    </w:p>
    <w:p>
      <w:pPr>
        <w:pStyle w:val="ListParagraph"/>
        <w:numPr>
          <w:ilvl w:val="1"/>
          <w:numId w:val="19"/>
        </w:numPr>
        <w:spacing w:after="60" w:line="264"/>
      </w:pPr>
      <w:r>
        <w:t xml:space="preserve">Su </w:t>
      </w:r>
      <w:r>
        <w:rPr>
          <w:b/>
          <w:bCs/>
        </w:rPr>
        <w:t xml:space="preserve">creación</w:t>
      </w:r>
      <w:r>
        <w:t xml:space="preserve"> es un hito de </w:t>
      </w:r>
      <w:r>
        <w:rPr>
          <w:b/>
          <w:bCs/>
        </w:rPr>
        <w:t xml:space="preserve">agenda</w:t>
      </w:r>
      <w:r>
        <w:t xml:space="preserve">: el conflicto se reconoce como asunto que requiere intervención del Estado.</w:t>
      </w:r>
    </w:p>
    <w:p>
      <w:pPr>
        <w:pStyle w:val="ListParagraph"/>
        <w:numPr>
          <w:ilvl w:val="1"/>
          <w:numId w:val="19"/>
        </w:numPr>
        <w:spacing w:after="60" w:line="264"/>
      </w:pPr>
      <w:r>
        <w:t xml:space="preserve">Su </w:t>
      </w:r>
      <w:r>
        <w:rPr>
          <w:b/>
          <w:bCs/>
        </w:rPr>
        <w:t xml:space="preserve">trabajo</w:t>
      </w:r>
      <w:r>
        <w:t xml:space="preserve"> corresponde a la </w:t>
      </w:r>
      <w:r>
        <w:rPr>
          <w:b/>
          <w:bCs/>
        </w:rPr>
        <w:t xml:space="preserve">formulación</w:t>
      </w:r>
      <w:r>
        <w:t xml:space="preserve">: analiza causas y desarrolla alternativas de acción para un problema que ya está en la agenda (Soto, s.f.-b).</w:t>
      </w:r>
    </w:p>
    <w:p>
      <w:pPr>
        <w:pStyle w:val="ListParagraph"/>
        <w:numPr>
          <w:ilvl w:val="1"/>
          <w:numId w:val="19"/>
        </w:numPr>
        <w:spacing w:after="60" w:line="264"/>
      </w:pPr>
      <w:r>
        <w:t xml:space="preserve">Aún no es toma de decisión ni implementación: propone, no ejecuta. Lahera recuerda que las etapas no son estrictamente consecutivas (Lahera, 2004, p. 11). Por eso, la Comisión también anticipa condiciones de implementación, como la institucionalidad.</w:t>
      </w:r>
    </w:p>
    <w:p>
      <w:pPr>
        <w:pStyle w:val="ListParagraph"/>
        <w:numPr>
          <w:ilvl w:val="0"/>
          <w:numId w:val="18"/>
        </w:numPr>
        <w:spacing w:after="60" w:line="264"/>
      </w:pPr>
      <w:r>
        <w:rPr>
          <w:b/>
          <w:bCs/>
        </w:rPr>
        <w:t xml:space="preserve">(b) Gobernanza.</w:t>
      </w:r>
      <w:r>
        <w:t xml:space="preserve"> Cumple la definición de Mayntz: una forma </w:t>
      </w:r>
      <w:r>
        <w:rPr>
          <w:b/>
          <w:bCs/>
        </w:rPr>
        <w:t xml:space="preserve">cooperativa</w:t>
      </w:r>
      <w:r>
        <w:t xml:space="preserve"> de dirección en que el Estado interactúa con actores privados y sociales para producir decisiones (Mayntz, 2001, como se citó en Soto, s.f.-c). Lo evidencian los 430 representantes de seis sectores. Además, responde a la exigencia de que la formulación incorpore "mecanismos de legitimidad" (Soto, s.f.-b).</w:t>
      </w:r>
    </w:p>
    <w:p>
      <w:pPr>
        <w:pStyle w:val="ListParagraph"/>
        <w:numPr>
          <w:ilvl w:val="0"/>
          <w:numId w:val="18"/>
        </w:numPr>
        <w:spacing w:after="60" w:line="264"/>
      </w:pPr>
      <w:r>
        <w:rPr>
          <w:b/>
          <w:bCs/>
        </w:rPr>
        <w:t xml:space="preserve">(c) Problema de implementación, eje institucionalidad, lectura top-down.</w:t>
      </w:r>
      <w:r>
        <w:t xml:space="preserve"> La acción estatal es </w:t>
      </w:r>
      <w:r>
        <w:rPr>
          <w:b/>
          <w:bCs/>
        </w:rPr>
        <w:t xml:space="preserve">dispersa</w:t>
      </w:r>
      <w:r>
        <w:t xml:space="preserve">: CONADI debe coordinar con el Ministerio de Desarrollo Social, MOP, MINEDUC, MINSAL y MINVU (Soto, s.f.-c). El riesgo es la falta de dirección política y de comunicación jerárquica, lo que aumenta la distancia entre lo acordado y lo ejecutado (Soto, s.f.-b).</w:t>
      </w:r>
    </w:p>
    <w:p>
      <w:pPr>
        <w:spacing w:after="60" w:line="264"/>
        <w:ind w:left="450"/>
      </w:pPr>
    </w:p>
    <w:p>
      <w:pPr>
        <w:spacing w:after="60" w:line="264"/>
        <w:ind w:left="450"/>
      </w:pPr>
      <w:r>
        <w:rPr>
          <w:b/>
          <w:bCs/>
        </w:rPr>
        <w:t xml:space="preserve">Otra opción, eje reparación, lectura bottom-up.</w:t>
      </w:r>
      <w:r>
        <w:t xml:space="preserve"> Los funcionarios que asignan subsidios del PAVVR tienen discrecionalidad. Sin criterios adaptados al contexto local, la medida sigue siendo "insuficiente" (Soto, s.f.-c; Lipsky, 1980, como se citó en Soto, s.f.-b).</w:t>
      </w:r>
    </w:p>
    <w:p>
      <w:pPr>
        <w:pStyle w:val="ListParagraph"/>
        <w:numPr>
          <w:ilvl w:val="0"/>
          <w:numId w:val="18"/>
        </w:numPr>
        <w:spacing w:after="60" w:line="264"/>
      </w:pPr>
      <w:r>
        <w:rPr>
          <w:b/>
          <w:bCs/>
        </w:rPr>
        <w:t xml:space="preserve">Concluir.</w:t>
      </w:r>
      <w:r>
        <w:t xml:space="preserve"> La Comisión muestra una gobernanza amplia en la formulación. Su éxito dependerá de superar las fugas entre diseño y gestión (Lahera, 2004, p. 12).</w:t>
      </w:r>
    </w:p>
    <w:p>
      <w:pPr>
        <w:spacing w:after="60"/>
      </w:pPr>
    </w:p>
    <w:p>
      <w:pPr>
        <w:spacing w:after="120" w:line="276"/>
      </w:pPr>
      <w:r>
        <w:rPr>
          <w:b/>
          <w:bCs/>
        </w:rPr>
        <w:t xml:space="preserve">Rúbrica analítica, caso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7"/>
        <w:gridCol w:w="2884"/>
        <w:gridCol w:w="2194"/>
        <w:gridCol w:w="1887"/>
        <w:gridCol w:w="1338"/>
      </w:tblGrid>
      <w:tr>
        <w:trPr>
          <w:cantSplit/>
          <w:tblHeader/>
        </w:trPr>
        <w:tc>
          <w:tcPr>
            <w:tcW w:type="dxa" w:w="177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Criterio</w:t>
            </w:r>
          </w:p>
        </w:tc>
        <w:tc>
          <w:tcPr>
            <w:tcW w:type="dxa" w:w="288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Logrado (3)</w:t>
            </w:r>
          </w:p>
        </w:tc>
        <w:tc>
          <w:tcPr>
            <w:tcW w:type="dxa" w:w="219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Parcial (2)</w:t>
            </w:r>
          </w:p>
        </w:tc>
        <w:tc>
          <w:tcPr>
            <w:tcW w:type="dxa" w:w="188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Inicial (1)</w:t>
            </w:r>
          </w:p>
        </w:tc>
        <w:tc>
          <w:tcPr>
            <w:tcW w:type="dxa" w:w="1338"/>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Ausente (0)</w:t>
            </w:r>
          </w:p>
        </w:tc>
      </w:tr>
      <w:tr>
        <w:trPr>
          <w:cantSplit/>
          <w:tblHeader w:val="false"/>
        </w:trPr>
        <w:tc>
          <w:tcPr>
            <w:tcW w:type="dxa" w:w="177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Ubicación en el ciclo</w:t>
            </w:r>
          </w:p>
        </w:tc>
        <w:tc>
          <w:tcPr>
            <w:tcW w:type="dxa" w:w="288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Distingue agenda (creación) de formulación (trabajo), justifica y matiza con Lahera</w:t>
            </w:r>
          </w:p>
        </w:tc>
        <w:tc>
          <w:tcPr>
            <w:tcW w:type="dxa" w:w="21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Ubica bien en una etapa con justificación</w:t>
            </w:r>
          </w:p>
        </w:tc>
        <w:tc>
          <w:tcPr>
            <w:tcW w:type="dxa" w:w="188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Ubica sin justificar</w:t>
            </w:r>
          </w:p>
        </w:tc>
        <w:tc>
          <w:tcPr>
            <w:tcW w:type="dxa" w:w="133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Incorrecta</w:t>
            </w:r>
          </w:p>
        </w:tc>
      </w:tr>
      <w:tr>
        <w:trPr>
          <w:cantSplit/>
          <w:tblHeader w:val="false"/>
        </w:trPr>
        <w:tc>
          <w:tcPr>
            <w:tcW w:type="dxa" w:w="177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Gobernanza</w:t>
            </w:r>
          </w:p>
        </w:tc>
        <w:tc>
          <w:tcPr>
            <w:tcW w:type="dxa" w:w="288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Define según Mayntz con cita y usa la evidencia de los 430 representantes</w:t>
            </w:r>
          </w:p>
        </w:tc>
        <w:tc>
          <w:tcPr>
            <w:tcW w:type="dxa" w:w="21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Define sin evidencia, o evidencia sin definición</w:t>
            </w:r>
          </w:p>
        </w:tc>
        <w:tc>
          <w:tcPr>
            <w:tcW w:type="dxa" w:w="188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Idea vaga de "participación"</w:t>
            </w:r>
          </w:p>
        </w:tc>
        <w:tc>
          <w:tcPr>
            <w:tcW w:type="dxa" w:w="1338"/>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No responde</w:t>
            </w:r>
          </w:p>
        </w:tc>
      </w:tr>
      <w:tr>
        <w:trPr>
          <w:cantSplit/>
          <w:tblHeader w:val="false"/>
        </w:trPr>
        <w:tc>
          <w:tcPr>
            <w:tcW w:type="dxa" w:w="177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Implementación</w:t>
            </w:r>
          </w:p>
        </w:tc>
        <w:tc>
          <w:tcPr>
            <w:tcW w:type="dxa" w:w="288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Elige un eje, un enfoque (TD/BU) con sus elementos y un riesgo concreto</w:t>
            </w:r>
          </w:p>
        </w:tc>
        <w:tc>
          <w:tcPr>
            <w:tcW w:type="dxa" w:w="21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Enfoque correcto con un riesgo genérico</w:t>
            </w:r>
          </w:p>
        </w:tc>
        <w:tc>
          <w:tcPr>
            <w:tcW w:type="dxa" w:w="188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Menciona un problema sin enfoque</w:t>
            </w:r>
          </w:p>
        </w:tc>
        <w:tc>
          <w:tcPr>
            <w:tcW w:type="dxa" w:w="1338"/>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No responde</w:t>
            </w:r>
          </w:p>
        </w:tc>
      </w:tr>
    </w:tbl>
    <w:p>
      <w:pPr>
        <w:spacing w:after="120"/>
      </w:pPr>
    </w:p>
    <w:p>
      <w:pPr>
        <w:pStyle w:val="Heading2"/>
      </w:pPr>
      <w:bookmarkStart w:name="sec_19" w:id="20"/>
      <w:r>
        <w:t xml:space="preserve">Caso 4. Preguntas de desarrollo corto (formato de prueba de contenidos)</w:t>
      </w:r>
      <w:bookmarkEnd w:id="20"/>
    </w:p>
    <w:p>
      <w:pPr>
        <w:spacing w:after="120" w:line="276"/>
      </w:pPr>
      <w:r>
        <w:t xml:space="preserve">Tiempo sugerido: 4 minutos por pregunta. Respuesta modelo de 4 a 6 líneas.</w:t>
      </w:r>
    </w:p>
    <w:p>
      <w:pPr>
        <w:spacing w:after="120" w:line="276"/>
      </w:pPr>
      <w:r>
        <w:rPr>
          <w:b/>
          <w:bCs/>
        </w:rPr>
        <w:t xml:space="preserve">4.1. ¿Por qué Walsh califica la oficialización de la EIB como "un cuchillo de doble filo"?</w:t>
      </w:r>
    </w:p>
    <w:p>
      <w:pPr>
        <w:pBdr>
          <w:left w:val="single" w:color="2E5597" w:sz="18" w:space="8"/>
        </w:pBdr>
        <w:shd w:fill="EEF3F9" w:color="auto" w:val="clear"/>
        <w:spacing w:after="0" w:before="0" w:line="276"/>
        <w:ind w:left="240" w:right="120"/>
      </w:pPr>
      <w:r>
        <w:t xml:space="preserve">Porque, al legalizarse como derecho étnico y colectivo, y como programa </w:t>
      </w:r>
      <w:r>
        <w:rPr>
          <w:i/>
          <w:iCs/>
        </w:rPr>
        <w:t xml:space="preserve">para</w:t>
      </w:r>
      <w:r>
        <w:t xml:space="preserve"> indígenas, respaldada por el Convenio 169 de la OIT, la EIB obtuvo un reconocimiento merecido. Pero también entró al aparato de control estatal, lo que debilitó su sentido comunitario, sociopolítico y ancestral e instaló mecanismos de regulación (Walsh, 2009, sección 2.1). Además, su interculturalidad es unidireccional: va de la lengua indígena a la "nacional", con sentido de transición (Walsh, 2009, sección 2.1).</w:t>
      </w:r>
    </w:p>
    <w:p>
      <w:pPr>
        <w:spacing w:after="80"/>
      </w:pPr>
    </w:p>
    <w:p>
      <w:pPr>
        <w:spacing w:after="120" w:line="276"/>
      </w:pPr>
      <w:r>
        <w:rPr>
          <w:b/>
          <w:bCs/>
        </w:rPr>
        <w:t xml:space="preserve">4.2. Explique la frase de Lahera "primero la función, después el organigrama" y aplíquela a la institucionalidad indígena.</w:t>
      </w:r>
    </w:p>
    <w:p>
      <w:pPr>
        <w:pBdr>
          <w:left w:val="single" w:color="2E5597" w:sz="18" w:space="8"/>
        </w:pBdr>
        <w:shd w:fill="EEF3F9" w:color="auto" w:val="clear"/>
        <w:spacing w:after="0" w:before="0" w:line="276"/>
        <w:ind w:left="240" w:right="120"/>
      </w:pPr>
      <w:r>
        <w:t xml:space="preserve">Lahera sostiene que la reforma del Estado "debe hacerse en torno a decisiones de políticas públicas": importan los resultados, no la estructura (Lahera, 2004, pp. 8, 25). Aplicada al eje de institucionalidad, antes de crear o fusionar organismos habría que definir qué funciones de política debe cumplir el Estado frente a los pueblos indígenas. Solo después conviene decidir el diseño orgánico, que hoy es disperso entre CONADI y varios ministerios (Soto, s.f.-c).</w:t>
      </w:r>
    </w:p>
    <w:p>
      <w:pPr>
        <w:spacing w:after="80"/>
      </w:pPr>
    </w:p>
    <w:p>
      <w:pPr>
        <w:spacing w:after="120" w:line="276"/>
      </w:pPr>
      <w:r>
        <w:rPr>
          <w:b/>
          <w:bCs/>
        </w:rPr>
        <w:t xml:space="preserve">4.3. Diferencie la interculturalidad funcional de la crítica en tres variables.</w:t>
      </w:r>
    </w:p>
    <w:p>
      <w:pPr>
        <w:pStyle w:val="ListParagraph"/>
        <w:numPr>
          <w:ilvl w:val="0"/>
          <w:numId w:val="20"/>
        </w:numPr>
        <w:pBdr>
          <w:left w:val="single" w:color="2E5597" w:sz="18" w:space="8"/>
        </w:pBdr>
        <w:shd w:fill="EEF3F9" w:color="auto" w:val="clear"/>
        <w:spacing w:after="60" w:line="264"/>
      </w:pPr>
      <w:r>
        <w:rPr>
          <w:b/>
          <w:bCs/>
        </w:rPr>
        <w:t xml:space="preserve">Origen:</w:t>
      </w:r>
      <w:r>
        <w:t xml:space="preserve"> la funcional se ejerce desde arriba y la crítica se construye desde la gente.</w:t>
      </w:r>
    </w:p>
    <w:p>
      <w:pPr>
        <w:pStyle w:val="ListParagraph"/>
        <w:numPr>
          <w:ilvl w:val="0"/>
          <w:numId w:val="20"/>
        </w:numPr>
        <w:pBdr>
          <w:left w:val="single" w:color="2E5597" w:sz="18" w:space="8"/>
        </w:pBdr>
        <w:shd w:fill="EEF3F9" w:color="auto" w:val="clear"/>
        <w:spacing w:after="60" w:line="264"/>
      </w:pPr>
      <w:r>
        <w:rPr>
          <w:b/>
          <w:bCs/>
        </w:rPr>
        <w:t xml:space="preserve">Relación con el poder:</w:t>
      </w:r>
      <w:r>
        <w:t xml:space="preserve"> la funcional no toca las causas de la asimetría y la crítica parte del problema estructural-colonial-racial.</w:t>
      </w:r>
    </w:p>
    <w:p>
      <w:pPr>
        <w:pStyle w:val="ListParagraph"/>
        <w:numPr>
          <w:ilvl w:val="0"/>
          <w:numId w:val="20"/>
        </w:numPr>
        <w:pBdr>
          <w:left w:val="single" w:color="2E5597" w:sz="18" w:space="8"/>
        </w:pBdr>
        <w:shd w:fill="EEF3F9" w:color="auto" w:val="clear"/>
        <w:spacing w:after="60" w:line="264"/>
      </w:pPr>
      <w:r>
        <w:rPr>
          <w:b/>
          <w:bCs/>
        </w:rPr>
        <w:t xml:space="preserve">Objetivo:</w:t>
      </w:r>
      <w:r>
        <w:t xml:space="preserve"> la funcional busca incluir en la estructura existente y la crítica, transformarla.</w:t>
      </w:r>
    </w:p>
    <w:p>
      <w:pPr>
        <w:pBdr>
          <w:left w:val="single" w:color="2E5597" w:sz="18" w:space="8"/>
        </w:pBdr>
        <w:shd w:fill="EEF3F9" w:color="auto" w:val="clear"/>
        <w:spacing w:after="0" w:before="0" w:line="276"/>
        <w:ind w:left="240" w:right="120"/>
      </w:pPr>
      <w:r>
        <w:t xml:space="preserve">(Walsh, 2009, sección 1; Tubino, 2005, como se citó en Walsh, 2009, sección 1).</w:t>
      </w:r>
    </w:p>
    <w:p>
      <w:pPr>
        <w:spacing w:after="80"/>
      </w:pPr>
    </w:p>
    <w:p>
      <w:pPr>
        <w:spacing w:after="120" w:line="276"/>
      </w:pPr>
      <w:r>
        <w:rPr>
          <w:b/>
          <w:bCs/>
        </w:rPr>
        <w:t xml:space="preserve">4.4. ¿Por qué el modelo racional es "poco realista" y qué alternativa ofrece la racionalidad limitada?</w:t>
      </w:r>
    </w:p>
    <w:p>
      <w:pPr>
        <w:pBdr>
          <w:left w:val="single" w:color="2E5597" w:sz="18" w:space="8"/>
        </w:pBdr>
        <w:shd w:fill="EEF3F9" w:color="auto" w:val="clear"/>
        <w:spacing w:after="0" w:before="0" w:line="276"/>
        <w:ind w:left="240" w:right="120"/>
      </w:pPr>
      <w:r>
        <w:t xml:space="preserve">El modelo racional supone que quien decide tiene capacidades ilimitadas para definir objetivos, identificar todas las alternativas y maximizar beneficios. La racionalidad limitada reconoce las restricciones cognitivas, de tiempo e información. Por eso se elige una solución satisfactoria, y objetivos y medios se ajustan mutuamente (Soto, s.f.-b).</w:t>
      </w:r>
    </w:p>
    <w:p>
      <w:pPr>
        <w:spacing w:after="80"/>
      </w:pPr>
    </w:p>
    <w:p>
      <w:pPr>
        <w:spacing w:after="120" w:line="276"/>
      </w:pPr>
      <w:r>
        <w:rPr>
          <w:b/>
          <w:bCs/>
        </w:rPr>
        <w:t xml:space="preserve">Rúbrica para el desarrollo corto (3 puntos por pregunta)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7733"/>
      </w:tblGrid>
      <w:tr>
        <w:trPr>
          <w:cantSplit/>
          <w:tblHeader/>
        </w:trPr>
        <w:tc>
          <w:tcPr>
            <w:tcW w:type="dxa" w:w="2347"/>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Puntaje</w:t>
            </w:r>
          </w:p>
        </w:tc>
        <w:tc>
          <w:tcPr>
            <w:tcW w:type="dxa" w:w="7733"/>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Descriptor</w:t>
            </w:r>
          </w:p>
        </w:tc>
      </w:tr>
      <w:tr>
        <w:trPr>
          <w:cantSplit/>
          <w:tblHeader w:val="false"/>
        </w:trPr>
        <w:tc>
          <w:tcPr>
            <w:tcW w:type="dxa" w:w="234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3</w:t>
            </w:r>
          </w:p>
        </w:tc>
        <w:tc>
          <w:tcPr>
            <w:tcW w:type="dxa" w:w="773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Concepto preciso, autor y cita correctos, y al menos un ejemplo o aplicación</w:t>
            </w:r>
          </w:p>
        </w:tc>
      </w:tr>
      <w:tr>
        <w:trPr>
          <w:cantSplit/>
          <w:tblHeader w:val="false"/>
        </w:trPr>
        <w:tc>
          <w:tcPr>
            <w:tcW w:type="dxa" w:w="234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2</w:t>
            </w:r>
          </w:p>
        </w:tc>
        <w:tc>
          <w:tcPr>
            <w:tcW w:type="dxa" w:w="773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Concepto correcto sin cita o sin aplicación</w:t>
            </w:r>
          </w:p>
        </w:tc>
      </w:tr>
      <w:tr>
        <w:trPr>
          <w:cantSplit/>
          <w:tblHeader w:val="false"/>
        </w:trPr>
        <w:tc>
          <w:tcPr>
            <w:tcW w:type="dxa" w:w="2347"/>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1</w:t>
            </w:r>
          </w:p>
        </w:tc>
        <w:tc>
          <w:tcPr>
            <w:tcW w:type="dxa" w:w="773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Idea general con imprecisiones</w:t>
            </w:r>
          </w:p>
        </w:tc>
      </w:tr>
      <w:tr>
        <w:trPr>
          <w:cantSplit/>
          <w:tblHeader w:val="false"/>
        </w:trPr>
        <w:tc>
          <w:tcPr>
            <w:tcW w:type="dxa" w:w="2347"/>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0</w:t>
            </w:r>
          </w:p>
        </w:tc>
        <w:tc>
          <w:tcPr>
            <w:tcW w:type="dxa" w:w="773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Incorrecta o en blanco</w:t>
            </w:r>
          </w:p>
        </w:tc>
      </w:tr>
    </w:tbl>
    <w:p>
      <w:pPr>
        <w:spacing w:after="120"/>
      </w:pPr>
    </w:p>
    <w:p>
      <w:r>
        <w:br w:type="page"/>
      </w:r>
    </w:p>
    <w:p>
      <w:pPr>
        <w:pStyle w:val="Heading1"/>
      </w:pPr>
      <w:bookmarkStart w:name="sec_20" w:id="21"/>
      <w:r>
        <w:t xml:space="preserve">3. Glosario de conceptos críticos</w:t>
      </w:r>
      <w:bookmarkEnd w:id="2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1"/>
        <w:gridCol w:w="4795"/>
        <w:gridCol w:w="2894"/>
      </w:tblGrid>
      <w:tr>
        <w:trPr>
          <w:cantSplit/>
          <w:tblHeader/>
        </w:trPr>
        <w:tc>
          <w:tcPr>
            <w:tcW w:type="dxa" w:w="2391"/>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Concepto</w:t>
            </w:r>
          </w:p>
        </w:tc>
        <w:tc>
          <w:tcPr>
            <w:tcW w:type="dxa" w:w="479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Definición operativa</w:t>
            </w:r>
          </w:p>
        </w:tc>
        <w:tc>
          <w:tcPr>
            <w:tcW w:type="dxa" w:w="2894"/>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9"/>
                <w:szCs w:val="19"/>
              </w:rPr>
              <w:t xml:space="preserve">Fuente</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Acuerdo de Nueva Imperial (1989)</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Hito desde el cual se impulsa con fuerza la demanda de reconocimiento constitucional de los pueblos indígenas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(s.f.-c)</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Agenda</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Etapa en que un problema capta la atención gubernamental y se reconoce como asunto que requiere intervención del Estado</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Analista de políticas</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"Productor de argumentos de las políticas", más cercano a un abogado que a un ingeniero; sus capacidades son argumentativas, no algorítmicas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Lahera (2004, p. 22)</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Bottom-up</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Enfoque de implementación que estudia la adaptación al contexto real, la discrecionalidad y los burócratas de calle</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Burócratas de calle</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Funcionarios de primera línea cuya discrecionalidad moldea la política efectivamente entregada</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Lipsky (1980, como se citó en Soto, s.f.-b)</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Caja cerrada</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Opacidad de la toma de decisiones, que puede responder a intereses ajenos a la evidencia</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Colonialidad del poder</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Articulación histórica entre la idea de raza, como clasificación y control social, y el capitalismo mundial</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Quijano (2000, como se citó en Walsh, 2009, sección 3)</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Colonialidad del saber</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Eurocentrismo como perspectiva hegemónica de conocimiento</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Quijano (2000, como se citó en Walsh, 2009, sección 3)</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Colonialidad del ser</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Deshumanización racial del sujeto colonizado en la modernidad</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Maldonado-Torres (2007, como se citó en Walsh, 2009, sección 3)</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Colonialidad cosmológica</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Negación de las relaciones espirituales con la naturaleza y los ancestros, basada en el binario hombre/naturaleza</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Walsh (2009, sección 3)</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Comisión para la Paz y el Entendimiento</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Instancia de diálogo creada en 2023 para identificar las causas estructurales del conflicto y avanzar hacia acuerdos de largo plazo; tiene 5 ejes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(s.f.-c)</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Comunidades de políticas</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Grupos de especialistas que comparten un área temática y se relacionan entre sí</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Lahera (2004, p. 18)</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CONADI</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Organismo con el mandato de promover, coordinar y ejecutar la acción estatal para el desarrollo integral de personas y comunidades indígenas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(s.f.-c)</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Constitucionalismo multicultural</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Fase de los 90 en que las constituciones reconocen el carácter multiétnico y pluricultural de la población</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Walsh (2009, sección 2.2)</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Cubo de basura</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Modelo en que las decisiones surgen del encuentro azaroso entre problemas, soluciones, participantes y oportunidades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Cohen et al. (1972, como se citó en Lahera, 2004, p. 11)</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De-colonial</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Postura continua de transgredir, intervenir, in-surgir e incidir frente a lo colonial; no pretende simplemente "deshacerlo"</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Walsh (2009, nota 25)</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Diferencia colonial</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Diferencia construida e impuesta desde la colonia, basada en raza, racismo y racialización</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sección 3)</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Educación intercultural bilingüe (EIB)</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Política educativa surgida en los 80, con doble sentido: reivindicativo y de burocratización estatal</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Walsh (2009, sección 2.1)</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Etnoeducación</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Normativa colombiana de "educación para grupos étnicos", equivalente en la práctica a la EIB</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sección 2.1)</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Evaluación interactiva</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Investigación participativa sobre un programa, basada en la interacción entre usuarios, técnicos y directivos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Lahera (2004, p. 23)</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Factibilidad</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Viabilidad técnica y económica, política y jurídica de una alternativa</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Formulación</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Etapa en que se desarrollan y analizan alternativas para un problema que ya está en la agenda</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Fugas</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Discrepancias entre el enfoque analítico y la realidad en cada etapa del ciclo</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Lahera (2004, pp. 11–12)</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Gobernabilidad integrada</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Capacidad de procesar todos los conflictos sociales, no solo los macroeconómicos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Lahera (2004, p. 11)</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Gobernanza</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Formas cooperativas de dirección en que el Estado interactúa con actores privados y sociales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Mayntz (2001, como se citó en Soto, s.f.-c)</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Implementación</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Etapa en que las decisiones se convierten en acciones concretas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Interculturalidad relacional</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Contacto e intercambio entre culturas que oculta los contextos de poder</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sección 1)</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Interculturalidad funcional</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Reconocimiento de la diversidad para incluirla en la estructura existente sin tocar sus causas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Tubino (2005, como se citó en Walsh, 2009, sección 1)</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Interculturalidad crítica</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Proyecto político, social, ético y epistémico, construido desde abajo, para transformar estructuras coloniales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sección 1)</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Ley 19.253</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Ley indígena chilena; hoy reconoce 11 pueblos indígenas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(s.f.-c)</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Lobby</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Actividad para influir en políticas públicas en favor de unos intereses. Es </w:t>
            </w:r>
            <w:r>
              <w:rPr>
                <w:i/>
                <w:iCs/>
                <w:sz w:val="19"/>
                <w:szCs w:val="19"/>
              </w:rPr>
              <w:t xml:space="preserve">directo</w:t>
            </w:r>
            <w:r>
              <w:rPr>
                <w:sz w:val="19"/>
                <w:szCs w:val="19"/>
              </w:rPr>
              <w:t xml:space="preserve"> sobre los poderes públicos e </w:t>
            </w:r>
            <w:r>
              <w:rPr>
                <w:i/>
                <w:iCs/>
                <w:sz w:val="19"/>
                <w:szCs w:val="19"/>
              </w:rPr>
              <w:t xml:space="preserve">indirecto</w:t>
            </w:r>
            <w:r>
              <w:rPr>
                <w:sz w:val="19"/>
                <w:szCs w:val="19"/>
              </w:rPr>
              <w:t xml:space="preserve"> mediante la movilización de la opinión pública</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Lahera (2004, p. 23)</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Modelo racional</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Elegir la alternativa que maximiza beneficios y minimiza costos, suponiendo capacidades ilimitadas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Modos "otros"</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Formas de pensar, saber y vivir asentadas en la diferencia colonial; no son "otros modos" ni "alternativos"</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nota 22)</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Participación (niveles)</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Compartir información, consulta, participación en decisiones y/o en implementación</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Lahera (2004, p. 18)</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Pedagogía de-colonial</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Praxis que cuestiona la racialización y alienta modos "otros" de ser, saber y vivir</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sección 3)</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Política de Estado</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Política de más de un gobierno o que involucra al conjunto de los poderes del Estado</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Lahera (2004, p. 10)</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Política pública</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Cursos de acción y flujos de información relacionados con un objetivo público definido democráticamente</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Lahera (2002, como se citó en Soto, s.f.-b)</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Politics / Polity / Policy</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 actividad política / las reglas e instituciones / la acción del Estado frente a problemas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Howlett et al. (2009, como se citó en 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Racionalidad limitada</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Se elige una solución satisfactoria por límites de capacidad, tiempo e información</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Re-formas</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Con guion: cambios de los 90 que "re-formularon" lo mismo sin transformación sustancial</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Walsh (2009, nota 4)</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Second best</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 política posible, subóptima frente a una política óptima que puede no existir</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Lahera (2004, p. 9)</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Stakeholders</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Personas y organizaciones interesadas en un programa, que deben conocer y usar sus evaluaciones</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Lahera (2004, p. 23)</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Sumak kawsay (buen vivir)</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Horizonte de la Constitución ecuatoriana (Art. 387) que vincula los conocimientos con la vida y no con el bienestar individual</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Walsh (2009, sección 2.3)</w:t>
            </w:r>
          </w:p>
        </w:tc>
      </w:tr>
      <w:tr>
        <w:trPr>
          <w:cantSplit/>
          <w:tblHeader w:val="false"/>
        </w:trPr>
        <w:tc>
          <w:tcPr>
            <w:tcW w:type="dxa" w:w="2391"/>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9"/>
                <w:szCs w:val="19"/>
              </w:rPr>
              <w:t xml:space="preserve">Top-down</w:t>
            </w:r>
          </w:p>
        </w:tc>
        <w:tc>
          <w:tcPr>
            <w:tcW w:type="dxa" w:w="479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Enfoque de implementación que mide la distancia entre lo decidido y lo implementado</w:t>
            </w:r>
          </w:p>
        </w:tc>
        <w:tc>
          <w:tcPr>
            <w:tcW w:type="dxa" w:w="2894"/>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9"/>
                <w:szCs w:val="19"/>
              </w:rPr>
              <w:t xml:space="preserve">Soto (s.f.-b)</w:t>
            </w:r>
          </w:p>
        </w:tc>
      </w:tr>
      <w:tr>
        <w:trPr>
          <w:cantSplit/>
          <w:tblHeader w:val="false"/>
        </w:trPr>
        <w:tc>
          <w:tcPr>
            <w:tcW w:type="dxa" w:w="2391"/>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9"/>
                <w:szCs w:val="19"/>
              </w:rPr>
              <w:t xml:space="preserve">Ventana de oportunidad</w:t>
            </w:r>
          </w:p>
        </w:tc>
        <w:tc>
          <w:tcPr>
            <w:tcW w:type="dxa" w:w="479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Momento en que se abre la posibilidad de actuar sobre un problema; puede ser de rutina, discrecional, aleatoria o de expansión</w:t>
            </w:r>
          </w:p>
        </w:tc>
        <w:tc>
          <w:tcPr>
            <w:tcW w:type="dxa" w:w="2894"/>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9"/>
                <w:szCs w:val="19"/>
              </w:rPr>
              <w:t xml:space="preserve">Soto (s.f.-b)</w:t>
            </w:r>
          </w:p>
        </w:tc>
      </w:tr>
    </w:tbl>
    <w:p>
      <w:pPr>
        <w:spacing w:after="120"/>
      </w:pPr>
    </w:p>
    <w:p>
      <w:r>
        <w:br w:type="page"/>
      </w:r>
    </w:p>
    <w:p>
      <w:pPr>
        <w:pStyle w:val="Heading1"/>
      </w:pPr>
      <w:bookmarkStart w:name="sec_21" w:id="22"/>
      <w:r>
        <w:t xml:space="preserve">4. Solucionario de la evaluación diagnóstica (tanda 1)</w:t>
      </w:r>
      <w:bookmarkEnd w:id="2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1386"/>
        <w:gridCol w:w="4325"/>
        <w:gridCol w:w="3406"/>
      </w:tblGrid>
      <w:tr>
        <w:trPr>
          <w:cantSplit/>
          <w:tblHeader/>
        </w:trPr>
        <w:tc>
          <w:tcPr>
            <w:tcW w:type="dxa" w:w="963"/>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N.º</w:t>
            </w:r>
          </w:p>
        </w:tc>
        <w:tc>
          <w:tcPr>
            <w:tcW w:type="dxa" w:w="138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Respuesta</w:t>
            </w:r>
          </w:p>
        </w:tc>
        <w:tc>
          <w:tcPr>
            <w:tcW w:type="dxa" w:w="4325"/>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Justificación</w:t>
            </w:r>
          </w:p>
        </w:tc>
        <w:tc>
          <w:tcPr>
            <w:tcW w:type="dxa" w:w="3406"/>
            <w:tcBorders>
              <w:top w:val="single" w:color="A6B8D4" w:sz="4"/>
              <w:left w:val="single" w:color="A6B8D4" w:sz="4"/>
              <w:bottom w:val="single" w:color="A6B8D4" w:sz="4"/>
              <w:right w:val="single" w:color="A6B8D4" w:sz="4"/>
            </w:tcBorders>
            <w:shd w:fill="2E5597" w:color="auto" w:val="clear"/>
            <w:tcMar>
              <w:top w:type="dxa" w:w="60"/>
              <w:left w:type="dxa" w:w="100"/>
              <w:bottom w:type="dxa" w:w="60"/>
              <w:right w:type="dxa" w:w="100"/>
            </w:tcMar>
          </w:tcPr>
          <w:p>
            <w:pPr>
              <w:spacing w:after="40" w:before="40"/>
            </w:pPr>
            <w:r>
              <w:rPr>
                <w:b/>
                <w:bCs/>
                <w:color w:val="FFFFFF"/>
                <w:sz w:val="17"/>
                <w:szCs w:val="17"/>
              </w:rPr>
              <w:t xml:space="preserve">Por qué fallan los distractores</w:t>
            </w:r>
          </w:p>
        </w:tc>
      </w:tr>
      <w:tr>
        <w:trPr>
          <w:cantSplit/>
          <w:tblHeader w:val="false"/>
        </w:trPr>
        <w:tc>
          <w:tcPr>
            <w:tcW w:type="dxa" w:w="96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1</w:t>
            </w:r>
          </w:p>
        </w:tc>
        <w:tc>
          <w:tcPr>
            <w:tcW w:type="dxa" w:w="13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b) Politics</w:t>
            </w:r>
          </w:p>
        </w:tc>
        <w:tc>
          <w:tcPr>
            <w:tcW w:type="dxa" w:w="432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pregunta por quién obtiene el poder corresponde a la política como actividad (Howlett et al., 2009, como se citó en Soto, s.f.-b)</w:t>
            </w:r>
          </w:p>
        </w:tc>
        <w:tc>
          <w:tcPr>
            <w:tcW w:type="dxa" w:w="34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i/>
                <w:iCs/>
                <w:sz w:val="17"/>
                <w:szCs w:val="17"/>
              </w:rPr>
              <w:t xml:space="preserve">Polity</w:t>
            </w:r>
            <w:r>
              <w:rPr>
                <w:sz w:val="17"/>
                <w:szCs w:val="17"/>
              </w:rPr>
              <w:t xml:space="preserve"> pregunta por las reglas del juego y </w:t>
            </w:r>
            <w:r>
              <w:rPr>
                <w:i/>
                <w:iCs/>
                <w:sz w:val="17"/>
                <w:szCs w:val="17"/>
              </w:rPr>
              <w:t xml:space="preserve">policy</w:t>
            </w:r>
            <w:r>
              <w:rPr>
                <w:sz w:val="17"/>
                <w:szCs w:val="17"/>
              </w:rPr>
              <w:t xml:space="preserve"> por lo que hace el gobierno. La gobernanza no forma parte de la tríada</w:t>
            </w:r>
          </w:p>
        </w:tc>
      </w:tr>
      <w:tr>
        <w:trPr>
          <w:cantSplit/>
          <w:tblHeader w:val="false"/>
        </w:trPr>
        <w:tc>
          <w:tcPr>
            <w:tcW w:type="dxa" w:w="96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2</w:t>
            </w:r>
          </w:p>
        </w:tc>
        <w:tc>
          <w:tcPr>
            <w:tcW w:type="dxa" w:w="13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d) Expansión</w:t>
            </w:r>
          </w:p>
        </w:tc>
        <w:tc>
          <w:tcPr>
            <w:tcW w:type="dxa" w:w="432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 ventana ya estaba abierta y permitió incorporar problemas relacionados; la clase usa el estallido social como ejemplo (Soto, s.f.-b)</w:t>
            </w:r>
          </w:p>
        </w:tc>
        <w:tc>
          <w:tcPr>
            <w:tcW w:type="dxa" w:w="34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"Aleatoria" describe el origen de una crisis inesperada, no la incorporación de otros problemas a una ventana abierta</w:t>
            </w:r>
          </w:p>
        </w:tc>
      </w:tr>
      <w:tr>
        <w:trPr>
          <w:cantSplit/>
          <w:tblHeader w:val="false"/>
        </w:trPr>
        <w:tc>
          <w:tcPr>
            <w:tcW w:type="dxa" w:w="96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3</w:t>
            </w:r>
          </w:p>
        </w:tc>
        <w:tc>
          <w:tcPr>
            <w:tcW w:type="dxa" w:w="13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b) Funcional</w:t>
            </w:r>
          </w:p>
        </w:tc>
        <w:tc>
          <w:tcPr>
            <w:tcW w:type="dxa" w:w="432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Reconoce e incluye la diversidad sin transformar el currículo ni la formación docente: es el caso típico de las re-formas de los 90 (Walsh, 2009, sección 2.2)</w:t>
            </w:r>
          </w:p>
        </w:tc>
        <w:tc>
          <w:tcPr>
            <w:tcW w:type="dxa" w:w="34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relacional se refiere al contacto entre personas; la crítica y la de-colonial exigen transformar estructuras</w:t>
            </w:r>
          </w:p>
        </w:tc>
      </w:tr>
      <w:tr>
        <w:trPr>
          <w:cantSplit/>
          <w:tblHeader w:val="false"/>
        </w:trPr>
        <w:tc>
          <w:tcPr>
            <w:tcW w:type="dxa" w:w="96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4</w:t>
            </w:r>
          </w:p>
        </w:tc>
        <w:tc>
          <w:tcPr>
            <w:tcW w:type="dxa" w:w="13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b) Bottom-up</w:t>
            </w:r>
          </w:p>
        </w:tc>
        <w:tc>
          <w:tcPr>
            <w:tcW w:type="dxa" w:w="432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Estudia la discrecionalidad y la adaptación al contexto local de los implementadores (Soto, s.f.-b)</w:t>
            </w:r>
          </w:p>
        </w:tc>
        <w:tc>
          <w:tcPr>
            <w:tcW w:type="dxa" w:w="34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El top-down mide desviaciones respecto de lo decidido; los modelos de decisión no son enfoques de implementación</w:t>
            </w:r>
          </w:p>
        </w:tc>
      </w:tr>
      <w:tr>
        <w:trPr>
          <w:cantSplit/>
          <w:tblHeader w:val="false"/>
        </w:trPr>
        <w:tc>
          <w:tcPr>
            <w:tcW w:type="dxa" w:w="96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5</w:t>
            </w:r>
          </w:p>
        </w:tc>
        <w:tc>
          <w:tcPr>
            <w:tcW w:type="dxa" w:w="13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b)</w:t>
            </w:r>
          </w:p>
        </w:tc>
        <w:tc>
          <w:tcPr>
            <w:tcW w:type="dxa" w:w="432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"Tienen un problema de diseño" y debilitan la gobernabilidad social (Lahera, 2004, p. 8)</w:t>
            </w:r>
          </w:p>
        </w:tc>
        <w:tc>
          <w:tcPr>
            <w:tcW w:type="dxa" w:w="34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a) describe la </w:t>
            </w:r>
            <w:r>
              <w:rPr>
                <w:i/>
                <w:iCs/>
                <w:sz w:val="17"/>
                <w:szCs w:val="17"/>
              </w:rPr>
              <w:t xml:space="preserve">política sin políticas públicas</w:t>
            </w:r>
            <w:r>
              <w:rPr>
                <w:sz w:val="17"/>
                <w:szCs w:val="17"/>
              </w:rPr>
              <w:t xml:space="preserve">; d) confunde con las políticas de Estado</w:t>
            </w:r>
          </w:p>
        </w:tc>
      </w:tr>
      <w:tr>
        <w:trPr>
          <w:cantSplit/>
          <w:tblHeader w:val="false"/>
        </w:trPr>
        <w:tc>
          <w:tcPr>
            <w:tcW w:type="dxa" w:w="96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6</w:t>
            </w:r>
          </w:p>
        </w:tc>
        <w:tc>
          <w:tcPr>
            <w:tcW w:type="dxa" w:w="13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d) Jurídica</w:t>
            </w:r>
          </w:p>
        </w:tc>
        <w:tc>
          <w:tcPr>
            <w:tcW w:type="dxa" w:w="432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 propuesta es incompatible con el marco legal vigente (Soto, s.f.-b)</w:t>
            </w:r>
          </w:p>
        </w:tc>
        <w:tc>
          <w:tcPr>
            <w:tcW w:type="dxa" w:w="34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Tiene recursos, capacidad técnica y apoyo del concejo, así que las demás dimensiones se cumplen</w:t>
            </w:r>
          </w:p>
        </w:tc>
      </w:tr>
      <w:tr>
        <w:trPr>
          <w:cantSplit/>
          <w:tblHeader w:val="false"/>
        </w:trPr>
        <w:tc>
          <w:tcPr>
            <w:tcW w:type="dxa" w:w="96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7</w:t>
            </w:r>
          </w:p>
        </w:tc>
        <w:tc>
          <w:tcPr>
            <w:tcW w:type="dxa" w:w="13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Falso</w:t>
            </w:r>
          </w:p>
        </w:tc>
        <w:tc>
          <w:tcPr>
            <w:tcW w:type="dxa" w:w="432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Para Walsh la interculturalidad crítica "aún no existe, es algo por construir". Bolivia y Ecuador ofrecen </w:t>
            </w:r>
            <w:r>
              <w:rPr>
                <w:i/>
                <w:iCs/>
                <w:sz w:val="17"/>
                <w:szCs w:val="17"/>
              </w:rPr>
              <w:t xml:space="preserve">posibilidades</w:t>
            </w:r>
            <w:r>
              <w:rPr>
                <w:sz w:val="17"/>
                <w:szCs w:val="17"/>
              </w:rPr>
              <w:t xml:space="preserve">, pero con "problemas y contradicciones" (Walsh, 2009, secciones 1 y 2.3)</w:t>
            </w:r>
          </w:p>
        </w:tc>
        <w:tc>
          <w:tcPr>
            <w:tcW w:type="dxa" w:w="34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w:t>
            </w:r>
          </w:p>
        </w:tc>
      </w:tr>
      <w:tr>
        <w:trPr>
          <w:cantSplit/>
          <w:tblHeader w:val="false"/>
        </w:trPr>
        <w:tc>
          <w:tcPr>
            <w:tcW w:type="dxa" w:w="96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8</w:t>
            </w:r>
          </w:p>
        </w:tc>
        <w:tc>
          <w:tcPr>
            <w:tcW w:type="dxa" w:w="13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b/>
                <w:bCs/>
                <w:sz w:val="17"/>
                <w:szCs w:val="17"/>
              </w:rPr>
              <w:t xml:space="preserve">Falso</w:t>
            </w:r>
          </w:p>
        </w:tc>
        <w:tc>
          <w:tcPr>
            <w:tcW w:type="dxa" w:w="432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Las fases "no necesariamente se dan en etapas causales y consecutivas", sino en momentos de calidad y duración heterogéneas (Lahera, 2004, p. 11)</w:t>
            </w:r>
          </w:p>
        </w:tc>
        <w:tc>
          <w:tcPr>
            <w:tcW w:type="dxa" w:w="34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w:t>
            </w:r>
          </w:p>
        </w:tc>
      </w:tr>
      <w:tr>
        <w:trPr>
          <w:cantSplit/>
          <w:tblHeader w:val="false"/>
        </w:trPr>
        <w:tc>
          <w:tcPr>
            <w:tcW w:type="dxa" w:w="96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9</w:t>
            </w:r>
          </w:p>
        </w:tc>
        <w:tc>
          <w:tcPr>
            <w:tcW w:type="dxa" w:w="13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b/>
                <w:bCs/>
                <w:sz w:val="17"/>
                <w:szCs w:val="17"/>
              </w:rPr>
              <w:t xml:space="preserve">Falso</w:t>
            </w:r>
          </w:p>
        </w:tc>
        <w:tc>
          <w:tcPr>
            <w:tcW w:type="dxa" w:w="432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La racionalidad limitada no busca la solución óptima sino una </w:t>
            </w:r>
            <w:r>
              <w:rPr>
                <w:b/>
                <w:bCs/>
                <w:sz w:val="17"/>
                <w:szCs w:val="17"/>
              </w:rPr>
              <w:t xml:space="preserve">satisfactoria</w:t>
            </w:r>
            <w:r>
              <w:rPr>
                <w:sz w:val="17"/>
                <w:szCs w:val="17"/>
              </w:rPr>
              <w:t xml:space="preserve">. La segunda parte del enunciado (objetivos y medios se ajustan) sí es correcta, lo que la hace una trampa (Soto, s.f.-b)</w:t>
            </w:r>
          </w:p>
        </w:tc>
        <w:tc>
          <w:tcPr>
            <w:tcW w:type="dxa" w:w="34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w:t>
            </w:r>
          </w:p>
        </w:tc>
      </w:tr>
      <w:tr>
        <w:trPr>
          <w:cantSplit/>
          <w:tblHeader w:val="false"/>
        </w:trPr>
        <w:tc>
          <w:tcPr>
            <w:tcW w:type="dxa" w:w="963"/>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10</w:t>
            </w:r>
          </w:p>
        </w:tc>
        <w:tc>
          <w:tcPr>
            <w:tcW w:type="dxa" w:w="138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Desarrollo</w:t>
            </w:r>
          </w:p>
        </w:tc>
        <w:tc>
          <w:tcPr>
            <w:tcW w:type="dxa" w:w="4325"/>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Ver el </w:t>
            </w:r>
            <w:r>
              <w:rPr>
                <w:b/>
                <w:bCs/>
                <w:sz w:val="17"/>
                <w:szCs w:val="17"/>
              </w:rPr>
              <w:t xml:space="preserve">caso 1</w:t>
            </w:r>
            <w:r>
              <w:rPr>
                <w:sz w:val="17"/>
                <w:szCs w:val="17"/>
              </w:rPr>
              <w:t xml:space="preserve">: estructura, respuesta modelo y rúbrica</w:t>
            </w:r>
          </w:p>
        </w:tc>
        <w:tc>
          <w:tcPr>
            <w:tcW w:type="dxa" w:w="3406"/>
            <w:tcBorders>
              <w:top w:val="single" w:color="A6B8D4" w:sz="4"/>
              <w:left w:val="single" w:color="A6B8D4" w:sz="4"/>
              <w:bottom w:val="single" w:color="A6B8D4" w:sz="4"/>
              <w:right w:val="single" w:color="A6B8D4" w:sz="4"/>
            </w:tcBorders>
            <w:shd w:fill="F3F6FA" w:color="auto" w:val="clear"/>
            <w:tcMar>
              <w:top w:type="dxa" w:w="60"/>
              <w:left w:type="dxa" w:w="100"/>
              <w:bottom w:type="dxa" w:w="60"/>
              <w:right w:type="dxa" w:w="100"/>
            </w:tcMar>
          </w:tcPr>
          <w:p>
            <w:pPr>
              <w:spacing w:after="40" w:before="40"/>
            </w:pPr>
            <w:r>
              <w:rPr>
                <w:sz w:val="17"/>
                <w:szCs w:val="17"/>
              </w:rPr>
              <w:t xml:space="preserve">—</w:t>
            </w:r>
          </w:p>
        </w:tc>
      </w:tr>
      <w:tr>
        <w:trPr>
          <w:cantSplit/>
          <w:tblHeader w:val="false"/>
        </w:trPr>
        <w:tc>
          <w:tcPr>
            <w:tcW w:type="dxa" w:w="963"/>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11</w:t>
            </w:r>
          </w:p>
        </w:tc>
        <w:tc>
          <w:tcPr>
            <w:tcW w:type="dxa" w:w="138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Desarrollo</w:t>
            </w:r>
          </w:p>
        </w:tc>
        <w:tc>
          <w:tcPr>
            <w:tcW w:type="dxa" w:w="4325"/>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Ver el </w:t>
            </w:r>
            <w:r>
              <w:rPr>
                <w:b/>
                <w:bCs/>
                <w:sz w:val="17"/>
                <w:szCs w:val="17"/>
              </w:rPr>
              <w:t xml:space="preserve">caso 3</w:t>
            </w:r>
            <w:r>
              <w:rPr>
                <w:sz w:val="17"/>
                <w:szCs w:val="17"/>
              </w:rPr>
              <w:t xml:space="preserve">: estructura, respuesta modelo y rúbrica</w:t>
            </w:r>
          </w:p>
        </w:tc>
        <w:tc>
          <w:tcPr>
            <w:tcW w:type="dxa" w:w="3406"/>
            <w:tcBorders>
              <w:top w:val="single" w:color="A6B8D4" w:sz="4"/>
              <w:left w:val="single" w:color="A6B8D4" w:sz="4"/>
              <w:bottom w:val="single" w:color="A6B8D4" w:sz="4"/>
              <w:right w:val="single" w:color="A6B8D4" w:sz="4"/>
            </w:tcBorders>
            <w:tcMar>
              <w:top w:type="dxa" w:w="60"/>
              <w:left w:type="dxa" w:w="100"/>
              <w:bottom w:type="dxa" w:w="60"/>
              <w:right w:type="dxa" w:w="100"/>
            </w:tcMar>
          </w:tcPr>
          <w:p>
            <w:pPr>
              <w:spacing w:after="40" w:before="40"/>
            </w:pPr>
            <w:r>
              <w:rPr>
                <w:sz w:val="17"/>
                <w:szCs w:val="17"/>
              </w:rPr>
              <w:t xml:space="preserve">—</w:t>
            </w:r>
          </w:p>
        </w:tc>
      </w:tr>
    </w:tbl>
    <w:p>
      <w:pPr>
        <w:spacing w:after="120"/>
      </w:pPr>
    </w:p>
    <w:p>
      <w:r>
        <w:br w:type="page"/>
      </w:r>
    </w:p>
    <w:p>
      <w:pPr>
        <w:pStyle w:val="Heading1"/>
      </w:pPr>
      <w:bookmarkStart w:name="sec_22" w:id="23"/>
      <w:r>
        <w:t xml:space="preserve">5. Checklist antes de la prueba</w:t>
      </w:r>
      <w:bookmarkEnd w:id="23"/>
    </w:p>
    <w:p>
      <w:pPr>
        <w:pStyle w:val="ListParagraph"/>
        <w:numPr>
          <w:ilvl w:val="0"/>
          <w:numId w:val="21"/>
        </w:numPr>
        <w:spacing w:after="60" w:line="264"/>
      </w:pPr>
      <w:r>
        <w:t xml:space="preserve">☐ Puedo reconstruir sin mirar la matriz de las tres interculturalidades (1.9), con al menos 5 variables.</w:t>
      </w:r>
    </w:p>
    <w:p>
      <w:pPr>
        <w:pStyle w:val="ListParagraph"/>
        <w:numPr>
          <w:ilvl w:val="0"/>
          <w:numId w:val="21"/>
        </w:numPr>
        <w:spacing w:after="60" w:line="264"/>
      </w:pPr>
      <w:r>
        <w:t xml:space="preserve">☐ Distingo </w:t>
      </w:r>
      <w:r>
        <w:rPr>
          <w:i/>
          <w:iCs/>
        </w:rPr>
        <w:t xml:space="preserve">polity</w:t>
      </w:r>
      <w:r>
        <w:t xml:space="preserve">, </w:t>
      </w:r>
      <w:r>
        <w:rPr>
          <w:i/>
          <w:iCs/>
        </w:rPr>
        <w:t xml:space="preserve">politics</w:t>
      </w:r>
      <w:r>
        <w:t xml:space="preserve"> y </w:t>
      </w:r>
      <w:r>
        <w:rPr>
          <w:i/>
          <w:iCs/>
        </w:rPr>
        <w:t xml:space="preserve">policy</w:t>
      </w:r>
      <w:r>
        <w:t xml:space="preserve"> con un ejemplo intercultural de cada uno.</w:t>
      </w:r>
    </w:p>
    <w:p>
      <w:pPr>
        <w:pStyle w:val="ListParagraph"/>
        <w:numPr>
          <w:ilvl w:val="0"/>
          <w:numId w:val="21"/>
        </w:numPr>
        <w:spacing w:after="60" w:line="264"/>
      </w:pPr>
      <w:r>
        <w:t xml:space="preserve">☐ Nombro las 5 etapas del ciclo (clase), las 4 de Lahera y una fuga por etapa.</w:t>
      </w:r>
    </w:p>
    <w:p>
      <w:pPr>
        <w:pStyle w:val="ListParagraph"/>
        <w:numPr>
          <w:ilvl w:val="0"/>
          <w:numId w:val="21"/>
        </w:numPr>
        <w:spacing w:after="60" w:line="264"/>
      </w:pPr>
      <w:r>
        <w:t xml:space="preserve">☐ Clasifico un ejemplo en cada tipo de ventana de oportunidad.</w:t>
      </w:r>
    </w:p>
    <w:p>
      <w:pPr>
        <w:pStyle w:val="ListParagraph"/>
        <w:numPr>
          <w:ilvl w:val="0"/>
          <w:numId w:val="21"/>
        </w:numPr>
        <w:spacing w:after="60" w:line="264"/>
      </w:pPr>
      <w:r>
        <w:t xml:space="preserve">☐ Explico los tres modelos de decisión y cuál es más plausible en políticas interculturales.</w:t>
      </w:r>
    </w:p>
    <w:p>
      <w:pPr>
        <w:pStyle w:val="ListParagraph"/>
        <w:numPr>
          <w:ilvl w:val="0"/>
          <w:numId w:val="21"/>
        </w:numPr>
        <w:spacing w:after="60" w:line="264"/>
      </w:pPr>
      <w:r>
        <w:t xml:space="preserve">☐ Diferencio top-down y bottom-up por pregunta, foco y actor clave.</w:t>
      </w:r>
    </w:p>
    <w:p>
      <w:pPr>
        <w:pStyle w:val="ListParagraph"/>
        <w:numPr>
          <w:ilvl w:val="0"/>
          <w:numId w:val="21"/>
        </w:numPr>
        <w:spacing w:after="60" w:line="264"/>
      </w:pPr>
      <w:r>
        <w:t xml:space="preserve">☐ Explico las cuatro dimensiones de la colonialidad y por qué Walsh escribe "de-colonial".</w:t>
      </w:r>
    </w:p>
    <w:p>
      <w:pPr>
        <w:pStyle w:val="ListParagraph"/>
        <w:numPr>
          <w:ilvl w:val="0"/>
          <w:numId w:val="21"/>
        </w:numPr>
        <w:spacing w:after="60" w:line="264"/>
      </w:pPr>
      <w:r>
        <w:t xml:space="preserve">☐ Recuerdo los 5 ejes de la Comisión y sus datos: 1989, 1997, 10 millones → 500 mil hectáreas, 62%, 28,6%, 11 pueblos, 430 representantes.</w:t>
      </w:r>
    </w:p>
    <w:p>
      <w:pPr>
        <w:pStyle w:val="ListParagraph"/>
        <w:numPr>
          <w:ilvl w:val="0"/>
          <w:numId w:val="21"/>
        </w:numPr>
        <w:spacing w:after="60" w:line="264"/>
      </w:pPr>
      <w:r>
        <w:t xml:space="preserve">☐ Aplico el método IDAC y cito con autor y año en cada párrafo.</w:t>
      </w:r>
    </w:p>
    <w:p>
      <w:pPr>
        <w:spacing w:after="60"/>
      </w:pPr>
    </w:p>
    <w:p>
      <w:pPr>
        <w:pStyle w:val="Heading1"/>
      </w:pPr>
      <w:bookmarkStart w:name="sec_23" w:id="24"/>
      <w:r>
        <w:t xml:space="preserve">Referencias bibliográficas (APA 7)</w:t>
      </w:r>
      <w:bookmarkEnd w:id="24"/>
    </w:p>
    <w:p>
      <w:pPr>
        <w:spacing w:after="120" w:line="276"/>
        <w:ind w:left="720" w:hanging="720"/>
      </w:pPr>
      <w:r>
        <w:t xml:space="preserve">Lahera, E. (2004). </w:t>
      </w:r>
      <w:r>
        <w:rPr>
          <w:i/>
          <w:iCs/>
        </w:rPr>
        <w:t xml:space="preserve">Política y políticas públicas</w:t>
      </w:r>
      <w:r>
        <w:t xml:space="preserve"> (Serie Políticas Sociales N.º 95). Comisión Económica para América Latina y el Caribe.</w:t>
      </w:r>
    </w:p>
    <w:p>
      <w:pPr>
        <w:spacing w:after="120" w:line="276"/>
        <w:ind w:left="720" w:hanging="720"/>
      </w:pPr>
      <w:r>
        <w:t xml:space="preserve">Soto, J. (s.f.-a). </w:t>
      </w:r>
      <w:r>
        <w:rPr>
          <w:i/>
          <w:iCs/>
        </w:rPr>
        <w:t xml:space="preserve">Presentación del curso Gestión Pública Intercultural</w:t>
      </w:r>
      <w:r>
        <w:t xml:space="preserve"> [Diapositivas de PowerPoint]. Universidad Católica de Temuco.</w:t>
      </w:r>
    </w:p>
    <w:p>
      <w:pPr>
        <w:spacing w:after="120" w:line="276"/>
        <w:ind w:left="720" w:hanging="720"/>
      </w:pPr>
      <w:r>
        <w:t xml:space="preserve">Soto, J. (s.f.-b). </w:t>
      </w:r>
      <w:r>
        <w:rPr>
          <w:i/>
          <w:iCs/>
        </w:rPr>
        <w:t xml:space="preserve">Políticas públicas</w:t>
      </w:r>
      <w:r>
        <w:t xml:space="preserve"> [Diapositivas de PowerPoint]. Universidad Católica de Temuco.</w:t>
      </w:r>
    </w:p>
    <w:p>
      <w:pPr>
        <w:spacing w:after="120" w:line="276"/>
        <w:ind w:left="720" w:hanging="720"/>
      </w:pPr>
      <w:r>
        <w:t xml:space="preserve">Soto, J. (s.f.-c). </w:t>
      </w:r>
      <w:r>
        <w:rPr>
          <w:i/>
          <w:iCs/>
        </w:rPr>
        <w:t xml:space="preserve">Demandas actuales del Pueblo Mapuche</w:t>
      </w:r>
      <w:r>
        <w:t xml:space="preserve"> [Diapositivas de PowerPoint]. Universidad Católica de Temuco.</w:t>
      </w:r>
    </w:p>
    <w:p>
      <w:pPr>
        <w:spacing w:after="120" w:line="276"/>
        <w:ind w:left="720" w:hanging="720"/>
      </w:pPr>
      <w:r>
        <w:t xml:space="preserve">Walsh, C. (2009). </w:t>
      </w:r>
      <w:r>
        <w:rPr>
          <w:i/>
          <w:iCs/>
        </w:rPr>
        <w:t xml:space="preserve">Interculturalidad crítica y educación intercultural</w:t>
      </w:r>
      <w:r>
        <w:t xml:space="preserve"> [Ponencia]. Seminario "Interculturalidad y Educación Intercultural", Instituto Internacional de Integración del Convenio Andrés Bello, La Paz, Bolivia.</w:t>
      </w:r>
    </w:p>
    <w:p>
      <w:pPr>
        <w:spacing w:after="120" w:line="276"/>
      </w:pPr>
      <w:r>
        <w:rPr>
          <w:i/>
          <w:iCs/>
        </w:rPr>
        <w:t xml:space="preserve">Nota sobre fuentes secundarias:</w:t>
      </w:r>
      <w:r>
        <w:t xml:space="preserve"> Cohen et al. (1972), Howlett et al. (2009), Lahera (2002), Lipsky (1980), Maldonado-Torres (2007), Mayntz (2001), Quijano (2000), Tamayo (1997) y Tubino (2005) se citan a través de las fuentes del curso. Por eso, según APA 7 (sección 8.6), en esta lista figuran solo las fuentes consultadas directamente.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Guía de estudio N.º 1 · Gestión Pública Intercultural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70"/>
      </w:pPr>
    </w:lvl>
    <w:lvl w:ilvl="1" w15:tentative="1">
      <w:start w:val="1"/>
      <w:numFmt w:val="bullet"/>
      <w:lvlText w:val="–"/>
      <w:lvlJc w:val="left"/>
      <w:pPr>
        <w:ind w:left="720" w:hanging="270"/>
      </w:pPr>
    </w:lvl>
    <w:lvl w:ilvl="2"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lowerRoman"/>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5597"/>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estudio N.º 1: Gestión Pública Intercultural</dc:title>
  <dc:creator>Tutor Gestión Pública Intercultural</dc:creator>
  <cp:lastModifiedBy>Un-named</cp:lastModifiedBy>
  <cp:revision>1</cp:revision>
  <dcterms:created xsi:type="dcterms:W3CDTF">2026-09-25T13:04:33.350Z</dcterms:created>
  <dcterms:modified xsi:type="dcterms:W3CDTF">2026-09-25T13:04:33.350Z</dcterms:modified>
</cp:coreProperties>
</file>

<file path=docProps/custom.xml><?xml version="1.0" encoding="utf-8"?>
<Properties xmlns="http://schemas.openxmlformats.org/officeDocument/2006/custom-properties" xmlns:vt="http://schemas.openxmlformats.org/officeDocument/2006/docPropsVTypes"/>
</file>