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Times New Roman" w:hAnsi="Times New Roman" w:cs="Times New Roman"/>
          <w:b/>
          <w:sz w:val="24"/>
          <w:szCs w:val="24"/>
          <w:u w:val="single"/>
        </w:rPr>
      </w:pPr>
      <w:r>
        <w:rPr/>
        <w:drawing>
          <wp:inline distT="0" distB="0" distL="0" distR="0">
            <wp:extent cx="2749550" cy="623570"/>
            <wp:effectExtent l="0" t="0" r="0" b="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Resultado de imagen de universidad tecnologica del peru"/>
                    <pic:cNvPicPr>
                      <a:picLocks noChangeAspect="1" noChangeArrowheads="1"/>
                    </pic:cNvPicPr>
                  </pic:nvPicPr>
                  <pic:blipFill>
                    <a:blip r:embed="rId2"/>
                    <a:stretch>
                      <a:fillRect/>
                    </a:stretch>
                  </pic:blipFill>
                  <pic:spPr bwMode="auto">
                    <a:xfrm>
                      <a:off x="0" y="0"/>
                      <a:ext cx="2749550" cy="623570"/>
                    </a:xfrm>
                    <a:prstGeom prst="rect">
                      <a:avLst/>
                    </a:prstGeom>
                  </pic:spPr>
                </pic:pic>
              </a:graphicData>
            </a:graphic>
          </wp:inline>
        </w:drawing>
      </w:r>
    </w:p>
    <w:p>
      <w:pPr>
        <w:pStyle w:val="Normal"/>
        <w:jc w:val="center"/>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jc w:val="center"/>
        <w:rPr>
          <w:rFonts w:ascii="Times New Roman" w:hAnsi="Times New Roman" w:eastAsia="Times New Roman" w:cs="Times New Roman"/>
          <w:i/>
          <w:i/>
          <w:color w:themeColor="background1" w:themeShade="80" w:val="808080"/>
          <w:sz w:val="24"/>
          <w:szCs w:val="24"/>
        </w:rPr>
      </w:pPr>
      <w:r>
        <w:rPr>
          <w:rFonts w:eastAsia="Times New Roman" w:cs="Times New Roman" w:ascii="Times New Roman" w:hAnsi="Times New Roman"/>
          <w:i/>
          <w:color w:themeColor="background1" w:themeShade="80" w:val="808080"/>
          <w:sz w:val="24"/>
          <w:szCs w:val="24"/>
        </w:rPr>
        <w:t>UTP – Sede Arequipa</w:t>
      </w:r>
    </w:p>
    <w:p>
      <w:pPr>
        <w:pStyle w:val="Normal"/>
        <w:spacing w:lineRule="auto" w:line="240" w:before="0" w:after="0"/>
        <w:jc w:val="center"/>
        <w:rPr>
          <w:rFonts w:ascii="Times New Roman" w:hAnsi="Times New Roman" w:eastAsia="Times New Roman" w:cs="Times New Roman"/>
          <w:i/>
          <w:i/>
          <w:color w:themeColor="background1" w:themeShade="80" w:val="808080"/>
          <w:sz w:val="24"/>
          <w:szCs w:val="24"/>
        </w:rPr>
      </w:pPr>
      <w:r>
        <w:rPr>
          <w:rFonts w:eastAsia="Times New Roman" w:cs="Times New Roman" w:ascii="Times New Roman" w:hAnsi="Times New Roman"/>
          <w:i/>
          <w:color w:themeColor="background1" w:themeShade="80" w:val="808080"/>
          <w:sz w:val="24"/>
          <w:szCs w:val="24"/>
        </w:rPr>
      </w:r>
    </w:p>
    <w:p>
      <w:pPr>
        <w:pStyle w:val="Normal"/>
        <w:spacing w:lineRule="auto" w:line="240" w:before="0" w:after="0"/>
        <w:jc w:val="center"/>
        <w:rPr>
          <w:rFonts w:ascii="Times New Roman" w:hAnsi="Times New Roman" w:cs="Times New Roman"/>
          <w:sz w:val="24"/>
          <w:szCs w:val="24"/>
        </w:rPr>
      </w:pPr>
      <w:r>
        <w:rPr>
          <w:rFonts w:eastAsia="Times New Roman" w:cs="Times New Roman" w:ascii="Times New Roman" w:hAnsi="Times New Roman"/>
          <w:i/>
          <w:color w:themeColor="background1" w:themeShade="80" w:val="808080"/>
          <w:sz w:val="24"/>
          <w:szCs w:val="24"/>
        </w:rPr>
        <w:t>CONTABILIDAD</w:t>
      </w:r>
    </w:p>
    <w:p>
      <w:pPr>
        <w:pStyle w:val="Normal"/>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Proyecto de Trabajo de Investigación</w:t>
      </w:r>
    </w:p>
    <w:p>
      <w:pPr>
        <w:pStyle w:val="Normal"/>
        <w:jc w:val="center"/>
        <w:rPr>
          <w:rFonts w:ascii="Times New Roman" w:hAnsi="Times New Roman" w:eastAsia="Times New Roman" w:cs="Times New Roman"/>
          <w:bCs/>
          <w:color w:val="000000"/>
          <w:sz w:val="24"/>
          <w:szCs w:val="24"/>
        </w:rPr>
      </w:pPr>
      <w:r>
        <w:rPr>
          <w:rFonts w:eastAsia="Times New Roman" w:cs="Times New Roman" w:ascii="Times New Roman" w:hAnsi="Times New Roman"/>
          <w:bCs/>
          <w:color w:val="000000"/>
          <w:sz w:val="24"/>
          <w:szCs w:val="24"/>
        </w:rPr>
      </w:r>
    </w:p>
    <w:p>
      <w:pPr>
        <w:pStyle w:val="Normal"/>
        <w:jc w:val="center"/>
        <w:rPr>
          <w:rFonts w:ascii="Times New Roman" w:hAnsi="Times New Roman" w:eastAsia="Times New Roman" w:cs="Times New Roman"/>
          <w:bCs/>
          <w:color w:val="000000"/>
          <w:sz w:val="24"/>
          <w:szCs w:val="24"/>
        </w:rPr>
      </w:pPr>
      <w:r>
        <w:rPr>
          <w:rFonts w:eastAsia="Times New Roman" w:cs="Times New Roman" w:ascii="Times New Roman" w:hAnsi="Times New Roman"/>
          <w:bCs/>
          <w:color w:val="000000"/>
          <w:sz w:val="24"/>
          <w:szCs w:val="24"/>
        </w:rPr>
        <w:t>Análisis de los estados financieros y su impacto en la gestión financiera de una empresa en la ciudad de Arequipa – Mariano Melgar, 2024.</w:t>
      </w:r>
    </w:p>
    <w:p>
      <w:pPr>
        <w:pStyle w:val="Normal"/>
        <w:jc w:val="center"/>
        <w:rPr>
          <w:rFonts w:ascii="Times New Roman" w:hAnsi="Times New Roman" w:eastAsia="Times New Roman" w:cs="Times New Roman"/>
          <w:bCs/>
          <w:color w:val="000000"/>
          <w:sz w:val="24"/>
          <w:szCs w:val="24"/>
        </w:rPr>
      </w:pPr>
      <w:r>
        <w:rPr>
          <w:rFonts w:eastAsia="Times New Roman" w:cs="Times New Roman" w:ascii="Times New Roman" w:hAnsi="Times New Roman"/>
          <w:bCs/>
          <w:color w:val="000000"/>
          <w:sz w:val="24"/>
          <w:szCs w:val="24"/>
        </w:rPr>
      </w:r>
    </w:p>
    <w:p>
      <w:pPr>
        <w:pStyle w:val="Normal"/>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Integrantes</w:t>
      </w:r>
    </w:p>
    <w:p>
      <w:pPr>
        <w:pStyle w:val="Normal"/>
        <w:jc w:val="center"/>
        <w:rPr>
          <w:rFonts w:ascii="Times New Roman" w:hAnsi="Times New Roman" w:eastAsia="Times New Roman" w:cs="Times New Roman"/>
          <w:i/>
          <w:i/>
          <w:color w:themeColor="background2" w:themeShade="80" w:val="767171"/>
          <w:sz w:val="24"/>
          <w:szCs w:val="24"/>
        </w:rPr>
      </w:pPr>
      <w:r>
        <w:rPr>
          <w:rFonts w:eastAsia="Times New Roman" w:cs="Times New Roman" w:ascii="Times New Roman" w:hAnsi="Times New Roman"/>
          <w:i/>
          <w:color w:themeColor="background2" w:themeShade="80" w:val="767171"/>
          <w:sz w:val="24"/>
          <w:szCs w:val="24"/>
        </w:rPr>
        <w:t>Huaricallo Turpo, Sonia Lisbeth  u18204288</w:t>
      </w:r>
    </w:p>
    <w:p>
      <w:pPr>
        <w:pStyle w:val="Normal"/>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Docentes</w:t>
      </w:r>
    </w:p>
    <w:p>
      <w:pPr>
        <w:pStyle w:val="Normal"/>
        <w:jc w:val="center"/>
        <w:rPr>
          <w:rFonts w:ascii="Times New Roman" w:hAnsi="Times New Roman" w:eastAsia="Times New Roman" w:cs="Times New Roman"/>
          <w:i/>
          <w:i/>
          <w:color w:themeColor="background2" w:themeShade="80" w:val="767171"/>
          <w:sz w:val="24"/>
          <w:szCs w:val="24"/>
        </w:rPr>
      </w:pPr>
      <w:r>
        <w:rPr>
          <w:rFonts w:eastAsia="Times New Roman" w:cs="Times New Roman" w:ascii="Times New Roman" w:hAnsi="Times New Roman"/>
          <w:b/>
          <w:bCs/>
          <w:i/>
          <w:color w:themeColor="background2" w:themeShade="80" w:val="767171"/>
          <w:sz w:val="24"/>
          <w:szCs w:val="24"/>
        </w:rPr>
        <w:t>Alburqueque Trelles, Maria Yedidia</w:t>
      </w:r>
    </w:p>
    <w:p>
      <w:pPr>
        <w:pStyle w:val="Normal"/>
        <w:jc w:val="center"/>
        <w:rPr>
          <w:rFonts w:ascii="Times New Roman" w:hAnsi="Times New Roman" w:eastAsia="Times New Roman" w:cs="Times New Roman"/>
          <w:i/>
          <w:i/>
          <w:color w:themeColor="background2" w:themeShade="80" w:val="767171"/>
          <w:sz w:val="24"/>
          <w:szCs w:val="24"/>
        </w:rPr>
      </w:pPr>
      <w:r>
        <w:rPr>
          <w:rFonts w:eastAsia="Times New Roman" w:cs="Times New Roman" w:ascii="Times New Roman" w:hAnsi="Times New Roman"/>
          <w:i/>
          <w:color w:themeColor="background2" w:themeShade="80" w:val="767171"/>
          <w:sz w:val="24"/>
          <w:szCs w:val="24"/>
        </w:rPr>
      </w:r>
    </w:p>
    <w:p>
      <w:pPr>
        <w:pStyle w:val="Normal"/>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ind w:firstLine="708" w:left="708"/>
        <w:jc w:val="center"/>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ind w:firstLine="1"/>
        <w:jc w:val="center"/>
        <w:rPr>
          <w:rFonts w:ascii="Times New Roman" w:hAnsi="Times New Roman" w:eastAsia="Times New Roman" w:cs="Times New Roman"/>
          <w:i/>
          <w:i/>
          <w:color w:themeColor="background1" w:themeShade="80" w:val="808080"/>
          <w:sz w:val="24"/>
          <w:szCs w:val="24"/>
        </w:rPr>
      </w:pPr>
      <w:r>
        <w:rPr>
          <w:rFonts w:eastAsia="Times New Roman" w:cs="Times New Roman" w:ascii="Times New Roman" w:hAnsi="Times New Roman"/>
          <w:i/>
          <w:color w:themeColor="background1" w:themeShade="80" w:val="808080"/>
          <w:sz w:val="24"/>
          <w:szCs w:val="24"/>
        </w:rPr>
        <w:t>Arequipa, Perú</w:t>
      </w:r>
    </w:p>
    <w:p>
      <w:pPr>
        <w:pStyle w:val="Normal"/>
        <w:spacing w:lineRule="auto" w:line="24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Ciclo</w:t>
      </w:r>
    </w:p>
    <w:p>
      <w:pPr>
        <w:pStyle w:val="Normal"/>
        <w:spacing w:lineRule="auto" w:line="240" w:before="0" w:after="0"/>
        <w:jc w:val="center"/>
        <w:rPr>
          <w:rFonts w:ascii="Times New Roman" w:hAnsi="Times New Roman" w:eastAsia="Times New Roman" w:cs="Times New Roman"/>
          <w:i/>
          <w:i/>
          <w:color w:themeColor="background1" w:themeShade="80" w:val="808080"/>
          <w:sz w:val="24"/>
          <w:szCs w:val="24"/>
        </w:rPr>
      </w:pPr>
      <w:r>
        <w:rPr>
          <w:rFonts w:eastAsia="Times New Roman" w:cs="Times New Roman" w:ascii="Times New Roman" w:hAnsi="Times New Roman"/>
          <w:i/>
          <w:color w:themeColor="background1" w:themeShade="80" w:val="808080"/>
          <w:sz w:val="24"/>
          <w:szCs w:val="24"/>
        </w:rPr>
        <w:t>9no semestre</w:t>
      </w:r>
    </w:p>
    <w:p>
      <w:pPr>
        <w:pStyle w:val="Normal"/>
        <w:spacing w:lineRule="auto" w:line="240" w:before="0" w:after="0"/>
        <w:jc w:val="center"/>
        <w:rPr>
          <w:rFonts w:ascii="Times New Roman" w:hAnsi="Times New Roman" w:eastAsia="Times New Roman" w:cs="Times New Roman"/>
          <w:i/>
          <w:i/>
          <w:color w:themeColor="background1" w:themeShade="80" w:val="808080"/>
          <w:sz w:val="24"/>
          <w:szCs w:val="24"/>
        </w:rPr>
      </w:pPr>
      <w:r>
        <w:rPr>
          <w:rFonts w:eastAsia="Times New Roman" w:cs="Times New Roman" w:ascii="Times New Roman" w:hAnsi="Times New Roman"/>
          <w:i/>
          <w:color w:themeColor="background1" w:themeShade="80" w:val="808080"/>
          <w:sz w:val="24"/>
          <w:szCs w:val="24"/>
        </w:rPr>
      </w:r>
    </w:p>
    <w:p>
      <w:pPr>
        <w:pStyle w:val="Normal"/>
        <w:spacing w:lineRule="auto" w:line="240" w:before="0" w:after="0"/>
        <w:jc w:val="center"/>
        <w:rPr>
          <w:rFonts w:ascii="Times New Roman" w:hAnsi="Times New Roman" w:eastAsia="Times New Roman" w:cs="Times New Roman"/>
          <w:i/>
          <w:i/>
          <w:color w:themeColor="background1" w:themeShade="80" w:val="808080"/>
          <w:sz w:val="24"/>
          <w:szCs w:val="24"/>
        </w:rPr>
      </w:pPr>
      <w:r>
        <w:rPr>
          <w:rFonts w:eastAsia="Times New Roman" w:cs="Times New Roman" w:ascii="Times New Roman" w:hAnsi="Times New Roman"/>
          <w:i/>
          <w:color w:themeColor="background1" w:themeShade="80" w:val="808080"/>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59" w:before="0" w:after="160"/>
        <w:jc w:val="left"/>
        <w:rPr>
          <w:rFonts w:ascii="Times New Roman" w:hAnsi="Times New Roman" w:cs="Times New Roman"/>
          <w:b/>
          <w:sz w:val="24"/>
          <w:szCs w:val="24"/>
          <w:u w:val="single"/>
        </w:rPr>
      </w:pPr>
      <w:r>
        <w:rPr>
          <w:rFonts w:cs="Times New Roman" w:ascii="Times New Roman" w:hAnsi="Times New Roman"/>
          <w:b/>
          <w:sz w:val="24"/>
          <w:szCs w:val="24"/>
          <w:u w:val="single"/>
        </w:rPr>
        <w:t>ÍNDICE</w:t>
      </w:r>
    </w:p>
    <w:sdt>
      <w:sdtPr>
        <w:docPartObj>
          <w:docPartGallery w:val="Table of Contents"/>
          <w:docPartUnique w:val="true"/>
        </w:docPartObj>
        <w:id w:val="-481615978"/>
      </w:sdtPr>
      <w:sdtContent>
        <w:p>
          <w:pPr>
            <w:pStyle w:val="TOCHeading"/>
            <w:rPr>
              <w:rFonts w:ascii="Times New Roman" w:hAnsi="Times New Roman" w:cs="Times New Roman"/>
              <w:sz w:val="24"/>
              <w:szCs w:val="24"/>
            </w:rPr>
          </w:pPr>
          <w:r>
            <w:rPr>
              <w:rFonts w:cs="Times New Roman" w:ascii="Times New Roman" w:hAnsi="Times New Roman"/>
              <w:sz w:val="24"/>
              <w:szCs w:val="24"/>
            </w:rPr>
          </w:r>
        </w:p>
        <w:p>
          <w:pPr>
            <w:pStyle w:val="TOC1"/>
            <w:rPr>
              <w:rFonts w:ascii="Times New Roman" w:hAnsi="Times New Roman" w:eastAsia="ＭＳ 明朝" w:cs="Times New Roman" w:eastAsiaTheme="minorEastAsia"/>
              <w:sz w:val="24"/>
              <w:szCs w:val="24"/>
              <w:lang w:val="es-PE" w:eastAsia="es-PE"/>
            </w:rPr>
          </w:pPr>
          <w:r>
            <w:fldChar w:fldCharType="begin"/>
          </w:r>
          <w:r>
            <w:rPr>
              <w:webHidden/>
              <w:rStyle w:val="IndexLink"/>
              <w:sz w:val="24"/>
              <w:szCs w:val="24"/>
              <w:rFonts w:cs="Times New Roman" w:ascii="Times New Roman" w:hAnsi="Times New Roman"/>
            </w:rPr>
            <w:instrText xml:space="preserve"> TOC \z \o "1-3" \u \h</w:instrText>
          </w:r>
          <w:r>
            <w:rPr>
              <w:webHidden/>
              <w:rStyle w:val="IndexLink"/>
              <w:sz w:val="24"/>
              <w:szCs w:val="24"/>
              <w:rFonts w:cs="Times New Roman" w:ascii="Times New Roman" w:hAnsi="Times New Roman"/>
            </w:rPr>
            <w:fldChar w:fldCharType="separate"/>
          </w:r>
          <w:hyperlink w:anchor="_Toc49307721">
            <w:r>
              <w:rPr>
                <w:webHidden/>
                <w:rStyle w:val="IndexLink"/>
                <w:rFonts w:cs="Times New Roman" w:ascii="Times New Roman" w:hAnsi="Times New Roman"/>
                <w:sz w:val="24"/>
                <w:szCs w:val="24"/>
              </w:rPr>
              <w:t>1.</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PROBLEMA DE INVESTIGACIÓN (máximo 1 página)</w:t>
            </w:r>
            <w:r>
              <w:rPr>
                <w:webHidden/>
              </w:rPr>
              <w:fldChar w:fldCharType="begin"/>
            </w:r>
            <w:r>
              <w:rPr>
                <w:webHidden/>
              </w:rPr>
              <w:instrText xml:space="preserve">PAGEREF _Toc49307721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2">
            <w:r>
              <w:rPr>
                <w:webHidden/>
                <w:rStyle w:val="IndexLink"/>
                <w:rFonts w:cs="Times New Roman" w:ascii="Times New Roman" w:hAnsi="Times New Roman"/>
                <w:sz w:val="24"/>
                <w:szCs w:val="24"/>
              </w:rPr>
              <w:t>2.</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OBJETIVO GENERAL Y ESPECÍFICOS (máximo 1 página)</w:t>
            </w:r>
            <w:r>
              <w:rPr>
                <w:webHidden/>
              </w:rPr>
              <w:fldChar w:fldCharType="begin"/>
            </w:r>
            <w:r>
              <w:rPr>
                <w:webHidden/>
              </w:rPr>
              <w:instrText xml:space="preserve">PAGEREF _Toc49307722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3">
            <w:r>
              <w:rPr>
                <w:webHidden/>
                <w:rStyle w:val="IndexLink"/>
                <w:rFonts w:cs="Times New Roman" w:ascii="Times New Roman" w:hAnsi="Times New Roman"/>
                <w:sz w:val="24"/>
                <w:szCs w:val="24"/>
              </w:rPr>
              <w:t>3.</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JUSTIFICACIÓN (máximo 1 página)</w:t>
            </w:r>
            <w:r>
              <w:rPr>
                <w:webHidden/>
              </w:rPr>
              <w:fldChar w:fldCharType="begin"/>
            </w:r>
            <w:r>
              <w:rPr>
                <w:webHidden/>
              </w:rPr>
              <w:instrText xml:space="preserve">PAGEREF _Toc49307723 \h</w:instrText>
            </w:r>
            <w:r>
              <w:rPr>
                <w:webHidden/>
              </w:rPr>
              <w:fldChar w:fldCharType="separate"/>
            </w:r>
            <w:r>
              <w:rPr>
                <w:rStyle w:val="IndexLink"/>
                <w:rFonts w:cs="Times New Roman" w:ascii="Times New Roman" w:hAnsi="Times New Roman"/>
                <w:vanish w:val="false"/>
                <w:sz w:val="24"/>
                <w:szCs w:val="24"/>
              </w:rPr>
              <w:tab/>
              <w:t>4</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4">
            <w:r>
              <w:rPr>
                <w:webHidden/>
                <w:rStyle w:val="IndexLink"/>
                <w:rFonts w:cs="Times New Roman" w:ascii="Times New Roman" w:hAnsi="Times New Roman"/>
                <w:sz w:val="24"/>
                <w:szCs w:val="24"/>
              </w:rPr>
              <w:t>4.</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REVISIÓN DE LA LITERATURA ACTUAL O ESTADO DEL ARTE (máximo 5 páginas)</w:t>
            </w:r>
            <w:r>
              <w:rPr>
                <w:webHidden/>
              </w:rPr>
              <w:fldChar w:fldCharType="begin"/>
            </w:r>
            <w:r>
              <w:rPr>
                <w:webHidden/>
              </w:rPr>
              <w:instrText xml:space="preserve">PAGEREF _Toc49307724 \h</w:instrText>
            </w:r>
            <w:r>
              <w:rPr>
                <w:webHidden/>
              </w:rPr>
              <w:fldChar w:fldCharType="separate"/>
            </w:r>
            <w:r>
              <w:rPr>
                <w:rStyle w:val="IndexLink"/>
                <w:rFonts w:cs="Times New Roman" w:ascii="Times New Roman" w:hAnsi="Times New Roman"/>
                <w:vanish w:val="false"/>
                <w:sz w:val="24"/>
                <w:szCs w:val="24"/>
              </w:rPr>
              <w:tab/>
              <w:t>4</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5">
            <w:r>
              <w:rPr>
                <w:webHidden/>
                <w:rStyle w:val="IndexLink"/>
                <w:rFonts w:cs="Times New Roman" w:ascii="Times New Roman" w:hAnsi="Times New Roman"/>
                <w:sz w:val="24"/>
                <w:szCs w:val="24"/>
              </w:rPr>
              <w:t>5.</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MARCO TEÓRICO (máximo 5 páginas)</w:t>
            </w:r>
            <w:r>
              <w:rPr>
                <w:webHidden/>
              </w:rPr>
              <w:fldChar w:fldCharType="begin"/>
            </w:r>
            <w:r>
              <w:rPr>
                <w:webHidden/>
              </w:rPr>
              <w:instrText xml:space="preserve">PAGEREF _Toc49307725 \h</w:instrText>
            </w:r>
            <w:r>
              <w:rPr>
                <w:webHidden/>
              </w:rPr>
              <w:fldChar w:fldCharType="separate"/>
            </w:r>
            <w:r>
              <w:rPr>
                <w:rStyle w:val="IndexLink"/>
                <w:rFonts w:cs="Times New Roman" w:ascii="Times New Roman" w:hAnsi="Times New Roman"/>
                <w:vanish w:val="false"/>
                <w:sz w:val="24"/>
                <w:szCs w:val="24"/>
              </w:rPr>
              <w:tab/>
              <w:t>4</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6">
            <w:r>
              <w:rPr>
                <w:webHidden/>
                <w:rStyle w:val="IndexLink"/>
                <w:rFonts w:cs="Times New Roman" w:ascii="Times New Roman" w:hAnsi="Times New Roman"/>
                <w:sz w:val="24"/>
                <w:szCs w:val="24"/>
              </w:rPr>
              <w:t>6.</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HIPÓTESIS (de ser el caso)</w:t>
            </w:r>
            <w:r>
              <w:rPr>
                <w:webHidden/>
              </w:rPr>
              <w:fldChar w:fldCharType="begin"/>
            </w:r>
            <w:r>
              <w:rPr>
                <w:webHidden/>
              </w:rPr>
              <w:instrText xml:space="preserve">PAGEREF _Toc49307726 \h</w:instrText>
            </w:r>
            <w:r>
              <w:rPr>
                <w:webHidden/>
              </w:rPr>
              <w:fldChar w:fldCharType="separate"/>
            </w:r>
            <w:r>
              <w:rPr>
                <w:rStyle w:val="IndexLink"/>
                <w:rFonts w:cs="Times New Roman" w:ascii="Times New Roman" w:hAnsi="Times New Roman"/>
                <w:vanish w:val="false"/>
                <w:sz w:val="24"/>
                <w:szCs w:val="24"/>
              </w:rPr>
              <w:tab/>
              <w:t>5</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7">
            <w:r>
              <w:rPr>
                <w:webHidden/>
                <w:rStyle w:val="IndexLink"/>
                <w:rFonts w:cs="Times New Roman" w:ascii="Times New Roman" w:hAnsi="Times New Roman"/>
                <w:sz w:val="24"/>
                <w:szCs w:val="24"/>
              </w:rPr>
              <w:t>7.</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METODOLOGÍA (máximo 5 páginas)</w:t>
            </w:r>
            <w:r>
              <w:rPr>
                <w:webHidden/>
              </w:rPr>
              <w:fldChar w:fldCharType="begin"/>
            </w:r>
            <w:r>
              <w:rPr>
                <w:webHidden/>
              </w:rPr>
              <w:instrText xml:space="preserve">PAGEREF _Toc49307727 \h</w:instrText>
            </w:r>
            <w:r>
              <w:rPr>
                <w:webHidden/>
              </w:rPr>
              <w:fldChar w:fldCharType="separate"/>
            </w:r>
            <w:r>
              <w:rPr>
                <w:rStyle w:val="IndexLink"/>
                <w:rFonts w:cs="Times New Roman" w:ascii="Times New Roman" w:hAnsi="Times New Roman"/>
                <w:vanish w:val="false"/>
                <w:sz w:val="24"/>
                <w:szCs w:val="24"/>
              </w:rPr>
              <w:tab/>
              <w:t>5</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8">
            <w:r>
              <w:rPr>
                <w:webHidden/>
                <w:rStyle w:val="IndexLink"/>
                <w:rFonts w:cs="Times New Roman" w:ascii="Times New Roman" w:hAnsi="Times New Roman"/>
                <w:sz w:val="24"/>
                <w:szCs w:val="24"/>
              </w:rPr>
              <w:t>8.</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CRONOGRAMA DE TRABAJO (máximo 3 páginas)</w:t>
            </w:r>
            <w:r>
              <w:rPr>
                <w:webHidden/>
              </w:rPr>
              <w:fldChar w:fldCharType="begin"/>
            </w:r>
            <w:r>
              <w:rPr>
                <w:webHidden/>
              </w:rPr>
              <w:instrText xml:space="preserve">PAGEREF _Toc49307728 \h</w:instrText>
            </w:r>
            <w:r>
              <w:rPr>
                <w:webHidden/>
              </w:rPr>
              <w:fldChar w:fldCharType="separate"/>
            </w:r>
            <w:r>
              <w:rPr>
                <w:rStyle w:val="IndexLink"/>
                <w:rFonts w:cs="Times New Roman" w:ascii="Times New Roman" w:hAnsi="Times New Roman"/>
                <w:vanish w:val="false"/>
                <w:sz w:val="24"/>
                <w:szCs w:val="24"/>
              </w:rPr>
              <w:tab/>
              <w:t>5</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29">
            <w:r>
              <w:rPr>
                <w:webHidden/>
                <w:rStyle w:val="IndexLink"/>
                <w:rFonts w:cs="Times New Roman" w:ascii="Times New Roman" w:hAnsi="Times New Roman"/>
                <w:sz w:val="24"/>
                <w:szCs w:val="24"/>
              </w:rPr>
              <w:t>9.</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PRESUPUESTO (máximo 3 páginas)</w:t>
            </w:r>
            <w:r>
              <w:rPr>
                <w:webHidden/>
              </w:rPr>
              <w:fldChar w:fldCharType="begin"/>
            </w:r>
            <w:r>
              <w:rPr>
                <w:webHidden/>
              </w:rPr>
              <w:instrText xml:space="preserve">PAGEREF _Toc49307729 \h</w:instrText>
            </w:r>
            <w:r>
              <w:rPr>
                <w:webHidden/>
              </w:rPr>
              <w:fldChar w:fldCharType="separate"/>
            </w:r>
            <w:r>
              <w:rPr>
                <w:rStyle w:val="IndexLink"/>
                <w:rFonts w:cs="Times New Roman" w:ascii="Times New Roman" w:hAnsi="Times New Roman"/>
                <w:vanish w:val="false"/>
                <w:sz w:val="24"/>
                <w:szCs w:val="24"/>
              </w:rPr>
              <w:tab/>
              <w:t>5</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30">
            <w:r>
              <w:rPr>
                <w:webHidden/>
                <w:rStyle w:val="IndexLink"/>
                <w:rFonts w:cs="Times New Roman" w:ascii="Times New Roman" w:hAnsi="Times New Roman"/>
                <w:sz w:val="24"/>
                <w:szCs w:val="24"/>
              </w:rPr>
              <w:t>10.</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BIBLIOGRAFÍA (máximo 3 páginas)</w:t>
            </w:r>
            <w:r>
              <w:rPr>
                <w:webHidden/>
              </w:rPr>
              <w:fldChar w:fldCharType="begin"/>
            </w:r>
            <w:r>
              <w:rPr>
                <w:webHidden/>
              </w:rPr>
              <w:instrText xml:space="preserve">PAGEREF _Toc49307730 \h</w:instrText>
            </w:r>
            <w:r>
              <w:rPr>
                <w:webHidden/>
              </w:rPr>
              <w:fldChar w:fldCharType="separate"/>
            </w:r>
            <w:r>
              <w:rPr>
                <w:rStyle w:val="IndexLink"/>
                <w:rFonts w:cs="Times New Roman" w:ascii="Times New Roman" w:hAnsi="Times New Roman"/>
                <w:vanish w:val="false"/>
                <w:sz w:val="24"/>
                <w:szCs w:val="24"/>
              </w:rPr>
              <w:tab/>
              <w:t>6</w:t>
            </w:r>
            <w:r>
              <w:rPr>
                <w:webHidden/>
              </w:rPr>
              <w:fldChar w:fldCharType="end"/>
            </w:r>
          </w:hyperlink>
        </w:p>
        <w:p>
          <w:pPr>
            <w:pStyle w:val="TOC1"/>
            <w:rPr>
              <w:rFonts w:ascii="Times New Roman" w:hAnsi="Times New Roman" w:eastAsia="ＭＳ 明朝" w:cs="Times New Roman" w:eastAsiaTheme="minorEastAsia"/>
              <w:sz w:val="24"/>
              <w:szCs w:val="24"/>
              <w:lang w:val="es-PE" w:eastAsia="es-PE"/>
            </w:rPr>
          </w:pPr>
          <w:hyperlink w:anchor="_Toc49307731">
            <w:r>
              <w:rPr>
                <w:webHidden/>
                <w:rStyle w:val="IndexLink"/>
                <w:rFonts w:cs="Times New Roman" w:ascii="Times New Roman" w:hAnsi="Times New Roman"/>
                <w:sz w:val="24"/>
                <w:szCs w:val="24"/>
              </w:rPr>
              <w:t>11.</w:t>
            </w:r>
            <w:r>
              <w:rPr>
                <w:rStyle w:val="IndexLink"/>
                <w:rFonts w:eastAsia="ＭＳ 明朝" w:cs="Times New Roman" w:ascii="Times New Roman" w:hAnsi="Times New Roman" w:eastAsiaTheme="minorEastAsia"/>
                <w:sz w:val="24"/>
                <w:szCs w:val="24"/>
                <w:lang w:val="es-PE" w:eastAsia="es-PE"/>
              </w:rPr>
              <w:tab/>
            </w:r>
            <w:r>
              <w:rPr>
                <w:rStyle w:val="IndexLink"/>
                <w:rFonts w:cs="Times New Roman" w:ascii="Times New Roman" w:hAnsi="Times New Roman"/>
                <w:sz w:val="24"/>
                <w:szCs w:val="24"/>
              </w:rPr>
              <w:t>ANEXOS (opcional)</w:t>
            </w:r>
            <w:r>
              <w:rPr>
                <w:webHidden/>
              </w:rPr>
              <w:fldChar w:fldCharType="begin"/>
            </w:r>
            <w:r>
              <w:rPr>
                <w:webHidden/>
              </w:rPr>
              <w:instrText xml:space="preserve">PAGEREF _Toc49307731 \h</w:instrText>
            </w:r>
            <w:r>
              <w:rPr>
                <w:webHidden/>
              </w:rPr>
              <w:fldChar w:fldCharType="separate"/>
            </w:r>
            <w:r>
              <w:rPr>
                <w:rStyle w:val="IndexLink"/>
                <w:rFonts w:cs="Times New Roman" w:ascii="Times New Roman" w:hAnsi="Times New Roman"/>
                <w:vanish w:val="false"/>
                <w:sz w:val="24"/>
                <w:szCs w:val="24"/>
              </w:rPr>
              <w:tab/>
              <w:t>6</w:t>
            </w:r>
            <w:r>
              <w:rPr>
                <w:webHidden/>
              </w:rPr>
              <w:fldChar w:fldCharType="end"/>
            </w:r>
          </w:hyperlink>
          <w:r>
            <w:rPr>
              <w:rStyle w:val="IndexLink"/>
              <w:sz w:val="24"/>
              <w:szCs w:val="24"/>
              <w:vanish w:val="false"/>
              <w:rFonts w:cs="Times New Roman" w:ascii="Times New Roman" w:hAnsi="Times New Roman"/>
            </w:rPr>
            <w:fldChar w:fldCharType="end"/>
          </w:r>
        </w:p>
      </w:sdtContent>
    </w:sdt>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sz w:val="24"/>
          <w:szCs w:val="24"/>
          <w:u w:val="single"/>
        </w:rPr>
      </w:pPr>
      <w:r>
        <w:rPr>
          <w:rFonts w:cs="Times New Roman" w:ascii="Times New Roman" w:hAnsi="Times New Roman"/>
          <w:b/>
          <w:sz w:val="24"/>
          <w:szCs w:val="24"/>
          <w:u w:val="single"/>
        </w:rPr>
      </w:r>
    </w:p>
    <w:p>
      <w:pPr>
        <w:pStyle w:val="Normal"/>
        <w:spacing w:lineRule="auto" w:line="259" w:before="0" w:after="160"/>
        <w:jc w:val="left"/>
        <w:rPr>
          <w:rFonts w:ascii="Times New Roman" w:hAnsi="Times New Roman" w:eastAsia="ＭＳ ゴシック" w:cs="Times New Roman" w:eastAsiaTheme="majorEastAsia"/>
          <w:b/>
          <w:sz w:val="24"/>
          <w:szCs w:val="24"/>
          <w:u w:val="single"/>
        </w:rPr>
      </w:pPr>
      <w:r>
        <w:rPr>
          <w:rFonts w:eastAsia="ＭＳ ゴシック" w:cs="Times New Roman" w:eastAsiaTheme="majorEastAsia" w:ascii="Times New Roman" w:hAnsi="Times New Roman"/>
          <w:b/>
          <w:sz w:val="24"/>
          <w:szCs w:val="24"/>
          <w:u w:val="single"/>
        </w:rPr>
      </w:r>
      <w:r>
        <w:br w:type="page"/>
      </w:r>
    </w:p>
    <w:p>
      <w:pPr>
        <w:pStyle w:val="Heading1"/>
        <w:numPr>
          <w:ilvl w:val="0"/>
          <w:numId w:val="1"/>
        </w:numPr>
        <w:spacing w:before="0" w:after="120"/>
        <w:ind w:hanging="426" w:left="0"/>
        <w:jc w:val="left"/>
        <w:rPr>
          <w:rFonts w:ascii="Times New Roman" w:hAnsi="Times New Roman" w:cs="Times New Roman"/>
          <w:sz w:val="24"/>
          <w:szCs w:val="24"/>
          <w:u w:val="none"/>
        </w:rPr>
      </w:pPr>
      <w:bookmarkStart w:id="0" w:name="_Toc49307721"/>
      <w:r>
        <w:rPr>
          <w:rFonts w:cs="Times New Roman" w:ascii="Times New Roman" w:hAnsi="Times New Roman"/>
          <w:sz w:val="24"/>
          <w:szCs w:val="24"/>
        </w:rPr>
        <w:t xml:space="preserve">PROBLEMA DE INVESTIGACIÓN </w:t>
      </w:r>
      <w:r>
        <w:rPr>
          <w:rFonts w:cs="Times New Roman" w:ascii="Times New Roman" w:hAnsi="Times New Roman"/>
          <w:color w:themeColor="background2" w:themeShade="80" w:val="767171"/>
          <w:sz w:val="24"/>
          <w:szCs w:val="24"/>
          <w:u w:val="none"/>
        </w:rPr>
        <w:t>(máximo 1/2 página)</w:t>
      </w:r>
      <w:bookmarkEnd w:id="0"/>
    </w:p>
    <w:p>
      <w:pPr>
        <w:pStyle w:val="Normal1"/>
        <w:spacing w:lineRule="auto" w:line="360" w:before="0" w:after="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El análisis de los estados financieros constituye una herramienta fundamental para evaluar la liquidez, la rentabilidad y la solvencia de las empresas, siendo clave para identificar riesgos y orientar la toma de decisiones estratégicas </w:t>
      </w:r>
      <w:sdt>
        <w:sdtPr>
          <w:citation/>
        </w:sdtPr>
        <w:sdtContent>
          <w:r>
            <w:rPr>
              <w:rFonts w:cs="Times New Roman" w:ascii="Times New Roman" w:hAnsi="Times New Roman"/>
              <w:sz w:val="24"/>
              <w:szCs w:val="24"/>
              <w:lang w:val="es-MX"/>
            </w:rPr>
            <w:fldChar w:fldCharType="begin"/>
          </w:r>
          <w:r>
            <w:rPr>
              <w:sz w:val="24"/>
              <w:szCs w:val="24"/>
              <w:rFonts w:cs="Times New Roman" w:ascii="Times New Roman" w:hAnsi="Times New Roman"/>
              <w:lang w:val="es-MX"/>
            </w:rPr>
            <w:instrText xml:space="preserve">CITATION Zac \l 3082 </w:instrText>
          </w:r>
          <w:r>
            <w:rPr>
              <w:sz w:val="24"/>
              <w:szCs w:val="24"/>
              <w:rFonts w:cs="Times New Roman" w:ascii="Times New Roman" w:hAnsi="Times New Roman"/>
              <w:lang w:val="es-MX"/>
            </w:rPr>
            <w:fldChar w:fldCharType="separate"/>
          </w:r>
          <w:r>
            <w:rPr>
              <w:sz w:val="24"/>
              <w:szCs w:val="24"/>
              <w:rFonts w:cs="Times New Roman" w:ascii="Times New Roman" w:hAnsi="Times New Roman"/>
              <w:lang w:val="es-MX"/>
            </w:rPr>
            <w:t>(Zacaj &amp; Miti, 2020)</w:t>
          </w:r>
          <w:r>
            <w:rPr>
              <w:sz w:val="24"/>
              <w:szCs w:val="24"/>
              <w:rFonts w:cs="Times New Roman" w:ascii="Times New Roman" w:hAnsi="Times New Roman"/>
              <w:lang w:val="es-MX"/>
            </w:rPr>
            <w:fldChar w:fldCharType="end"/>
          </w:r>
        </w:sdtContent>
      </w:sdt>
      <w:r>
        <w:rPr>
          <w:rFonts w:cs="Times New Roman" w:ascii="Times New Roman" w:hAnsi="Times New Roman"/>
          <w:sz w:val="24"/>
          <w:szCs w:val="24"/>
          <w:lang w:val="es-MX"/>
        </w:rPr>
        <w:t xml:space="preserve">. </w:t>
      </w:r>
      <w:r>
        <w:rPr>
          <w:rFonts w:cs="Times New Roman" w:ascii="Times New Roman" w:hAnsi="Times New Roman"/>
          <w:sz w:val="24"/>
          <w:szCs w:val="24"/>
          <w:lang w:val="es-MX"/>
        </w:rPr>
        <w:t>Por su parte, la gestión financiera permite administrar de manera eficiente los recursos, optimizando la planificación, el control y la sostenibilidad empresarial</w:t>
      </w:r>
      <w:sdt>
        <w:sdtPr>
          <w:citation/>
        </w:sdtPr>
        <w:sdtContent>
          <w:r>
            <w:rPr>
              <w:rFonts w:cs="Times New Roman" w:ascii="Times New Roman" w:hAnsi="Times New Roman"/>
              <w:sz w:val="24"/>
              <w:szCs w:val="24"/>
              <w:lang w:val="es-MX"/>
            </w:rPr>
            <w:fldChar w:fldCharType="begin"/>
          </w:r>
          <w:r>
            <w:rPr>
              <w:sz w:val="24"/>
              <w:szCs w:val="24"/>
              <w:rFonts w:cs="Times New Roman" w:ascii="Times New Roman" w:hAnsi="Times New Roman"/>
              <w:lang w:val="es-MX"/>
            </w:rPr>
            <w:instrText xml:space="preserve">CITATION Dos \l 3082 </w:instrText>
          </w:r>
          <w:r>
            <w:rPr>
              <w:sz w:val="24"/>
              <w:szCs w:val="24"/>
              <w:rFonts w:cs="Times New Roman" w:ascii="Times New Roman" w:hAnsi="Times New Roman"/>
              <w:lang w:val="es-MX"/>
            </w:rPr>
            <w:fldChar w:fldCharType="separate"/>
          </w:r>
          <w:r>
            <w:rPr>
              <w:sz w:val="24"/>
              <w:szCs w:val="24"/>
              <w:rFonts w:cs="Times New Roman" w:ascii="Times New Roman" w:hAnsi="Times New Roman"/>
              <w:lang w:val="es-MX"/>
            </w:rPr>
            <w:t xml:space="preserve"> (Dost &amp; Jan, 2025)</w:t>
          </w:r>
          <w:r>
            <w:rPr>
              <w:sz w:val="24"/>
              <w:szCs w:val="24"/>
              <w:rFonts w:cs="Times New Roman" w:ascii="Times New Roman" w:hAnsi="Times New Roman"/>
              <w:lang w:val="es-MX"/>
            </w:rPr>
            <w:fldChar w:fldCharType="end"/>
          </w:r>
        </w:sdtContent>
      </w:sdt>
      <w:r>
        <w:rPr>
          <w:rFonts w:cs="Times New Roman" w:ascii="Times New Roman" w:hAnsi="Times New Roman"/>
          <w:sz w:val="24"/>
          <w:szCs w:val="24"/>
          <w:lang w:val="es-MX"/>
        </w:rPr>
        <w:t xml:space="preserve"> . Estudios recientes evidencian que un adecuado análisis financiero impacta directamente en la calidad de la gestión financiera, favoreciendo la estabilidad y la eficiencia de las organizaciones, especialmente en contextos de incertidumbre económica </w:t>
      </w:r>
      <w:sdt>
        <w:sdtPr>
          <w:citation/>
        </w:sdtPr>
        <w:sdtContent>
          <w:r>
            <w:rPr>
              <w:rFonts w:cs="Times New Roman" w:ascii="Times New Roman" w:hAnsi="Times New Roman"/>
              <w:sz w:val="24"/>
              <w:szCs w:val="24"/>
              <w:lang w:val="es-MX"/>
            </w:rPr>
            <w:fldChar w:fldCharType="begin"/>
          </w:r>
          <w:r>
            <w:rPr>
              <w:sz w:val="24"/>
              <w:szCs w:val="24"/>
              <w:rFonts w:cs="Times New Roman" w:ascii="Times New Roman" w:hAnsi="Times New Roman"/>
              <w:lang w:val="es-MX"/>
            </w:rPr>
            <w:instrText xml:space="preserve">CITATION Mol \l 3082 </w:instrText>
          </w:r>
          <w:r>
            <w:rPr>
              <w:sz w:val="24"/>
              <w:szCs w:val="24"/>
              <w:rFonts w:cs="Times New Roman" w:ascii="Times New Roman" w:hAnsi="Times New Roman"/>
              <w:lang w:val="es-MX"/>
            </w:rPr>
            <w:fldChar w:fldCharType="separate"/>
          </w:r>
          <w:r>
            <w:rPr>
              <w:sz w:val="24"/>
              <w:szCs w:val="24"/>
              <w:rFonts w:cs="Times New Roman" w:ascii="Times New Roman" w:hAnsi="Times New Roman"/>
              <w:lang w:val="es-MX"/>
            </w:rPr>
            <w:t>(C &amp; PFernando, 2021)</w:t>
          </w:r>
          <w:r>
            <w:rPr>
              <w:sz w:val="24"/>
              <w:szCs w:val="24"/>
              <w:rFonts w:cs="Times New Roman" w:ascii="Times New Roman" w:hAnsi="Times New Roman"/>
              <w:lang w:val="es-MX"/>
            </w:rPr>
            <w:fldChar w:fldCharType="end"/>
          </w:r>
        </w:sdtContent>
      </w:sdt>
      <w:r>
        <w:rPr>
          <w:rFonts w:cs="Times New Roman" w:ascii="Times New Roman" w:hAnsi="Times New Roman"/>
          <w:sz w:val="24"/>
          <w:szCs w:val="24"/>
          <w:lang w:val="es-MX"/>
        </w:rPr>
        <w:t xml:space="preserve">. </w:t>
      </w:r>
      <w:r>
        <w:rPr>
          <w:rFonts w:cs="Times New Roman" w:ascii="Times New Roman" w:hAnsi="Times New Roman"/>
          <w:sz w:val="24"/>
          <w:szCs w:val="24"/>
          <w:lang w:val="es-MX"/>
        </w:rPr>
        <w:t xml:space="preserve">Sin embargo, </w:t>
      </w:r>
      <w:r>
        <w:rPr>
          <w:rFonts w:cs="Times New Roman" w:ascii="Times New Roman" w:hAnsi="Times New Roman"/>
          <w:sz w:val="24"/>
          <w:szCs w:val="24"/>
        </w:rPr>
        <w:t xml:space="preserve">en la ciudad de Arequipa particularmente en el distrito de Mariano Melgar, las micro y pequeñas empresas (Mypes) del sector industrial, específicamente las broncerías dedicadas a la comercialización y transformación de metales no ferrosos como el bronce, cumplen un rol clave al proveer insumos y piezas metálicas a sectores como la construcción, </w:t>
      </w:r>
      <w:r>
        <w:rPr>
          <w:rFonts w:cs="Times New Roman" w:ascii="Times New Roman" w:hAnsi="Times New Roman"/>
          <w:sz w:val="24"/>
          <w:szCs w:val="24"/>
          <w:lang w:val="es-MX"/>
        </w:rPr>
        <w:t>enfrentan el reto de aplicar estas herramientas de forma sistemática para garantizar su permanencia y crecimiento en el mercado. Ante ello, surge la interrogante: ¿De qué manera el análisis de los estados financieros influye en la gestión financiera de la empresa BR SERVIMET E.I.R.L., en el distrito de Mariano Melgar, Arequipa, en el año 2024?</w:t>
      </w:r>
    </w:p>
    <w:p>
      <w:pPr>
        <w:pStyle w:val="Normal1"/>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En el ámbito internacional, el análisis y la gestión financieros han sido estudiados como factores decisivos en la estabilidad empresarial. </w:t>
      </w:r>
      <w:sdt>
        <w:sdtPr>
          <w:citation/>
        </w:sdtPr>
        <w:sdtContent>
          <w:r>
            <w:rPr>
              <w:rFonts w:cs="Times New Roman" w:ascii="Times New Roman" w:hAnsi="Times New Roman"/>
              <w:sz w:val="24"/>
              <w:szCs w:val="24"/>
            </w:rPr>
            <w:fldChar w:fldCharType="begin"/>
          </w:r>
          <w:r>
            <w:rPr>
              <w:sz w:val="24"/>
              <w:szCs w:val="24"/>
              <w:rFonts w:cs="Times New Roman" w:ascii="Times New Roman" w:hAnsi="Times New Roman"/>
            </w:rPr>
            <w:instrText xml:space="preserve"> CITATION Zac \l 3082 </w:instrText>
          </w:r>
          <w:r>
            <w:rPr>
              <w:sz w:val="24"/>
              <w:szCs w:val="24"/>
              <w:rFonts w:cs="Times New Roman" w:ascii="Times New Roman" w:hAnsi="Times New Roman"/>
            </w:rPr>
            <w:fldChar w:fldCharType="separate"/>
          </w:r>
          <w:r>
            <w:rPr>
              <w:sz w:val="24"/>
              <w:szCs w:val="24"/>
              <w:rFonts w:cs="Times New Roman" w:ascii="Times New Roman" w:hAnsi="Times New Roman"/>
            </w:rPr>
            <w:t>(Zacaj &amp; Miti, 2020)</w:t>
          </w:r>
          <w:r>
            <w:rPr>
              <w:sz w:val="24"/>
              <w:szCs w:val="24"/>
              <w:rFonts w:cs="Times New Roman" w:ascii="Times New Roman" w:hAnsi="Times New Roman"/>
            </w:rPr>
            <w:fldChar w:fldCharType="end"/>
          </w:r>
        </w:sdtContent>
      </w:sdt>
      <w:r>
        <w:rPr>
          <w:rFonts w:cs="Times New Roman" w:ascii="Times New Roman" w:hAnsi="Times New Roman"/>
          <w:sz w:val="24"/>
          <w:szCs w:val="24"/>
        </w:rPr>
        <w:t xml:space="preserve"> </w:t>
      </w:r>
      <w:r>
        <w:rPr>
          <w:rFonts w:cs="Times New Roman" w:ascii="Times New Roman" w:hAnsi="Times New Roman"/>
          <w:sz w:val="24"/>
          <w:szCs w:val="24"/>
        </w:rPr>
        <w:t xml:space="preserve">evidencian que, en Albania, el análisis de estados financieros permite detectar fraudes y comprender la relación entre liquidez y rentabilidad en las pymes. Asimismo, </w:t>
      </w:r>
      <w:sdt>
        <w:sdtPr>
          <w:citation/>
        </w:sdtPr>
        <w:sdtContent>
          <w:r>
            <w:rPr>
              <w:rFonts w:cs="Times New Roman" w:ascii="Times New Roman" w:hAnsi="Times New Roman"/>
              <w:sz w:val="24"/>
              <w:szCs w:val="24"/>
            </w:rPr>
            <w:fldChar w:fldCharType="begin"/>
          </w:r>
          <w:r>
            <w:rPr>
              <w:sz w:val="24"/>
              <w:szCs w:val="24"/>
              <w:rFonts w:cs="Times New Roman" w:ascii="Times New Roman" w:hAnsi="Times New Roman"/>
            </w:rPr>
            <w:instrText xml:space="preserve"> CITATION Mol \l 3082 </w:instrText>
          </w:r>
          <w:r>
            <w:rPr>
              <w:sz w:val="24"/>
              <w:szCs w:val="24"/>
              <w:rFonts w:cs="Times New Roman" w:ascii="Times New Roman" w:hAnsi="Times New Roman"/>
            </w:rPr>
            <w:fldChar w:fldCharType="separate"/>
          </w:r>
          <w:r>
            <w:rPr>
              <w:sz w:val="24"/>
              <w:szCs w:val="24"/>
              <w:rFonts w:cs="Times New Roman" w:ascii="Times New Roman" w:hAnsi="Times New Roman"/>
            </w:rPr>
            <w:t>(C &amp; PFernando, 2021)</w:t>
          </w:r>
          <w:r>
            <w:rPr>
              <w:sz w:val="24"/>
              <w:szCs w:val="24"/>
              <w:rFonts w:cs="Times New Roman" w:ascii="Times New Roman" w:hAnsi="Times New Roman"/>
            </w:rPr>
            <w:fldChar w:fldCharType="end"/>
          </w:r>
        </w:sdtContent>
      </w:sdt>
      <w:r>
        <w:rPr>
          <w:rFonts w:cs="Times New Roman" w:ascii="Times New Roman" w:hAnsi="Times New Roman"/>
          <w:sz w:val="24"/>
          <w:szCs w:val="24"/>
        </w:rPr>
        <w:t xml:space="preserve"> </w:t>
      </w:r>
      <w:r>
        <w:rPr>
          <w:rFonts w:cs="Times New Roman" w:ascii="Times New Roman" w:hAnsi="Times New Roman"/>
          <w:sz w:val="24"/>
          <w:szCs w:val="24"/>
        </w:rPr>
        <w:t>señalan que, durante la pandemia, el uso de sistemas informáticos en el análisis financiero facilitó decisiones más ágiles frente a la falta de liquidez. Estos estudios muestran que, en diferentes países, la aplicación de estas variables resulta clave para mejorar la gestión y asegurar el crecimiento de las organizaciones.</w:t>
      </w:r>
    </w:p>
    <w:p>
      <w:pPr>
        <w:pStyle w:val="Normal1"/>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En el Perú, las micro y pequeñas empresas (MYPE) tienen un papel protagónico en la economía, ya que representan la gran mayoría del tejido empresarial y son responsables de generar la mayor parte del empleo en el país. No obstante, de acuerdo con el Instituto Nacional de Estadística e Informática </w:t>
      </w:r>
      <w:sdt>
        <w:sdtPr>
          <w:citation/>
        </w:sdtPr>
        <w:sdtContent>
          <w:r>
            <w:rPr>
              <w:rFonts w:cs="Times New Roman" w:ascii="Times New Roman" w:hAnsi="Times New Roman"/>
              <w:sz w:val="24"/>
              <w:szCs w:val="24"/>
            </w:rPr>
            <w:fldChar w:fldCharType="begin"/>
          </w:r>
          <w:r>
            <w:rPr>
              <w:sz w:val="24"/>
              <w:szCs w:val="24"/>
              <w:rFonts w:cs="Times New Roman" w:ascii="Times New Roman" w:hAnsi="Times New Roman"/>
            </w:rPr>
            <w:instrText xml:space="preserve">CITATION Ins23 \l 3082 </w:instrText>
          </w:r>
          <w:r>
            <w:rPr>
              <w:sz w:val="24"/>
              <w:szCs w:val="24"/>
              <w:rFonts w:cs="Times New Roman" w:ascii="Times New Roman" w:hAnsi="Times New Roman"/>
            </w:rPr>
            <w:fldChar w:fldCharType="separate"/>
          </w:r>
          <w:r>
            <w:rPr>
              <w:sz w:val="24"/>
              <w:szCs w:val="24"/>
              <w:rFonts w:cs="Times New Roman" w:ascii="Times New Roman" w:hAnsi="Times New Roman"/>
            </w:rPr>
            <w:t>(INEI, 2023)</w:t>
          </w:r>
          <w:r>
            <w:rPr>
              <w:sz w:val="24"/>
              <w:szCs w:val="24"/>
              <w:rFonts w:cs="Times New Roman" w:ascii="Times New Roman" w:hAnsi="Times New Roman"/>
            </w:rPr>
            <w:fldChar w:fldCharType="end"/>
          </w:r>
        </w:sdtContent>
      </w:sdt>
      <w:r>
        <w:rPr>
          <w:rFonts w:cs="Times New Roman" w:ascii="Times New Roman" w:hAnsi="Times New Roman"/>
          <w:sz w:val="24"/>
          <w:szCs w:val="24"/>
        </w:rPr>
        <w:t>,</w:t>
      </w:r>
      <w:r>
        <w:rPr>
          <w:rFonts w:cs="Times New Roman" w:ascii="Times New Roman" w:hAnsi="Times New Roman"/>
          <w:sz w:val="24"/>
          <w:szCs w:val="24"/>
        </w:rPr>
        <w:t xml:space="preserve"> estas organizaciones enfrentan limitaciones en productividad, financiamiento y formalización, lo que afecta su liquidez y rentabilidad. Esto evidencia la necesidad de aplicar análisis financiero y fortalecer la gestión financiera para asegurar la sostenibilidad de las MYPE en el país.</w:t>
      </w:r>
    </w:p>
    <w:p>
      <w:pPr>
        <w:pStyle w:val="Normal1"/>
        <w:spacing w:lineRule="auto" w:line="360" w:before="0" w:after="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1"/>
        <w:spacing w:lineRule="auto" w:line="360" w:before="0" w:after="0"/>
        <w:jc w:val="both"/>
        <w:rPr>
          <w:rFonts w:cs="Calibri"/>
          <w:lang w:val="es-MX"/>
        </w:rPr>
      </w:pPr>
      <w:r>
        <w:rPr>
          <w:rFonts w:cs="Calibri"/>
          <w:lang w:val="es-MX"/>
        </w:rPr>
      </w:r>
    </w:p>
    <w:p>
      <w:pPr>
        <w:pStyle w:val="Normal1"/>
        <w:spacing w:lineRule="auto" w:line="360" w:before="0" w:after="0"/>
        <w:jc w:val="both"/>
        <w:rPr>
          <w:rFonts w:cs="Calibri"/>
          <w:lang w:val="es-MX"/>
        </w:rPr>
      </w:pPr>
      <w:r>
        <w:rPr>
          <w:rFonts w:cs="Calibri"/>
          <w:lang w:val="es-MX"/>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Style w:val="A3"/>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ind w:hanging="426" w:left="0"/>
        <w:jc w:val="left"/>
        <w:rPr>
          <w:rFonts w:ascii="Times New Roman" w:hAnsi="Times New Roman" w:cs="Times New Roman"/>
          <w:sz w:val="24"/>
          <w:szCs w:val="24"/>
          <w:u w:val="none"/>
        </w:rPr>
      </w:pPr>
      <w:bookmarkStart w:id="1" w:name="_Toc49307722"/>
      <w:r>
        <w:rPr>
          <w:rFonts w:cs="Times New Roman" w:ascii="Times New Roman" w:hAnsi="Times New Roman"/>
          <w:sz w:val="24"/>
          <w:szCs w:val="24"/>
        </w:rPr>
        <w:t xml:space="preserve">OBJETIVO GENERAL Y ESPECÍFICOS </w:t>
      </w:r>
      <w:r>
        <w:rPr>
          <w:rFonts w:cs="Times New Roman" w:ascii="Times New Roman" w:hAnsi="Times New Roman"/>
          <w:color w:themeColor="background2" w:themeShade="80" w:val="767171"/>
          <w:sz w:val="24"/>
          <w:szCs w:val="24"/>
          <w:u w:val="none"/>
        </w:rPr>
        <w:t>(máximo 1 página)</w:t>
      </w:r>
      <w:bookmarkEnd w:id="1"/>
    </w:p>
    <w:p>
      <w:pPr>
        <w:pStyle w:val="ListParagraph"/>
        <w:numPr>
          <w:ilvl w:val="1"/>
          <w:numId w:val="2"/>
        </w:numPr>
        <w:spacing w:lineRule="auto" w:line="360"/>
        <w:ind w:hanging="567" w:left="567"/>
        <w:rPr>
          <w:rStyle w:val="A3"/>
          <w:rFonts w:ascii="Times New Roman" w:hAnsi="Times New Roman" w:eastAsia="Calibri" w:cs="Times New Roman" w:eastAsiaTheme="minorHAnsi"/>
          <w:b/>
          <w:sz w:val="24"/>
          <w:szCs w:val="24"/>
          <w:lang w:eastAsia="en-US"/>
        </w:rPr>
      </w:pPr>
      <w:r>
        <w:rPr>
          <w:rStyle w:val="A3"/>
          <w:rFonts w:eastAsia="Calibri" w:cs="Times New Roman" w:ascii="Times New Roman" w:hAnsi="Times New Roman" w:eastAsiaTheme="minorHAnsi"/>
          <w:b/>
          <w:sz w:val="24"/>
          <w:szCs w:val="24"/>
          <w:lang w:eastAsia="en-US"/>
        </w:rPr>
        <w:t>Objetivo general</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Constituye el propósito por el cual se desarrolla la investigación y responde a la pregunta planteada en el problema. Debe especificar el alcance y las limitaciones del estudio.</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Sólo debe haber un objetivo general.</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Debe ser preciso, coherente con el planteamiento del problema y alcanzable en el tiempo definido para el desarrollo de la investigación.</w:t>
      </w:r>
    </w:p>
    <w:p>
      <w:pPr>
        <w:pStyle w:val="ListParagraph"/>
        <w:numPr>
          <w:ilvl w:val="1"/>
          <w:numId w:val="2"/>
        </w:numPr>
        <w:spacing w:lineRule="auto" w:line="360"/>
        <w:ind w:hanging="567" w:left="567"/>
        <w:jc w:val="both"/>
        <w:rPr>
          <w:rStyle w:val="A3"/>
          <w:rFonts w:ascii="Times New Roman" w:hAnsi="Times New Roman" w:eastAsia="Calibri" w:cs="Times New Roman" w:eastAsiaTheme="minorHAnsi"/>
          <w:b/>
          <w:sz w:val="24"/>
          <w:szCs w:val="24"/>
          <w:lang w:eastAsia="en-US"/>
        </w:rPr>
      </w:pPr>
      <w:r>
        <w:rPr>
          <w:rStyle w:val="A3"/>
          <w:rFonts w:eastAsia="Calibri" w:cs="Times New Roman" w:ascii="Times New Roman" w:hAnsi="Times New Roman" w:eastAsiaTheme="minorHAnsi"/>
          <w:b/>
          <w:sz w:val="24"/>
          <w:szCs w:val="24"/>
          <w:lang w:eastAsia="en-US"/>
        </w:rPr>
        <w:t xml:space="preserve">Objetivos específicos </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Describen las actividades que se realizarán para lograr el objetivo general, respondiendo a la pregunta “¿cómo alcanzaremos el objetivo general?”.</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 xml:space="preserve">Los objetivos específicos siguen una secuencia lógica que debe cumplirse para lograr el objetivo general. </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Deben formularse tantos objetivos específicos como sean necesarios para alcanzar el objetivo general.</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Se recomienda que los objetivos (general y específico) empiecen con un verbo en infinitivo.</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Style w:val="A3"/>
          <w:rFonts w:eastAsia="Calibri" w:cs="Times New Roman" w:ascii="Times New Roman" w:hAnsi="Times New Roman" w:eastAsiaTheme="minorHAnsi"/>
          <w:sz w:val="24"/>
          <w:szCs w:val="24"/>
          <w:lang w:eastAsia="en-US"/>
        </w:rPr>
        <w:t>No son objetivos de investigación: realizar revisiones bibliográficas, profundizar en un determinado estudio, comprender la importancia de algo, potenciar el desarrollo de alguna conducta o destreza (interés, creatividad, responsabilidad, conciencia, etc.), revisar conceptos sobre determinados temas, escribir un libro, entre otros.</w:t>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spacing w:lineRule="auto" w:line="360" w:before="0" w:after="200"/>
        <w:ind w:left="567"/>
        <w:contextualSpacing w:val="false"/>
        <w:jc w:val="both"/>
        <w:rPr>
          <w:rStyle w:val="A3"/>
          <w:rFonts w:ascii="Times New Roman" w:hAnsi="Times New Roman" w:eastAsia="Calibri" w:cs="Times New Roman" w:eastAsiaTheme="minorHAnsi"/>
          <w:sz w:val="24"/>
          <w:szCs w:val="24"/>
          <w:lang w:eastAsia="en-US"/>
        </w:rPr>
      </w:pPr>
      <w:r>
        <w:rPr>
          <w:rFonts w:eastAsia="Calibri" w:cs="Times New Roman" w:eastAsiaTheme="minorHAnsi" w:ascii="Times New Roman" w:hAnsi="Times New Roman"/>
          <w:sz w:val="24"/>
          <w:szCs w:val="24"/>
          <w:lang w:eastAsia="en-US"/>
        </w:rPr>
      </w:r>
    </w:p>
    <w:p>
      <w:pPr>
        <w:pStyle w:val="ListParagraph"/>
        <w:numPr>
          <w:ilvl w:val="0"/>
          <w:numId w:val="1"/>
        </w:numPr>
        <w:spacing w:lineRule="auto" w:line="360" w:before="0" w:after="200"/>
        <w:ind w:hanging="425" w:left="0"/>
        <w:contextualSpacing w:val="false"/>
        <w:outlineLvl w:val="0"/>
        <w:rPr>
          <w:b/>
          <w:bCs/>
          <w:sz w:val="30"/>
          <w:szCs w:val="30"/>
        </w:rPr>
      </w:pPr>
      <w:r>
        <w:rPr>
          <w:b/>
          <w:bCs/>
          <w:sz w:val="30"/>
          <w:szCs w:val="30"/>
        </w:rPr>
        <w:t>Justificación</w:t>
      </w:r>
    </w:p>
    <w:p>
      <w:pPr>
        <w:pStyle w:val="ListParagraph"/>
        <w:numPr>
          <w:ilvl w:val="0"/>
          <w:numId w:val="0"/>
        </w:numPr>
        <w:spacing w:lineRule="auto" w:line="360" w:before="0" w:after="200"/>
        <w:ind w:hanging="0"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t>Las micro y pequeñas empresas (MYPE) constituyen la base del tejido empresarial peruano y explican una fracción sustantiva del empleo; sin embargo, presentan rezagos en formalización, productividad y gestión financiera, lo cual limita su liquidez y rentabilidad (COMEXPERU, 2024; PRODUCE, 2021). En sectores transformadores como las broncerías de Arequipa—proveedoras de insumos para construcción y metalmecánica—estos rezagos se traducen en ciclos de efectivo extensos, tensiones de caja y decisiones tácticas poco informadas.</w:t>
      </w:r>
    </w:p>
    <w:p>
      <w:pPr>
        <w:pStyle w:val="ListParagraph"/>
        <w:numPr>
          <w:ilvl w:val="0"/>
          <w:numId w:val="0"/>
        </w:numPr>
        <w:spacing w:lineRule="auto" w:line="360" w:before="0" w:after="200"/>
        <w:ind w:hanging="0"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t>La literatura internacional sostiene que el análisis sistemático de estados financieros mejora la detección de riesgos, la toma de decisiones y la estabilidad organizacional, incluyendo el uso de herramientas informáticas para agilizar el análisis en contextos de alta incertidumbre (Zaçaj &amp; Miti, 2024; Jaramillo-Calle et al., 2021). Asimismo, marcos de controlling refuerzan la disciplina de planificación y control, incidiendo en la estabilidad financiera (Dost &amp; Papula, 2025).</w:t>
      </w:r>
    </w:p>
    <w:p>
      <w:pPr>
        <w:pStyle w:val="ListParagraph"/>
        <w:numPr>
          <w:ilvl w:val="0"/>
          <w:numId w:val="0"/>
        </w:numPr>
        <w:spacing w:lineRule="auto" w:line="360" w:before="0" w:after="200"/>
        <w:ind w:hanging="0"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t>En este contexto, evaluar cómo el análisis de estados financieros influye en la gestión financiera de BR SERVIMET E.I.R.L. (Mariano Melgar, Arequipa, 2024) es pertinente y necesario por tres razones: (i) aporta evidencia aplicada para acortar el ciclo de conversión de efectivo, optimizar el capital de trabajo y reducir riesgos; (ii) ofrece lineamientos prácticos para decisiones de compra, precio, crédito y financiamiento; y (iii) contribuye a la competitividad del segmento MYPE local, con potencial de replicabilidad sectorial. Metodológicamente, el estudio adopta un diseño de caso con enfoque mixto, combinando indicadores contables (liquidez, solvencia, rentabilidad, rotaciones, CCC) y percepciones de gestión (planificación, control, decisiones), asegurando validez mediante triangulación de fuentes y juicio de expertos.</w:t>
      </w:r>
    </w:p>
    <w:p>
      <w:pPr>
        <w:pStyle w:val="ListParagraph"/>
        <w:numPr>
          <w:ilvl w:val="0"/>
          <w:numId w:val="0"/>
        </w:numPr>
        <w:spacing w:lineRule="auto" w:line="360" w:before="0" w:after="200"/>
        <w:ind w:hanging="425"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r>
    </w:p>
    <w:p>
      <w:pPr>
        <w:pStyle w:val="ListParagraph"/>
        <w:numPr>
          <w:ilvl w:val="0"/>
          <w:numId w:val="0"/>
        </w:numPr>
        <w:spacing w:lineRule="auto" w:line="360" w:before="0" w:after="200"/>
        <w:ind w:hanging="425"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r>
    </w:p>
    <w:p>
      <w:pPr>
        <w:pStyle w:val="ListParagraph"/>
        <w:numPr>
          <w:ilvl w:val="0"/>
          <w:numId w:val="0"/>
        </w:numPr>
        <w:spacing w:lineRule="auto" w:line="360" w:before="0" w:after="200"/>
        <w:ind w:hanging="425"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r>
    </w:p>
    <w:p>
      <w:pPr>
        <w:pStyle w:val="ListParagraph"/>
        <w:numPr>
          <w:ilvl w:val="0"/>
          <w:numId w:val="0"/>
        </w:numPr>
        <w:spacing w:lineRule="auto" w:line="360" w:before="0" w:after="200"/>
        <w:ind w:hanging="425"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r>
    </w:p>
    <w:p>
      <w:pPr>
        <w:pStyle w:val="ListParagraph"/>
        <w:numPr>
          <w:ilvl w:val="0"/>
          <w:numId w:val="0"/>
        </w:numPr>
        <w:spacing w:lineRule="auto" w:line="360" w:before="0" w:after="200"/>
        <w:ind w:hanging="425"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r>
    </w:p>
    <w:p>
      <w:pPr>
        <w:pStyle w:val="ListParagraph"/>
        <w:numPr>
          <w:ilvl w:val="0"/>
          <w:numId w:val="0"/>
        </w:numPr>
        <w:spacing w:lineRule="auto" w:line="360" w:before="0" w:after="200"/>
        <w:ind w:hanging="425" w:left="0"/>
        <w:contextualSpacing w:val="false"/>
        <w:outlineLvl w:val="0"/>
        <w:rPr>
          <w:rFonts w:ascii="Times New Roman" w:hAnsi="Times New Roman" w:eastAsia="ＭＳ ゴシック" w:eastAsiaTheme="majorEastAsia"/>
          <w:b/>
          <w:color w:themeColor="background2" w:themeShade="80" w:val="767171"/>
          <w:sz w:val="24"/>
          <w:szCs w:val="24"/>
          <w:lang w:eastAsia="en-US"/>
        </w:rPr>
      </w:pPr>
      <w:r>
        <w:rPr/>
      </w:r>
    </w:p>
    <w:p>
      <w:pPr>
        <w:pStyle w:val="Heading1"/>
        <w:numPr>
          <w:ilvl w:val="0"/>
          <w:numId w:val="1"/>
        </w:numPr>
        <w:ind w:hanging="426" w:left="0"/>
        <w:jc w:val="left"/>
        <w:rPr>
          <w:rFonts w:ascii="Times New Roman" w:hAnsi="Times New Roman" w:cs="Times New Roman"/>
          <w:color w:themeColor="background2" w:themeShade="80" w:val="767171"/>
          <w:sz w:val="24"/>
          <w:szCs w:val="24"/>
          <w:u w:val="none"/>
        </w:rPr>
      </w:pPr>
      <w:bookmarkStart w:id="2" w:name="_Toc49307724"/>
      <w:r>
        <w:rPr>
          <w:rFonts w:cs="Times New Roman" w:ascii="Times New Roman" w:hAnsi="Times New Roman"/>
          <w:sz w:val="24"/>
          <w:szCs w:val="24"/>
        </w:rPr>
        <w:t xml:space="preserve">REVISIÓN DE LA LITERATURA ACTUAL O ESTADO DEL ARTE </w:t>
      </w:r>
      <w:r>
        <w:rPr>
          <w:rFonts w:cs="Times New Roman" w:ascii="Times New Roman" w:hAnsi="Times New Roman"/>
          <w:color w:themeColor="background2" w:themeShade="80" w:val="767171"/>
          <w:sz w:val="24"/>
          <w:szCs w:val="24"/>
          <w:u w:val="none"/>
        </w:rPr>
        <w:t xml:space="preserve">(máximo 5 páginas) </w:t>
      </w:r>
      <w:bookmarkEnd w:id="2"/>
    </w:p>
    <w:p>
      <w:pPr>
        <w:pStyle w:val="Heading2"/>
        <w:spacing w:lineRule="auto" w:line="360"/>
        <w:rPr>
          <w:b w:val="false"/>
          <w:bCs w:val="false"/>
          <w:u w:val="none"/>
        </w:rPr>
      </w:pPr>
      <w:r>
        <w:rPr>
          <w:rFonts w:cs="Times New Roman" w:ascii="Times New Roman" w:hAnsi="Times New Roman"/>
          <w:b w:val="false"/>
          <w:bCs w:val="false"/>
          <w:sz w:val="24"/>
          <w:szCs w:val="24"/>
          <w:u w:val="none"/>
        </w:rPr>
        <w:t>4.1. Visión internacional</w:t>
      </w:r>
    </w:p>
    <w:p>
      <w:pPr>
        <w:pStyle w:val="BodyText"/>
        <w:rPr/>
      </w:pPr>
      <w:r>
        <w:rPr>
          <w:b w:val="false"/>
          <w:bCs w:val="false"/>
          <w:u w:val="none"/>
        </w:rPr>
        <w:t xml:space="preserve">Los trabajos recientes ubican al </w:t>
      </w:r>
      <w:r>
        <w:rPr>
          <w:rStyle w:val="Strong"/>
          <w:b w:val="false"/>
          <w:bCs w:val="false"/>
          <w:u w:val="none"/>
        </w:rPr>
        <w:t>análisis de estados financieros</w:t>
      </w:r>
      <w:r>
        <w:rPr>
          <w:b w:val="false"/>
          <w:bCs w:val="false"/>
          <w:u w:val="none"/>
        </w:rPr>
        <w:t xml:space="preserve"> y a la </w:t>
      </w:r>
      <w:r>
        <w:rPr>
          <w:rStyle w:val="Strong"/>
          <w:b w:val="false"/>
          <w:bCs w:val="false"/>
          <w:u w:val="none"/>
        </w:rPr>
        <w:t>gestión del capital de trabajo (WCM)</w:t>
      </w:r>
      <w:r>
        <w:rPr>
          <w:b w:val="false"/>
          <w:bCs w:val="false"/>
          <w:u w:val="none"/>
        </w:rPr>
        <w:t xml:space="preserve"> como palancas para la estabilidad y el desempeño de las pymes, aunque con resultados heterogéneos según contexto y sector. Una revisión de 2024 sintetiza que la evidencia sobre el efecto del WCM en la rentabilidad sigue siendo </w:t>
      </w:r>
      <w:r>
        <w:rPr>
          <w:rStyle w:val="Strong"/>
          <w:b w:val="false"/>
          <w:bCs w:val="false"/>
          <w:u w:val="none"/>
        </w:rPr>
        <w:t>mixta</w:t>
      </w:r>
      <w:r>
        <w:rPr>
          <w:b w:val="false"/>
          <w:bCs w:val="false"/>
          <w:u w:val="none"/>
        </w:rPr>
        <w:t xml:space="preserve"> y dependiente de condiciones de mercado, estructura de costos y ciclo de efectivo, lo que justifica análisis situados por industria y territorio.</w:t>
        <w:br/>
        <w:t xml:space="preserve">En economías emergentes manufactureras, estudios de 2024 reportan asociaciones positivas entre políticas de WCM y rentabilidad, reforzando la necesidad de medir </w:t>
      </w:r>
      <w:r>
        <w:rPr>
          <w:rStyle w:val="Strong"/>
          <w:b w:val="false"/>
          <w:bCs w:val="false"/>
          <w:u w:val="none"/>
        </w:rPr>
        <w:t>rotaciones</w:t>
      </w:r>
      <w:r>
        <w:rPr>
          <w:b w:val="false"/>
          <w:bCs w:val="false"/>
          <w:u w:val="none"/>
        </w:rPr>
        <w:t xml:space="preserve"> y </w:t>
      </w:r>
      <w:r>
        <w:rPr>
          <w:rStyle w:val="Strong"/>
          <w:b w:val="false"/>
          <w:bCs w:val="false"/>
          <w:u w:val="none"/>
        </w:rPr>
        <w:t>ciclo de conversión de efectivo (CCC)</w:t>
      </w:r>
      <w:r>
        <w:rPr>
          <w:b w:val="false"/>
          <w:bCs w:val="false"/>
          <w:u w:val="none"/>
        </w:rPr>
        <w:t xml:space="preserve"> como variables puente entre información contable y decisiones tácticas de caja. </w:t>
        <w:br/>
        <w:t xml:space="preserve">Durante escenarios de disrupción (p. ej., pandemia), la </w:t>
      </w:r>
      <w:r>
        <w:rPr>
          <w:rStyle w:val="Strong"/>
          <w:b w:val="false"/>
          <w:bCs w:val="false"/>
          <w:u w:val="none"/>
        </w:rPr>
        <w:t>informatización del análisis contable</w:t>
      </w:r>
      <w:r>
        <w:rPr>
          <w:b w:val="false"/>
          <w:bCs w:val="false"/>
          <w:u w:val="none"/>
        </w:rPr>
        <w:t xml:space="preserve"> se vinculó con decisiones más ágiles ante shocks de liquidez, subrayando el valor de herramientas digitales para monitorear liquidez y riesgo en tiempo real.</w:t>
        <w:br/>
        <w:t xml:space="preserve">De manera complementaria, la literatura sobre </w:t>
      </w:r>
      <w:r>
        <w:rPr>
          <w:rStyle w:val="Strong"/>
          <w:b w:val="false"/>
          <w:bCs w:val="false"/>
          <w:u w:val="none"/>
        </w:rPr>
        <w:t>controlling</w:t>
      </w:r>
      <w:r>
        <w:rPr>
          <w:b w:val="false"/>
          <w:bCs w:val="false"/>
          <w:u w:val="none"/>
        </w:rPr>
        <w:t xml:space="preserve"> en empresas familiares resalta que sistemas de control gerencial estructurados (presupuestación, tableros, alertas) fortalecen la </w:t>
      </w:r>
      <w:r>
        <w:rPr>
          <w:rStyle w:val="Strong"/>
          <w:b w:val="false"/>
          <w:bCs w:val="false"/>
          <w:u w:val="none"/>
        </w:rPr>
        <w:t>estabilidad financiera</w:t>
      </w:r>
      <w:r>
        <w:rPr>
          <w:b w:val="false"/>
          <w:bCs w:val="false"/>
          <w:u w:val="none"/>
        </w:rPr>
        <w:t xml:space="preserve"> al convertir el análisis de EE. FF. en rutinas de planificación y seguimiento.</w:t>
        <w:br/>
        <w:t xml:space="preserve">A nivel de políticas y entorno, la </w:t>
      </w:r>
      <w:r>
        <w:rPr>
          <w:rStyle w:val="Strong"/>
          <w:b w:val="false"/>
          <w:bCs w:val="false"/>
          <w:u w:val="none"/>
        </w:rPr>
        <w:t>OECD Scoreboard 2024</w:t>
      </w:r>
      <w:r>
        <w:rPr>
          <w:b w:val="false"/>
          <w:bCs w:val="false"/>
          <w:u w:val="none"/>
        </w:rPr>
        <w:t xml:space="preserve"> muestra que el acceso y las condiciones de financiamiento para pymes se han reconfigurado post-pandemia, con mayor atención a alternativas (garantías, factoring, activos) y a la gestión del </w:t>
      </w:r>
      <w:r>
        <w:rPr>
          <w:rStyle w:val="Strong"/>
          <w:b w:val="false"/>
          <w:bCs w:val="false"/>
          <w:u w:val="none"/>
        </w:rPr>
        <w:t>estrés financiero</w:t>
      </w:r>
      <w:r>
        <w:rPr>
          <w:b w:val="false"/>
          <w:bCs w:val="false"/>
          <w:u w:val="none"/>
        </w:rPr>
        <w:t xml:space="preserve">, información útil para contextualizar la demanda de análisis financiero en pymes industriales. </w:t>
        <w:br/>
        <w:t xml:space="preserve">Asimismo, la adopción del </w:t>
      </w:r>
      <w:r>
        <w:rPr>
          <w:rStyle w:val="Strong"/>
          <w:b w:val="false"/>
          <w:bCs w:val="false"/>
          <w:u w:val="none"/>
        </w:rPr>
        <w:t>IFRS para PYMES</w:t>
      </w:r>
      <w:r>
        <w:rPr>
          <w:b w:val="false"/>
          <w:bCs w:val="false"/>
          <w:u w:val="none"/>
        </w:rPr>
        <w:t xml:space="preserve"> y marcos de información comparables favorece la calidad del análisis financiero y su utilidad para la gestión; la evidencia indica efectos positivos en desempeño y calidad institucional cuando se fortalecen estándares y transparencia. </w:t>
        <w:br/>
        <w:t xml:space="preserve">Finalmente, la literatura sobre </w:t>
      </w:r>
      <w:r>
        <w:rPr>
          <w:rStyle w:val="Strong"/>
          <w:b w:val="false"/>
          <w:bCs w:val="false"/>
          <w:u w:val="none"/>
        </w:rPr>
        <w:t>digitalización financiera</w:t>
      </w:r>
      <w:r>
        <w:rPr>
          <w:b w:val="false"/>
          <w:bCs w:val="false"/>
          <w:u w:val="none"/>
        </w:rPr>
        <w:t xml:space="preserve"> (BI/ERP) en pymes muestra que tableros, analítica y sistemas integrados mejoran la </w:t>
      </w:r>
      <w:r>
        <w:rPr>
          <w:rStyle w:val="Strong"/>
          <w:b w:val="false"/>
          <w:bCs w:val="false"/>
          <w:u w:val="none"/>
        </w:rPr>
        <w:t>toma de decisiones financieras</w:t>
      </w:r>
      <w:r>
        <w:rPr>
          <w:b w:val="false"/>
          <w:bCs w:val="false"/>
          <w:u w:val="none"/>
        </w:rPr>
        <w:t xml:space="preserve"> y el rendimiento, siempre que existan capacidades organizacionales y liderazgo financiero.</w:t>
      </w:r>
    </w:p>
    <w:p>
      <w:pPr>
        <w:pStyle w:val="Heading2"/>
        <w:rPr>
          <w:b w:val="false"/>
          <w:bCs w:val="false"/>
          <w:u w:val="none"/>
        </w:rPr>
      </w:pPr>
      <w:r>
        <w:rPr>
          <w:b w:val="false"/>
          <w:bCs w:val="false"/>
          <w:u w:val="none"/>
        </w:rPr>
        <w:t>4.2. Evidencia regional y nacional (Perú)</w:t>
      </w:r>
    </w:p>
    <w:p>
      <w:pPr>
        <w:pStyle w:val="BodyText"/>
        <w:rPr/>
      </w:pPr>
      <w:r>
        <w:rPr>
          <w:b w:val="false"/>
          <w:bCs w:val="false"/>
          <w:u w:val="none"/>
        </w:rPr>
        <w:t xml:space="preserve">En el Perú, las MYPE son el núcleo del tejido empresarial y empleo. Reportes de 2023–2024 señalan que representaron </w:t>
      </w:r>
      <w:r>
        <w:rPr>
          <w:rStyle w:val="Strong"/>
          <w:b w:val="false"/>
          <w:bCs w:val="false"/>
          <w:u w:val="none"/>
        </w:rPr>
        <w:t>el 99.5% de empresas</w:t>
      </w:r>
      <w:r>
        <w:rPr>
          <w:b w:val="false"/>
          <w:bCs w:val="false"/>
          <w:u w:val="none"/>
        </w:rPr>
        <w:t xml:space="preserve"> y alrededor de </w:t>
      </w:r>
      <w:r>
        <w:rPr>
          <w:rStyle w:val="Strong"/>
          <w:b w:val="false"/>
          <w:bCs w:val="false"/>
          <w:u w:val="none"/>
        </w:rPr>
        <w:t>14–16% del PBI en ventas</w:t>
      </w:r>
      <w:r>
        <w:rPr>
          <w:b w:val="false"/>
          <w:bCs w:val="false"/>
          <w:u w:val="none"/>
        </w:rPr>
        <w:t xml:space="preserve">, con retrocesos recientes atribuibles a productividad y demanda, lo que refuerza la urgencia de profesionalizar el análisis financiero para sostener liquidez y márgenes. </w:t>
        <w:br/>
        <w:t xml:space="preserve">Para el </w:t>
      </w:r>
      <w:r>
        <w:rPr>
          <w:rStyle w:val="Strong"/>
          <w:b w:val="false"/>
          <w:bCs w:val="false"/>
          <w:u w:val="none"/>
        </w:rPr>
        <w:t>sector metalmecánico</w:t>
      </w:r>
      <w:r>
        <w:rPr>
          <w:b w:val="false"/>
          <w:bCs w:val="false"/>
          <w:u w:val="none"/>
        </w:rPr>
        <w:t xml:space="preserve">, insumo de construcción y metal-mecánica pesada, se registraron </w:t>
      </w:r>
      <w:r>
        <w:rPr>
          <w:rStyle w:val="Strong"/>
          <w:b w:val="false"/>
          <w:bCs w:val="false"/>
          <w:u w:val="none"/>
        </w:rPr>
        <w:t>72,711 empresas en 2023</w:t>
      </w:r>
      <w:r>
        <w:rPr>
          <w:b w:val="false"/>
          <w:bCs w:val="false"/>
          <w:u w:val="none"/>
        </w:rPr>
        <w:t xml:space="preserve"> (93.5% micro y 5.9% pequeñas), y el Ministerio de la Producción reportó en 2025 cerca de </w:t>
      </w:r>
      <w:r>
        <w:rPr>
          <w:rStyle w:val="Strong"/>
          <w:b w:val="false"/>
          <w:bCs w:val="false"/>
          <w:u w:val="none"/>
        </w:rPr>
        <w:t>74,000 empresas</w:t>
      </w:r>
      <w:r>
        <w:rPr>
          <w:b w:val="false"/>
          <w:bCs w:val="false"/>
          <w:u w:val="none"/>
        </w:rPr>
        <w:t xml:space="preserve"> y más de </w:t>
      </w:r>
      <w:r>
        <w:rPr>
          <w:rStyle w:val="Strong"/>
          <w:b w:val="false"/>
          <w:bCs w:val="false"/>
          <w:u w:val="none"/>
        </w:rPr>
        <w:t>350,000 empleos</w:t>
      </w:r>
      <w:r>
        <w:rPr>
          <w:b w:val="false"/>
          <w:bCs w:val="false"/>
          <w:u w:val="none"/>
        </w:rPr>
        <w:t>, perfilando un segmento ampliamente MYPE y sensible a la gestión de caja y a la rotación de inventarios y cuentas.</w:t>
        <w:br/>
        <w:t xml:space="preserve">En la coyuntura reciente, los boletines del </w:t>
      </w:r>
      <w:r>
        <w:rPr>
          <w:rStyle w:val="Strong"/>
          <w:b w:val="false"/>
          <w:bCs w:val="false"/>
          <w:u w:val="none"/>
        </w:rPr>
        <w:t>OGEIEE-PRODUCE</w:t>
      </w:r>
      <w:r>
        <w:rPr>
          <w:b w:val="false"/>
          <w:bCs w:val="false"/>
          <w:u w:val="none"/>
        </w:rPr>
        <w:t xml:space="preserve"> muestran variaciones en producción manufacturera y en líneas metalmecánicas específicas (disminuciones y repuntes según sub-rubros), contexto que exige que las MYPE robustezcan </w:t>
      </w:r>
      <w:r>
        <w:rPr>
          <w:rStyle w:val="Strong"/>
          <w:b w:val="false"/>
          <w:bCs w:val="false"/>
          <w:u w:val="none"/>
        </w:rPr>
        <w:t>indicadores de liquidez, solvencia y eficiencia</w:t>
      </w:r>
      <w:r>
        <w:rPr>
          <w:b w:val="false"/>
          <w:bCs w:val="false"/>
          <w:u w:val="none"/>
        </w:rPr>
        <w:t xml:space="preserve"> para ajustar decisiones tácticas (compras, crédito, financiamiento). </w:t>
        <w:br/>
        <w:t xml:space="preserve">Sobre el marco contable, el </w:t>
      </w:r>
      <w:r>
        <w:rPr>
          <w:rStyle w:val="Strong"/>
          <w:b w:val="false"/>
          <w:bCs w:val="false"/>
          <w:u w:val="none"/>
        </w:rPr>
        <w:t>IFRS para PYMES</w:t>
      </w:r>
      <w:r>
        <w:rPr>
          <w:b w:val="false"/>
          <w:bCs w:val="false"/>
          <w:u w:val="none"/>
        </w:rPr>
        <w:t xml:space="preserve"> está </w:t>
      </w:r>
      <w:r>
        <w:rPr>
          <w:rStyle w:val="Strong"/>
          <w:b w:val="false"/>
          <w:bCs w:val="false"/>
          <w:u w:val="none"/>
        </w:rPr>
        <w:t>permitido en Perú</w:t>
      </w:r>
      <w:r>
        <w:rPr>
          <w:b w:val="false"/>
          <w:bCs w:val="false"/>
          <w:u w:val="none"/>
        </w:rPr>
        <w:t xml:space="preserve"> para empresas por debajo de ciertos umbrales, coexistiendo con adopción de </w:t>
      </w:r>
      <w:r>
        <w:rPr>
          <w:rStyle w:val="Strong"/>
          <w:b w:val="false"/>
          <w:bCs w:val="false"/>
          <w:u w:val="none"/>
        </w:rPr>
        <w:t>IFRS plenas</w:t>
      </w:r>
      <w:r>
        <w:rPr>
          <w:b w:val="false"/>
          <w:bCs w:val="false"/>
          <w:u w:val="none"/>
        </w:rPr>
        <w:t xml:space="preserve"> para entidades mayores; esta posibilidad estandariza criterios contables y facilita comparabilidad para análisis y control. </w:t>
        <w:br/>
        <w:t xml:space="preserve">A nivel territorial, Arequipa es la </w:t>
      </w:r>
      <w:r>
        <w:rPr>
          <w:rStyle w:val="Strong"/>
          <w:b w:val="false"/>
          <w:bCs w:val="false"/>
          <w:u w:val="none"/>
        </w:rPr>
        <w:t>segunda región</w:t>
      </w:r>
      <w:r>
        <w:rPr>
          <w:b w:val="false"/>
          <w:bCs w:val="false"/>
          <w:u w:val="none"/>
        </w:rPr>
        <w:t xml:space="preserve"> con mayor concentración de empresas del país, con abrumador peso de micro y pequeñas, lo que sugiere pertinencia de estudios de caso que traduzcan la evidencia global al tejido productivo local.</w:t>
      </w:r>
    </w:p>
    <w:p>
      <w:pPr>
        <w:pStyle w:val="BodyText"/>
        <w:rPr/>
      </w:pPr>
      <w:r>
        <w:rPr>
          <w:b w:val="false"/>
          <w:bCs w:val="false"/>
          <w:u w:val="none"/>
        </w:rPr>
        <w:t xml:space="preserve">Pese a la abundancia de estudios sobre análisis financiero, WCM y desempeño, la </w:t>
      </w:r>
      <w:r>
        <w:rPr>
          <w:rStyle w:val="Strong"/>
          <w:b w:val="false"/>
          <w:bCs w:val="false"/>
          <w:u w:val="none"/>
        </w:rPr>
        <w:t>evidencia es heterogénea</w:t>
      </w:r>
      <w:r>
        <w:rPr>
          <w:b w:val="false"/>
          <w:bCs w:val="false"/>
          <w:u w:val="none"/>
        </w:rPr>
        <w:t xml:space="preserve"> y muchas veces macro; faltan </w:t>
      </w:r>
      <w:r>
        <w:rPr>
          <w:rStyle w:val="Strong"/>
          <w:b w:val="false"/>
          <w:bCs w:val="false"/>
          <w:u w:val="none"/>
        </w:rPr>
        <w:t>estudios de caso locales</w:t>
      </w:r>
      <w:r>
        <w:rPr>
          <w:b w:val="false"/>
          <w:bCs w:val="false"/>
          <w:u w:val="none"/>
        </w:rPr>
        <w:t xml:space="preserve"> en </w:t>
      </w:r>
      <w:r>
        <w:rPr>
          <w:rStyle w:val="Strong"/>
          <w:b w:val="false"/>
          <w:bCs w:val="false"/>
          <w:u w:val="none"/>
        </w:rPr>
        <w:t>MYPE metal-mecánicas de Arequipa</w:t>
      </w:r>
      <w:r>
        <w:rPr>
          <w:b w:val="false"/>
          <w:bCs w:val="false"/>
          <w:u w:val="none"/>
        </w:rPr>
        <w:t xml:space="preserve"> que midan la </w:t>
      </w:r>
      <w:r>
        <w:rPr>
          <w:rStyle w:val="Strong"/>
          <w:b w:val="false"/>
          <w:bCs w:val="false"/>
          <w:u w:val="none"/>
        </w:rPr>
        <w:t>influencia concreta del análisis de EE. FF.</w:t>
      </w:r>
      <w:r>
        <w:rPr>
          <w:b w:val="false"/>
          <w:bCs w:val="false"/>
          <w:u w:val="none"/>
        </w:rPr>
        <w:t xml:space="preserve"> sobre la </w:t>
      </w:r>
      <w:r>
        <w:rPr>
          <w:rStyle w:val="Strong"/>
          <w:b w:val="false"/>
          <w:bCs w:val="false"/>
          <w:u w:val="none"/>
        </w:rPr>
        <w:t>gestión financiera</w:t>
      </w:r>
      <w:r>
        <w:rPr>
          <w:b w:val="false"/>
          <w:bCs w:val="false"/>
          <w:u w:val="none"/>
        </w:rPr>
        <w:t xml:space="preserve"> (planificación, control y decisiones) y sobre </w:t>
      </w:r>
      <w:r>
        <w:rPr>
          <w:rStyle w:val="Strong"/>
          <w:b w:val="false"/>
          <w:bCs w:val="false"/>
          <w:u w:val="none"/>
        </w:rPr>
        <w:t>indicadores operativos</w:t>
      </w:r>
      <w:r>
        <w:rPr>
          <w:b w:val="false"/>
          <w:bCs w:val="false"/>
          <w:u w:val="none"/>
        </w:rPr>
        <w:t xml:space="preserve"> como el </w:t>
      </w:r>
      <w:r>
        <w:rPr>
          <w:rStyle w:val="Strong"/>
          <w:b w:val="false"/>
          <w:bCs w:val="false"/>
          <w:u w:val="none"/>
        </w:rPr>
        <w:t>CCC</w:t>
      </w:r>
      <w:r>
        <w:rPr>
          <w:b w:val="false"/>
          <w:bCs w:val="false"/>
          <w:u w:val="none"/>
        </w:rPr>
        <w:t xml:space="preserve">. Este vacío se acentúa dado que el propio subsector presenta </w:t>
      </w:r>
      <w:r>
        <w:rPr>
          <w:rStyle w:val="Strong"/>
          <w:b w:val="false"/>
          <w:bCs w:val="false"/>
          <w:u w:val="none"/>
        </w:rPr>
        <w:t>tasas de supervivencia retadoras</w:t>
      </w:r>
      <w:r>
        <w:rPr>
          <w:b w:val="false"/>
          <w:bCs w:val="false"/>
          <w:u w:val="none"/>
        </w:rPr>
        <w:t xml:space="preserve"> para MYPE recientes, por lo que evaluar cómo institucionalizar el análisis contable puede traducirse en resiliencia y permanencia. </w:t>
      </w:r>
    </w:p>
    <w:p>
      <w:pPr>
        <w:pStyle w:val="Heading2"/>
        <w:rPr>
          <w:b w:val="false"/>
          <w:bCs w:val="false"/>
          <w:u w:val="none"/>
        </w:rPr>
      </w:pPr>
      <w:r>
        <w:rPr>
          <w:b w:val="false"/>
          <w:bCs w:val="false"/>
          <w:u w:val="none"/>
        </w:rPr>
      </w:r>
    </w:p>
    <w:p>
      <w:pPr>
        <w:pStyle w:val="BodyText"/>
        <w:rPr/>
      </w:pPr>
      <w:r>
        <w:rPr>
          <w:b w:val="false"/>
          <w:bCs w:val="false"/>
          <w:u w:val="none"/>
        </w:rPr>
        <w:t xml:space="preserve">La literatura sugiere operacionalizar la </w:t>
      </w:r>
      <w:r>
        <w:rPr>
          <w:rStyle w:val="Strong"/>
          <w:b w:val="false"/>
          <w:bCs w:val="false"/>
          <w:u w:val="none"/>
        </w:rPr>
        <w:t>calidad de la gestión financiera</w:t>
      </w:r>
      <w:r>
        <w:rPr>
          <w:b w:val="false"/>
          <w:bCs w:val="false"/>
          <w:u w:val="none"/>
        </w:rPr>
        <w:t xml:space="preserve"> vía índices compuestos (planificación, control y decisiones), medidos con escalas tipo </w:t>
      </w:r>
      <w:r>
        <w:rPr>
          <w:rStyle w:val="Strong"/>
          <w:b w:val="false"/>
          <w:bCs w:val="false"/>
          <w:u w:val="none"/>
        </w:rPr>
        <w:t>Likert</w:t>
      </w:r>
      <w:r>
        <w:rPr>
          <w:b w:val="false"/>
          <w:bCs w:val="false"/>
          <w:u w:val="none"/>
        </w:rPr>
        <w:t xml:space="preserve"> y </w:t>
      </w:r>
      <w:r>
        <w:rPr>
          <w:rStyle w:val="Strong"/>
          <w:b w:val="false"/>
          <w:bCs w:val="false"/>
          <w:u w:val="none"/>
        </w:rPr>
        <w:t>confiabilidad</w:t>
      </w:r>
      <w:r>
        <w:rPr>
          <w:b w:val="false"/>
          <w:bCs w:val="false"/>
          <w:u w:val="none"/>
        </w:rPr>
        <w:t xml:space="preserve"> (alfa ≥ 0.70), y relacionarlos con </w:t>
      </w:r>
      <w:r>
        <w:rPr>
          <w:rStyle w:val="Strong"/>
          <w:b w:val="false"/>
          <w:bCs w:val="false"/>
          <w:u w:val="none"/>
        </w:rPr>
        <w:t>prácticas de análisis financiero</w:t>
      </w:r>
      <w:r>
        <w:rPr>
          <w:b w:val="false"/>
          <w:bCs w:val="false"/>
          <w:u w:val="none"/>
        </w:rPr>
        <w:t xml:space="preserve"> (frecuencia, herramientas, amplitud de indicadores) y con </w:t>
      </w:r>
      <w:r>
        <w:rPr>
          <w:rStyle w:val="Strong"/>
          <w:b w:val="false"/>
          <w:bCs w:val="false"/>
          <w:u w:val="none"/>
        </w:rPr>
        <w:t>ratios</w:t>
      </w:r>
      <w:r>
        <w:rPr>
          <w:b w:val="false"/>
          <w:bCs w:val="false"/>
          <w:u w:val="none"/>
        </w:rPr>
        <w:t xml:space="preserve"> (liquidez, solvencia, rentabilidad, rotaciones y </w:t>
      </w:r>
      <w:r>
        <w:rPr>
          <w:rStyle w:val="Strong"/>
          <w:b w:val="false"/>
          <w:bCs w:val="false"/>
          <w:u w:val="none"/>
        </w:rPr>
        <w:t>CCC</w:t>
      </w:r>
      <w:r>
        <w:rPr>
          <w:b w:val="false"/>
          <w:bCs w:val="false"/>
          <w:u w:val="none"/>
        </w:rPr>
        <w:t xml:space="preserve">). Esto permite contrastar si mayor institucionalización del análisis (y/o digitalización: BI/ERP) se asocia con mejores decisiones y desempeño financiero. </w:t>
      </w:r>
    </w:p>
    <w:p>
      <w:pPr>
        <w:pStyle w:val="Normal"/>
        <w:spacing w:lineRule="auto" w:line="360"/>
        <w:rPr>
          <w:rFonts w:ascii="Times New Roman" w:hAnsi="Times New Roman" w:cs="Times New Roman"/>
          <w:sz w:val="24"/>
          <w:szCs w:val="24"/>
        </w:rPr>
      </w:pPr>
      <w:r>
        <w:rPr/>
      </w:r>
    </w:p>
    <w:p>
      <w:pPr>
        <w:pStyle w:val="Heading1"/>
        <w:numPr>
          <w:ilvl w:val="0"/>
          <w:numId w:val="1"/>
        </w:numPr>
        <w:ind w:hanging="426" w:left="0"/>
        <w:jc w:val="left"/>
        <w:rPr>
          <w:rFonts w:ascii="Times New Roman" w:hAnsi="Times New Roman" w:cs="Times New Roman"/>
          <w:color w:themeColor="background2" w:themeShade="80" w:val="767171"/>
          <w:sz w:val="24"/>
          <w:szCs w:val="24"/>
          <w:u w:val="none"/>
        </w:rPr>
      </w:pPr>
      <w:bookmarkStart w:id="3" w:name="_Toc49307725"/>
      <w:r>
        <w:rPr>
          <w:rFonts w:cs="Times New Roman" w:ascii="Times New Roman" w:hAnsi="Times New Roman"/>
          <w:sz w:val="24"/>
          <w:szCs w:val="24"/>
        </w:rPr>
        <w:t xml:space="preserve">MARCO TEÓRICO </w:t>
      </w:r>
      <w:r>
        <w:rPr>
          <w:rFonts w:cs="Times New Roman" w:ascii="Times New Roman" w:hAnsi="Times New Roman"/>
          <w:color w:themeColor="background2" w:themeShade="80" w:val="767171"/>
          <w:sz w:val="24"/>
          <w:szCs w:val="24"/>
          <w:u w:val="none"/>
        </w:rPr>
        <w:t>(máximo 5 páginas)</w:t>
      </w:r>
      <w:bookmarkEnd w:id="3"/>
    </w:p>
    <w:p>
      <w:pPr>
        <w:pStyle w:val="Normal"/>
        <w:spacing w:lineRule="auto" w:line="360"/>
        <w:rPr>
          <w:rFonts w:ascii="Times New Roman" w:hAnsi="Times New Roman" w:eastAsia="ＭＳ ゴシック" w:cs="Times New Roman" w:eastAsiaTheme="majorEastAsia"/>
          <w:sz w:val="24"/>
          <w:szCs w:val="24"/>
        </w:rPr>
      </w:pPr>
      <w:r>
        <w:rPr>
          <w:rFonts w:eastAsia="ＭＳ ゴシック" w:cs="Times New Roman" w:ascii="Times New Roman" w:hAnsi="Times New Roman" w:eastAsiaTheme="majorEastAsia"/>
          <w:sz w:val="24"/>
          <w:szCs w:val="24"/>
        </w:rPr>
        <w:t>Análisis de estados financieros. Conjunto de técnicas para evaluar liquidez (razón corriente, prueba ácida), solvencia (apalancamiento, cobertura) y rentabilidad (margen neto, ROA, ROE), además de eficiencia (rotaciones de inventarios y cuentas por cobrar/pagar) y ciclo de conversión de efectivo (CCC) como proxy de gestión de capital de trabajo.</w:t>
      </w:r>
    </w:p>
    <w:p>
      <w:pPr>
        <w:pStyle w:val="Normal"/>
        <w:spacing w:lineRule="auto" w:line="360"/>
        <w:rPr>
          <w:rFonts w:ascii="Times New Roman" w:hAnsi="Times New Roman" w:eastAsia="ＭＳ ゴシック" w:cs="Times New Roman" w:eastAsiaTheme="majorEastAsia"/>
          <w:sz w:val="24"/>
          <w:szCs w:val="24"/>
        </w:rPr>
      </w:pPr>
      <w:r>
        <w:rPr>
          <w:rFonts w:eastAsia="ＭＳ ゴシック" w:cs="Times New Roman" w:ascii="Times New Roman" w:hAnsi="Times New Roman" w:eastAsiaTheme="majorEastAsia"/>
          <w:sz w:val="24"/>
          <w:szCs w:val="24"/>
        </w:rPr>
        <w:t>Gestión financiera. Proceso orientado a planeamiento, decisión y control de recursos (inversión, financiamiento y capital de trabajo), apoyado en información contable. Su “calidad” puede operativizarse en dimensiones: (i) planificación/presupuesto, (ii) control/seguimiento y (iii) decisiones tácticas (precio, crédito, compras, endeudamiento).</w:t>
      </w:r>
    </w:p>
    <w:p>
      <w:pPr>
        <w:pStyle w:val="Normal"/>
        <w:spacing w:lineRule="auto" w:line="360"/>
        <w:rPr>
          <w:rFonts w:ascii="Times New Roman" w:hAnsi="Times New Roman" w:eastAsia="ＭＳ ゴシック" w:cs="Times New Roman" w:eastAsiaTheme="majorEastAsia"/>
          <w:sz w:val="24"/>
          <w:szCs w:val="24"/>
        </w:rPr>
      </w:pPr>
      <w:r>
        <w:rPr>
          <w:rFonts w:eastAsia="ＭＳ ゴシック" w:cs="Times New Roman" w:ascii="Times New Roman" w:hAnsi="Times New Roman" w:eastAsiaTheme="majorEastAsia"/>
          <w:sz w:val="24"/>
          <w:szCs w:val="24"/>
        </w:rPr>
        <w:t>Controlling. Marco de control gerencial que integra planificación, ejecución y retroalimentación mediante indicadores y reportes periódicos; actúa como “columna vertebral” para alinear análisis financiero y toma de decisiones (Dost &amp; Papula, 2025).</w:t>
      </w:r>
    </w:p>
    <w:p>
      <w:pPr>
        <w:pStyle w:val="Normal"/>
        <w:spacing w:lineRule="auto" w:line="360"/>
        <w:rPr>
          <w:rFonts w:ascii="Times New Roman" w:hAnsi="Times New Roman" w:eastAsia="ＭＳ ゴシック" w:cs="Times New Roman" w:eastAsiaTheme="majorEastAsia"/>
          <w:sz w:val="24"/>
          <w:szCs w:val="24"/>
        </w:rPr>
      </w:pPr>
      <w:r>
        <w:rPr>
          <w:rFonts w:eastAsia="ＭＳ ゴシック" w:cs="Times New Roman" w:ascii="Times New Roman" w:hAnsi="Times New Roman" w:eastAsiaTheme="majorEastAsia"/>
          <w:sz w:val="24"/>
          <w:szCs w:val="24"/>
        </w:rPr>
        <w:t>Soporte empírico. El empleo de análisis financiero e informatización del proceso se asocia a decisiones más oportunas y mejor gestión de riesgos de liquidez (Zaçaj &amp; Miti, 2024; Jaramillo-Calle et al., 2021).</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
    </w:p>
    <w:p>
      <w:pPr>
        <w:pStyle w:val="Normal"/>
        <w:spacing w:lineRule="auto" w:line="360"/>
        <w:rPr>
          <w:rFonts w:ascii="Times New Roman" w:hAnsi="Times New Roman" w:cs="Times New Roman"/>
          <w:sz w:val="24"/>
          <w:szCs w:val="24"/>
        </w:rPr>
      </w:pPr>
      <w:r>
        <w:rPr/>
      </w:r>
    </w:p>
    <w:p>
      <w:pPr>
        <w:pStyle w:val="Heading1"/>
        <w:numPr>
          <w:ilvl w:val="0"/>
          <w:numId w:val="1"/>
        </w:numPr>
        <w:ind w:hanging="426" w:left="0"/>
        <w:jc w:val="left"/>
        <w:rPr>
          <w:rFonts w:ascii="Times New Roman" w:hAnsi="Times New Roman" w:cs="Times New Roman"/>
          <w:sz w:val="24"/>
          <w:szCs w:val="24"/>
          <w:u w:val="none"/>
        </w:rPr>
      </w:pPr>
      <w:bookmarkStart w:id="4" w:name="_Toc49307727"/>
      <w:r>
        <w:rPr>
          <w:rFonts w:cs="Times New Roman" w:ascii="Times New Roman" w:hAnsi="Times New Roman"/>
          <w:sz w:val="24"/>
          <w:szCs w:val="24"/>
        </w:rPr>
        <w:t xml:space="preserve">METODOLOGÍA </w:t>
      </w:r>
      <w:r>
        <w:rPr>
          <w:rFonts w:cs="Times New Roman" w:ascii="Times New Roman" w:hAnsi="Times New Roman"/>
          <w:color w:themeColor="background2" w:themeShade="80" w:val="767171"/>
          <w:sz w:val="24"/>
          <w:szCs w:val="24"/>
          <w:u w:val="none"/>
        </w:rPr>
        <w:t>(máximo 5 páginas)</w:t>
      </w:r>
      <w:bookmarkEnd w:id="4"/>
    </w:p>
    <w:p>
      <w:pPr>
        <w:pStyle w:val="BodyText"/>
        <w:spacing w:lineRule="auto" w:line="360"/>
        <w:rPr>
          <w:rFonts w:ascii="Times New Roman" w:hAnsi="Times New Roman" w:eastAsia="ＭＳ ゴシック" w:cs="Times New Roman" w:eastAsiaTheme="majorEastAsia"/>
          <w:sz w:val="24"/>
          <w:szCs w:val="24"/>
        </w:rPr>
      </w:pPr>
      <w:r>
        <w:rPr>
          <w:rFonts w:eastAsia="ＭＳ ゴシック" w:cs="Times New Roman" w:ascii="Times New Roman" w:hAnsi="Times New Roman" w:eastAsiaTheme="majorEastAsia"/>
          <w:sz w:val="24"/>
          <w:szCs w:val="24"/>
        </w:rPr>
        <w:t>El estudio adopta un enfoque mixto, con predominio cuantitativo y apoyo cualitativo, de tipo no experimental y corte transversal. Se trabaja como estudio de caso en BR SERVIMET E.I.R.L., MYPE industrial del rubro broncería, durante el año 2024 (con uso comparativo de datos 2023 si están disponibles para observar tendencias). La población documental está conformada por los estados financieros y registros contables de la empresa (Balance General, Estado de Resultados, flujo de efectivo y auxiliares), y la población de informantes por el personal clave en decisiones financieras (gerencia, administración/contabilidad). El acceso a información se gestionará mediante autorización escrita y cláusulas de confidencialidad.</w:t>
      </w:r>
    </w:p>
    <w:p>
      <w:pPr>
        <w:pStyle w:val="BodyText"/>
        <w:rPr/>
      </w:pPr>
      <w:r>
        <w:rPr/>
        <w:t xml:space="preserve">La variable independiente es el </w:t>
      </w:r>
      <w:r>
        <w:rPr>
          <w:rStyle w:val="Strong"/>
        </w:rPr>
        <w:t>nivel de análisis de estados financieros (AEF)</w:t>
      </w:r>
      <w:r>
        <w:rPr/>
        <w:t xml:space="preserve"> y se evalúa a través de cuatro componentes: frecuencia y formalidad del análisis, amplitud de indicadores utilizados, herramientas/soporte (Excel o software; existencia de reportes) y uso del análisis en decisiones. La variable dependiente es la </w:t>
      </w:r>
      <w:r>
        <w:rPr>
          <w:rStyle w:val="Strong"/>
        </w:rPr>
        <w:t>calidad de la gestión financiera (GF)</w:t>
      </w:r>
      <w:r>
        <w:rPr/>
        <w:t xml:space="preserve">, entendida como el grado de planificación, control y toma de decisiones (políticas de crédito y cobranza, compras y financiamiento). Para ambas se construyen índices de 0 a 100 a partir de escalas tipo Likert (1–5), estandarizadas y ponderadas por componente, verificando consistencia interna con alfa de Cronbach (meta ≥ 0.70). Como contraste objetivo se calculan indicadores contables de liquidez (razón corriente, prueba ácida), solvencia (endeudamiento), rentabilidad (margen neto, ROA/ROE) y eficiencia/capital de trabajo (rotaciones de inventarios, cuentas por cobrar y pagar) junto con el </w:t>
      </w:r>
      <w:r>
        <w:rPr>
          <w:rStyle w:val="Strong"/>
        </w:rPr>
        <w:t>ciclo de conversión de efectivo (CCC)</w:t>
      </w:r>
      <w:r>
        <w:rPr/>
        <w:t xml:space="preserve"> como proxy de liquidez operativa.</w:t>
      </w:r>
    </w:p>
    <w:p>
      <w:pPr>
        <w:pStyle w:val="BodyText"/>
        <w:rPr/>
      </w:pPr>
      <w:r>
        <w:rPr/>
        <w:t>La recolección combina tres instrumentos: i) ficha de extracción contable para computar los ratios y el CCC directamente de los estados financieros; ii) cuestionario Likert aplicado al personal involucrado en la gestión financiera para medir AEF y GF; y iii) entrevistas semiestructuradas breves a directivos/contabilidad que permitan comprender cómo el análisis financiero se traduce en prácticas de presupuesto, seguimiento y decisiones de precio/compra/crédito. El cuestionario será validado por juicio de tres expertos (claridad, pertinencia y coherencia) y pilotado con un grupo reducido para afinar redacción y tiempos; las entrevistas se registrarán con consentimiento previo y se transcribirán para su codificación temática.</w:t>
      </w:r>
    </w:p>
    <w:p>
      <w:pPr>
        <w:pStyle w:val="BodyText"/>
        <w:rPr/>
      </w:pPr>
      <w:r>
        <w:rPr/>
        <w:t xml:space="preserve">El procedimiento sigue estas etapas: autorización y calendarización con la empresa; acopio y depuración de información contable; cálculo de ratios y CCC con plantillas estandarizadas; aplicación del cuestionario y realización de entrevistas; construcción de los índices AEF y GF; y sistematización de la base de datos para análisis. Primero se realiza un análisis descriptivo (medias, desviaciones, perfiles por indicador) tanto de los índices como de los ratios contables. Luego se contrasta la </w:t>
      </w:r>
      <w:r>
        <w:rPr>
          <w:rStyle w:val="Strong"/>
        </w:rPr>
        <w:t>hipótesis general</w:t>
      </w:r>
      <w:r>
        <w:rPr/>
        <w:t xml:space="preserve"> mediante correlación (Pearson/Spearman, según supuestos) y un modelo de regresión lineal simple o múltiple donde el índice GF es la dependiente y el índice AEF la explicativa, incorporando variables de control si procede (p. ej., estacionalidad o días de crédito). Las </w:t>
      </w:r>
      <w:r>
        <w:rPr>
          <w:rStyle w:val="Strong"/>
        </w:rPr>
        <w:t>hipótesis específicas</w:t>
      </w:r>
      <w:r>
        <w:rPr/>
        <w:t xml:space="preserve"> se verifican con modelos por dimensiones: planificación y control en función de AEF (H1), decisiones en función de AEF (H2), y CCC en función del componente de reportes/controlling del AEF (H3). Si existe serie mensual 2023–2024, se añadirá comparación antes/después de implementar mejoras de análisis o tableros, para observar variaciones en el CCC y en la liquidez.</w:t>
      </w:r>
    </w:p>
    <w:p>
      <w:pPr>
        <w:pStyle w:val="BodyText"/>
        <w:rPr/>
      </w:pPr>
      <w:r>
        <w:rPr/>
        <w:t>El análisis cualitativo de entrevistas se apoya en codificación temática para explicar mecanismos causales (por qué y cómo el análisis contable impulsa mejores prácticas de planificación, control y decisiones) y para interpretar hallazgos cuantitativos, realizando triangulación entre fuentes documentales, cuestionario y testimonios. En ética, se garantiza consentimiento informado, anonimización de respuestas y almacenamiento seguro de la información; los resultados se reportan de forma agregada, sin datos sensibles. Como limitaciones, el diseño de caso único favorece profundidad y aplicabilidad práctica, pero restringe la generalización externa; se mitiga con transparencia metodológica, triangulación, verificación de datos contables y documentación de cualquier cambio operativo concurrente que pudiera influir en los indicadores.</w:t>
      </w:r>
    </w:p>
    <w:p>
      <w:pPr>
        <w:pStyle w:val="Normal"/>
        <w:spacing w:lineRule="auto" w:line="360"/>
        <w:rPr>
          <w:rFonts w:ascii="Times New Roman" w:hAnsi="Times New Roman" w:eastAsia="ＭＳ ゴシック" w:cs="Times New Roman" w:eastAsiaTheme="majorEastAsia"/>
          <w:sz w:val="24"/>
          <w:szCs w:val="24"/>
        </w:rPr>
      </w:pPr>
      <w:r>
        <w:rPr/>
      </w:r>
    </w:p>
    <w:p>
      <w:pPr>
        <w:pStyle w:val="Heading1"/>
        <w:numPr>
          <w:ilvl w:val="0"/>
          <w:numId w:val="1"/>
        </w:numPr>
        <w:ind w:hanging="426" w:left="0"/>
        <w:jc w:val="left"/>
        <w:rPr>
          <w:rFonts w:ascii="Times New Roman" w:hAnsi="Times New Roman" w:cs="Times New Roman"/>
          <w:sz w:val="24"/>
          <w:szCs w:val="24"/>
          <w:u w:val="none"/>
        </w:rPr>
      </w:pPr>
      <w:bookmarkStart w:id="5" w:name="_Toc49307728"/>
      <w:r>
        <w:rPr>
          <w:rFonts w:cs="Times New Roman" w:ascii="Times New Roman" w:hAnsi="Times New Roman"/>
          <w:sz w:val="24"/>
          <w:szCs w:val="24"/>
        </w:rPr>
        <w:t>CRONOGRAMA DE TRABAJO</w:t>
      </w:r>
      <w:r>
        <w:rPr>
          <w:rFonts w:cs="Times New Roman" w:ascii="Times New Roman" w:hAnsi="Times New Roman"/>
          <w:sz w:val="24"/>
          <w:szCs w:val="24"/>
          <w:u w:val="none"/>
        </w:rPr>
        <w:t xml:space="preserve"> </w:t>
      </w:r>
      <w:r>
        <w:rPr>
          <w:rFonts w:cs="Times New Roman" w:ascii="Times New Roman" w:hAnsi="Times New Roman"/>
          <w:color w:themeColor="background2" w:themeShade="80" w:val="767171"/>
          <w:sz w:val="24"/>
          <w:szCs w:val="24"/>
          <w:u w:val="none"/>
        </w:rPr>
        <w:t>(máximo 3 páginas)</w:t>
      </w:r>
      <w:bookmarkEnd w:id="5"/>
    </w:p>
    <w:tbl>
      <w:tblPr>
        <w:tblW w:w="5000" w:type="pct"/>
        <w:jc w:val="left"/>
        <w:tblInd w:w="-5" w:type="dxa"/>
        <w:tblLayout w:type="fixed"/>
        <w:tblCellMar>
          <w:top w:w="55" w:type="dxa"/>
          <w:left w:w="55" w:type="dxa"/>
          <w:bottom w:w="55" w:type="dxa"/>
          <w:right w:w="55" w:type="dxa"/>
        </w:tblCellMar>
      </w:tblPr>
      <w:tblGrid>
        <w:gridCol w:w="4677"/>
        <w:gridCol w:w="4678"/>
      </w:tblGrid>
      <w:tr>
        <w:trPr/>
        <w:tc>
          <w:tcPr>
            <w:tcW w:w="4677" w:type="dxa"/>
            <w:tcBorders>
              <w:top w:val="single" w:sz="4" w:space="0" w:color="000000"/>
              <w:left w:val="single" w:sz="4" w:space="0" w:color="000000"/>
              <w:bottom w:val="single" w:sz="4" w:space="0" w:color="000000"/>
            </w:tcBorders>
          </w:tcPr>
          <w:p>
            <w:pPr>
              <w:pStyle w:val="TableContents"/>
              <w:widowControl w:val="false"/>
              <w:suppressLineNumbers/>
              <w:spacing w:before="0" w:after="40"/>
              <w:rPr/>
            </w:pPr>
            <w:r>
              <w:rPr/>
              <w:t>Semana</w:t>
            </w:r>
          </w:p>
        </w:tc>
        <w:tc>
          <w:tcPr>
            <w:tcW w:w="4678"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0" w:after="40"/>
              <w:rPr/>
            </w:pPr>
            <w:r>
              <w:rPr/>
              <w:t>Actividad principal</w:t>
            </w:r>
          </w:p>
        </w:tc>
      </w:tr>
      <w:tr>
        <w:trPr/>
        <w:tc>
          <w:tcPr>
            <w:tcW w:w="4677" w:type="dxa"/>
            <w:tcBorders>
              <w:left w:val="single" w:sz="4" w:space="0" w:color="000000"/>
              <w:bottom w:val="single" w:sz="4" w:space="0" w:color="000000"/>
            </w:tcBorders>
          </w:tcPr>
          <w:p>
            <w:pPr>
              <w:pStyle w:val="TableContents"/>
              <w:spacing w:before="0" w:after="40"/>
              <w:rPr/>
            </w:pPr>
            <w:r>
              <w:rPr/>
              <w:t>1</w:t>
            </w:r>
          </w:p>
        </w:tc>
        <w:tc>
          <w:tcPr>
            <w:tcW w:w="4678" w:type="dxa"/>
            <w:tcBorders>
              <w:left w:val="single" w:sz="4" w:space="0" w:color="000000"/>
              <w:bottom w:val="single" w:sz="4" w:space="0" w:color="000000"/>
              <w:right w:val="single" w:sz="4" w:space="0" w:color="000000"/>
            </w:tcBorders>
          </w:tcPr>
          <w:p>
            <w:pPr>
              <w:pStyle w:val="TableContents"/>
              <w:widowControl w:val="false"/>
              <w:suppressLineNumbers/>
              <w:spacing w:before="0" w:after="40"/>
              <w:rPr/>
            </w:pPr>
            <w:r>
              <w:rPr/>
              <w:t>Revisión final de literatura y afinamiento de instrumentos</w:t>
            </w:r>
          </w:p>
        </w:tc>
      </w:tr>
      <w:tr>
        <w:trPr/>
        <w:tc>
          <w:tcPr>
            <w:tcW w:w="4677" w:type="dxa"/>
            <w:tcBorders>
              <w:left w:val="single" w:sz="4" w:space="0" w:color="000000"/>
              <w:bottom w:val="single" w:sz="4" w:space="0" w:color="000000"/>
            </w:tcBorders>
          </w:tcPr>
          <w:p>
            <w:pPr>
              <w:pStyle w:val="TableContents"/>
              <w:spacing w:before="0" w:after="40"/>
              <w:rPr/>
            </w:pPr>
            <w:r>
              <w:rPr/>
              <w:t>2</w:t>
            </w:r>
          </w:p>
        </w:tc>
        <w:tc>
          <w:tcPr>
            <w:tcW w:w="4678" w:type="dxa"/>
            <w:tcBorders>
              <w:left w:val="single" w:sz="4" w:space="0" w:color="000000"/>
              <w:bottom w:val="single" w:sz="4" w:space="0" w:color="000000"/>
              <w:right w:val="single" w:sz="4" w:space="0" w:color="000000"/>
            </w:tcBorders>
          </w:tcPr>
          <w:p>
            <w:pPr>
              <w:pStyle w:val="TableContents"/>
              <w:widowControl w:val="false"/>
              <w:suppressLineNumbers/>
              <w:spacing w:before="0" w:after="40"/>
              <w:rPr/>
            </w:pPr>
            <w:r>
              <w:rPr/>
              <w:t>Validación por expertos y pilotaje (cuestionario/ficha)</w:t>
            </w:r>
          </w:p>
        </w:tc>
      </w:tr>
      <w:tr>
        <w:trPr/>
        <w:tc>
          <w:tcPr>
            <w:tcW w:w="4677" w:type="dxa"/>
            <w:tcBorders>
              <w:left w:val="single" w:sz="4" w:space="0" w:color="000000"/>
              <w:bottom w:val="single" w:sz="4" w:space="0" w:color="000000"/>
            </w:tcBorders>
          </w:tcPr>
          <w:p>
            <w:pPr>
              <w:pStyle w:val="TableContents"/>
              <w:spacing w:before="0" w:after="40"/>
              <w:rPr/>
            </w:pPr>
            <w:r>
              <w:rPr/>
              <w:t>3</w:t>
            </w:r>
          </w:p>
        </w:tc>
        <w:tc>
          <w:tcPr>
            <w:tcW w:w="4678" w:type="dxa"/>
            <w:tcBorders>
              <w:left w:val="single" w:sz="4" w:space="0" w:color="000000"/>
              <w:bottom w:val="single" w:sz="4" w:space="0" w:color="000000"/>
              <w:right w:val="single" w:sz="4" w:space="0" w:color="000000"/>
            </w:tcBorders>
          </w:tcPr>
          <w:p>
            <w:pPr>
              <w:pStyle w:val="TableContents"/>
              <w:spacing w:before="0" w:after="40"/>
              <w:rPr/>
            </w:pPr>
            <w:r>
              <w:rPr/>
              <w:t>Recolección de EE. FF. y cálculo de indicadores/CCC</w:t>
            </w:r>
          </w:p>
        </w:tc>
      </w:tr>
      <w:tr>
        <w:trPr/>
        <w:tc>
          <w:tcPr>
            <w:tcW w:w="4677" w:type="dxa"/>
            <w:tcBorders>
              <w:left w:val="single" w:sz="4" w:space="0" w:color="000000"/>
              <w:bottom w:val="single" w:sz="4" w:space="0" w:color="000000"/>
            </w:tcBorders>
          </w:tcPr>
          <w:p>
            <w:pPr>
              <w:pStyle w:val="TableContents"/>
              <w:spacing w:before="0" w:after="40"/>
              <w:rPr/>
            </w:pPr>
            <w:r>
              <w:rPr/>
              <w:t>4</w:t>
            </w:r>
          </w:p>
        </w:tc>
        <w:tc>
          <w:tcPr>
            <w:tcW w:w="4678" w:type="dxa"/>
            <w:tcBorders>
              <w:left w:val="single" w:sz="4" w:space="0" w:color="000000"/>
              <w:bottom w:val="single" w:sz="4" w:space="0" w:color="000000"/>
              <w:right w:val="single" w:sz="4" w:space="0" w:color="000000"/>
            </w:tcBorders>
          </w:tcPr>
          <w:p>
            <w:pPr>
              <w:pStyle w:val="TableContents"/>
              <w:widowControl w:val="false"/>
              <w:suppressLineNumbers/>
              <w:spacing w:before="0" w:after="40"/>
              <w:rPr/>
            </w:pPr>
            <w:r>
              <w:rPr/>
              <w:t>Aplicación de encuestas y entrevistas</w:t>
            </w:r>
          </w:p>
        </w:tc>
      </w:tr>
      <w:tr>
        <w:trPr/>
        <w:tc>
          <w:tcPr>
            <w:tcW w:w="4677" w:type="dxa"/>
            <w:tcBorders>
              <w:left w:val="single" w:sz="4" w:space="0" w:color="000000"/>
              <w:bottom w:val="single" w:sz="4" w:space="0" w:color="000000"/>
            </w:tcBorders>
          </w:tcPr>
          <w:p>
            <w:pPr>
              <w:pStyle w:val="TableContents"/>
              <w:spacing w:before="0" w:after="40"/>
              <w:rPr/>
            </w:pPr>
            <w:r>
              <w:rPr/>
              <w:t>5</w:t>
            </w:r>
          </w:p>
        </w:tc>
        <w:tc>
          <w:tcPr>
            <w:tcW w:w="4678" w:type="dxa"/>
            <w:tcBorders>
              <w:left w:val="single" w:sz="4" w:space="0" w:color="000000"/>
              <w:bottom w:val="single" w:sz="4" w:space="0" w:color="000000"/>
              <w:right w:val="single" w:sz="4" w:space="0" w:color="000000"/>
            </w:tcBorders>
          </w:tcPr>
          <w:p>
            <w:pPr>
              <w:pStyle w:val="TableContents"/>
              <w:widowControl w:val="false"/>
              <w:suppressLineNumbers/>
              <w:spacing w:before="0" w:after="40"/>
              <w:rPr/>
            </w:pPr>
            <w:r>
              <w:rPr/>
              <w:t xml:space="preserve">Procesamiento de datos y confiabilidad </w:t>
            </w:r>
          </w:p>
        </w:tc>
      </w:tr>
      <w:tr>
        <w:trPr/>
        <w:tc>
          <w:tcPr>
            <w:tcW w:w="4677" w:type="dxa"/>
            <w:tcBorders>
              <w:left w:val="single" w:sz="4" w:space="0" w:color="000000"/>
              <w:bottom w:val="single" w:sz="4" w:space="0" w:color="000000"/>
            </w:tcBorders>
          </w:tcPr>
          <w:p>
            <w:pPr>
              <w:pStyle w:val="TableContents"/>
              <w:spacing w:before="0" w:after="40"/>
              <w:rPr/>
            </w:pPr>
            <w:r>
              <w:rPr/>
              <w:t>6</w:t>
            </w:r>
          </w:p>
        </w:tc>
        <w:tc>
          <w:tcPr>
            <w:tcW w:w="4678" w:type="dxa"/>
            <w:tcBorders>
              <w:left w:val="single" w:sz="4" w:space="0" w:color="000000"/>
              <w:bottom w:val="single" w:sz="4" w:space="0" w:color="000000"/>
              <w:right w:val="single" w:sz="4" w:space="0" w:color="000000"/>
            </w:tcBorders>
          </w:tcPr>
          <w:p>
            <w:pPr>
              <w:pStyle w:val="TableContents"/>
              <w:widowControl w:val="false"/>
              <w:suppressLineNumbers/>
              <w:spacing w:before="0" w:after="40"/>
              <w:rPr/>
            </w:pPr>
            <w:r>
              <w:rPr/>
              <w:t>Análisis estadístico y cualitativo</w:t>
            </w:r>
          </w:p>
        </w:tc>
      </w:tr>
      <w:tr>
        <w:trPr/>
        <w:tc>
          <w:tcPr>
            <w:tcW w:w="4677" w:type="dxa"/>
            <w:tcBorders>
              <w:left w:val="single" w:sz="4" w:space="0" w:color="000000"/>
              <w:bottom w:val="single" w:sz="4" w:space="0" w:color="000000"/>
            </w:tcBorders>
          </w:tcPr>
          <w:p>
            <w:pPr>
              <w:pStyle w:val="TableContents"/>
              <w:spacing w:before="0" w:after="40"/>
              <w:rPr/>
            </w:pPr>
            <w:r>
              <w:rPr/>
              <w:t>7</w:t>
            </w:r>
          </w:p>
        </w:tc>
        <w:tc>
          <w:tcPr>
            <w:tcW w:w="4678" w:type="dxa"/>
            <w:tcBorders>
              <w:left w:val="single" w:sz="4" w:space="0" w:color="000000"/>
              <w:bottom w:val="single" w:sz="4" w:space="0" w:color="000000"/>
              <w:right w:val="single" w:sz="4" w:space="0" w:color="000000"/>
            </w:tcBorders>
          </w:tcPr>
          <w:p>
            <w:pPr>
              <w:pStyle w:val="TableContents"/>
              <w:widowControl w:val="false"/>
              <w:suppressLineNumbers/>
              <w:spacing w:before="0" w:after="40"/>
              <w:rPr/>
            </w:pPr>
            <w:r>
              <w:rPr/>
              <w:t>Redacción de resultados y discusión</w:t>
            </w:r>
          </w:p>
        </w:tc>
      </w:tr>
    </w:tbl>
    <w:p>
      <w:pPr>
        <w:pStyle w:val="Normal"/>
        <w:spacing w:lineRule="auto" w:line="360"/>
        <w:rPr>
          <w:rFonts w:ascii="Times New Roman" w:hAnsi="Times New Roman" w:eastAsia="ＭＳ ゴシック" w:cs="Times New Roman" w:eastAsiaTheme="majorEastAsia"/>
          <w:sz w:val="24"/>
          <w:szCs w:val="24"/>
        </w:rPr>
      </w:pPr>
      <w:r>
        <w:rPr/>
      </w:r>
    </w:p>
    <w:p>
      <w:pPr>
        <w:pStyle w:val="Heading1"/>
        <w:numPr>
          <w:ilvl w:val="0"/>
          <w:numId w:val="1"/>
        </w:numPr>
        <w:ind w:hanging="426" w:left="0"/>
        <w:jc w:val="left"/>
        <w:rPr>
          <w:rFonts w:ascii="Times New Roman" w:hAnsi="Times New Roman" w:cs="Times New Roman"/>
          <w:sz w:val="24"/>
          <w:szCs w:val="24"/>
          <w:u w:val="none"/>
        </w:rPr>
      </w:pPr>
      <w:bookmarkStart w:id="6" w:name="_Toc49307729"/>
      <w:r>
        <w:rPr>
          <w:rFonts w:cs="Times New Roman" w:ascii="Times New Roman" w:hAnsi="Times New Roman"/>
          <w:sz w:val="24"/>
          <w:szCs w:val="24"/>
        </w:rPr>
        <w:t>PRESUPUESTO</w:t>
      </w:r>
      <w:r>
        <w:rPr>
          <w:rFonts w:cs="Times New Roman" w:ascii="Times New Roman" w:hAnsi="Times New Roman"/>
          <w:sz w:val="24"/>
          <w:szCs w:val="24"/>
          <w:u w:val="none"/>
        </w:rPr>
        <w:t xml:space="preserve"> </w:t>
      </w:r>
      <w:r>
        <w:rPr>
          <w:rFonts w:cs="Times New Roman" w:ascii="Times New Roman" w:hAnsi="Times New Roman"/>
          <w:color w:themeColor="background2" w:themeShade="80" w:val="767171"/>
          <w:sz w:val="24"/>
          <w:szCs w:val="24"/>
          <w:u w:val="none"/>
        </w:rPr>
        <w:t>(máximo 3 páginas)</w:t>
      </w:r>
      <w:bookmarkEnd w:id="6"/>
    </w:p>
    <w:tbl>
      <w:tblPr>
        <w:tblW w:w="5000" w:type="pct"/>
        <w:jc w:val="left"/>
        <w:tblInd w:w="-5" w:type="dxa"/>
        <w:tblLayout w:type="fixed"/>
        <w:tblCellMar>
          <w:top w:w="55" w:type="dxa"/>
          <w:left w:w="55" w:type="dxa"/>
          <w:bottom w:w="55" w:type="dxa"/>
          <w:right w:w="55" w:type="dxa"/>
        </w:tblCellMar>
      </w:tblPr>
      <w:tblGrid>
        <w:gridCol w:w="3118"/>
        <w:gridCol w:w="3118"/>
        <w:gridCol w:w="3119"/>
      </w:tblGrid>
      <w:tr>
        <w:trPr/>
        <w:tc>
          <w:tcPr>
            <w:tcW w:w="3118" w:type="dxa"/>
            <w:tcBorders>
              <w:top w:val="single" w:sz="4" w:space="0" w:color="000000"/>
              <w:left w:val="single" w:sz="4" w:space="0" w:color="000000"/>
              <w:bottom w:val="single" w:sz="4" w:space="0" w:color="000000"/>
            </w:tcBorders>
          </w:tcPr>
          <w:p>
            <w:pPr>
              <w:pStyle w:val="TableContents"/>
              <w:widowControl w:val="false"/>
              <w:suppressLineNumbers/>
              <w:spacing w:before="0" w:after="40"/>
              <w:rPr/>
            </w:pPr>
            <w:r>
              <w:rPr/>
              <w:t>Ítem</w:t>
            </w:r>
          </w:p>
        </w:tc>
        <w:tc>
          <w:tcPr>
            <w:tcW w:w="3118" w:type="dxa"/>
            <w:tcBorders>
              <w:top w:val="single" w:sz="4" w:space="0" w:color="000000"/>
              <w:left w:val="single" w:sz="4" w:space="0" w:color="000000"/>
              <w:bottom w:val="single" w:sz="4" w:space="0" w:color="000000"/>
            </w:tcBorders>
          </w:tcPr>
          <w:p>
            <w:pPr>
              <w:pStyle w:val="TableContents"/>
              <w:widowControl w:val="false"/>
              <w:suppressLineNumbers/>
              <w:spacing w:before="0" w:after="40"/>
              <w:rPr/>
            </w:pPr>
            <w:r>
              <w:rPr/>
              <w:t>Detalle</w:t>
            </w:r>
          </w:p>
        </w:tc>
        <w:tc>
          <w:tcPr>
            <w:tcW w:w="311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0" w:after="40"/>
              <w:rPr/>
            </w:pPr>
            <w:r>
              <w:rPr/>
              <w:t>Costo</w:t>
            </w:r>
          </w:p>
        </w:tc>
      </w:tr>
      <w:tr>
        <w:trPr/>
        <w:tc>
          <w:tcPr>
            <w:tcW w:w="3118" w:type="dxa"/>
            <w:tcBorders>
              <w:left w:val="single" w:sz="4" w:space="0" w:color="000000"/>
              <w:bottom w:val="single" w:sz="4" w:space="0" w:color="000000"/>
            </w:tcBorders>
          </w:tcPr>
          <w:p>
            <w:pPr>
              <w:pStyle w:val="TableContents"/>
              <w:widowControl w:val="false"/>
              <w:suppressLineNumbers/>
              <w:spacing w:before="0" w:after="40"/>
              <w:rPr/>
            </w:pPr>
            <w:r>
              <w:rPr/>
              <w:t>Impresiones/útiles</w:t>
            </w:r>
          </w:p>
        </w:tc>
        <w:tc>
          <w:tcPr>
            <w:tcW w:w="3118" w:type="dxa"/>
            <w:tcBorders>
              <w:left w:val="single" w:sz="4" w:space="0" w:color="000000"/>
              <w:bottom w:val="single" w:sz="4" w:space="0" w:color="000000"/>
            </w:tcBorders>
          </w:tcPr>
          <w:p>
            <w:pPr>
              <w:pStyle w:val="TableContents"/>
              <w:widowControl w:val="false"/>
              <w:suppressLineNumbers/>
              <w:spacing w:before="0" w:after="40"/>
              <w:rPr/>
            </w:pPr>
            <w:r>
              <w:rPr/>
              <w:t>Consentimientos, anexos, copias</w:t>
            </w:r>
          </w:p>
        </w:tc>
        <w:tc>
          <w:tcPr>
            <w:tcW w:w="3119" w:type="dxa"/>
            <w:tcBorders>
              <w:left w:val="single" w:sz="4" w:space="0" w:color="000000"/>
              <w:bottom w:val="single" w:sz="4" w:space="0" w:color="000000"/>
              <w:right w:val="single" w:sz="4" w:space="0" w:color="000000"/>
            </w:tcBorders>
          </w:tcPr>
          <w:p>
            <w:pPr>
              <w:pStyle w:val="TableContents"/>
              <w:spacing w:before="0" w:after="40"/>
              <w:rPr/>
            </w:pPr>
            <w:r>
              <w:rPr/>
              <w:t>80</w:t>
            </w:r>
          </w:p>
        </w:tc>
      </w:tr>
      <w:tr>
        <w:trPr/>
        <w:tc>
          <w:tcPr>
            <w:tcW w:w="3118" w:type="dxa"/>
            <w:tcBorders>
              <w:left w:val="single" w:sz="4" w:space="0" w:color="000000"/>
              <w:bottom w:val="single" w:sz="4" w:space="0" w:color="000000"/>
            </w:tcBorders>
          </w:tcPr>
          <w:p>
            <w:pPr>
              <w:pStyle w:val="TableContents"/>
              <w:widowControl w:val="false"/>
              <w:suppressLineNumbers/>
              <w:spacing w:before="0" w:after="40"/>
              <w:rPr/>
            </w:pPr>
            <w:r>
              <w:rPr/>
              <w:t>Transporte local</w:t>
            </w:r>
          </w:p>
        </w:tc>
        <w:tc>
          <w:tcPr>
            <w:tcW w:w="3118" w:type="dxa"/>
            <w:tcBorders>
              <w:left w:val="single" w:sz="4" w:space="0" w:color="000000"/>
              <w:bottom w:val="single" w:sz="4" w:space="0" w:color="000000"/>
            </w:tcBorders>
          </w:tcPr>
          <w:p>
            <w:pPr>
              <w:pStyle w:val="TableContents"/>
              <w:widowControl w:val="false"/>
              <w:suppressLineNumbers/>
              <w:spacing w:before="0" w:after="40"/>
              <w:rPr/>
            </w:pPr>
            <w:r>
              <w:rPr/>
              <w:t>Visitas a la empresa/entrevistas</w:t>
            </w:r>
          </w:p>
        </w:tc>
        <w:tc>
          <w:tcPr>
            <w:tcW w:w="3119" w:type="dxa"/>
            <w:tcBorders>
              <w:left w:val="single" w:sz="4" w:space="0" w:color="000000"/>
              <w:bottom w:val="single" w:sz="4" w:space="0" w:color="000000"/>
              <w:right w:val="single" w:sz="4" w:space="0" w:color="000000"/>
            </w:tcBorders>
          </w:tcPr>
          <w:p>
            <w:pPr>
              <w:pStyle w:val="TableContents"/>
              <w:spacing w:before="0" w:after="40"/>
              <w:rPr/>
            </w:pPr>
            <w:r>
              <w:rPr/>
              <w:t>120</w:t>
            </w:r>
          </w:p>
        </w:tc>
      </w:tr>
      <w:tr>
        <w:trPr/>
        <w:tc>
          <w:tcPr>
            <w:tcW w:w="3118" w:type="dxa"/>
            <w:tcBorders>
              <w:left w:val="single" w:sz="4" w:space="0" w:color="000000"/>
              <w:bottom w:val="single" w:sz="4" w:space="0" w:color="000000"/>
            </w:tcBorders>
          </w:tcPr>
          <w:p>
            <w:pPr>
              <w:pStyle w:val="TableContents"/>
              <w:widowControl w:val="false"/>
              <w:suppressLineNumbers/>
              <w:spacing w:before="0" w:after="40"/>
              <w:rPr/>
            </w:pPr>
            <w:r>
              <w:rPr/>
              <w:t>Software/servicios</w:t>
            </w:r>
          </w:p>
        </w:tc>
        <w:tc>
          <w:tcPr>
            <w:tcW w:w="3118" w:type="dxa"/>
            <w:tcBorders>
              <w:left w:val="single" w:sz="4" w:space="0" w:color="000000"/>
              <w:bottom w:val="single" w:sz="4" w:space="0" w:color="000000"/>
            </w:tcBorders>
          </w:tcPr>
          <w:p>
            <w:pPr>
              <w:pStyle w:val="TableContents"/>
              <w:widowControl w:val="false"/>
              <w:suppressLineNumbers/>
              <w:spacing w:before="0" w:after="40"/>
              <w:rPr/>
            </w:pPr>
            <w:r>
              <w:rPr/>
              <w:t>SPSS/alternativa o plan 1 mes, ofimática</w:t>
            </w:r>
          </w:p>
        </w:tc>
        <w:tc>
          <w:tcPr>
            <w:tcW w:w="3119" w:type="dxa"/>
            <w:tcBorders>
              <w:left w:val="single" w:sz="4" w:space="0" w:color="000000"/>
              <w:bottom w:val="single" w:sz="4" w:space="0" w:color="000000"/>
              <w:right w:val="single" w:sz="4" w:space="0" w:color="000000"/>
            </w:tcBorders>
          </w:tcPr>
          <w:p>
            <w:pPr>
              <w:pStyle w:val="TableContents"/>
              <w:spacing w:before="0" w:after="40"/>
              <w:rPr/>
            </w:pPr>
            <w:r>
              <w:rPr/>
              <w:t>150</w:t>
            </w:r>
          </w:p>
        </w:tc>
      </w:tr>
      <w:tr>
        <w:trPr/>
        <w:tc>
          <w:tcPr>
            <w:tcW w:w="3118" w:type="dxa"/>
            <w:tcBorders>
              <w:left w:val="single" w:sz="4" w:space="0" w:color="000000"/>
              <w:bottom w:val="single" w:sz="4" w:space="0" w:color="000000"/>
            </w:tcBorders>
          </w:tcPr>
          <w:p>
            <w:pPr>
              <w:pStyle w:val="TableContents"/>
              <w:widowControl w:val="false"/>
              <w:suppressLineNumbers/>
              <w:spacing w:before="0" w:after="40"/>
              <w:rPr/>
            </w:pPr>
            <w:r>
              <w:rPr/>
              <w:t>Comunicación</w:t>
            </w:r>
          </w:p>
        </w:tc>
        <w:tc>
          <w:tcPr>
            <w:tcW w:w="3118" w:type="dxa"/>
            <w:tcBorders>
              <w:left w:val="single" w:sz="4" w:space="0" w:color="000000"/>
              <w:bottom w:val="single" w:sz="4" w:space="0" w:color="000000"/>
            </w:tcBorders>
          </w:tcPr>
          <w:p>
            <w:pPr>
              <w:pStyle w:val="TableContents"/>
              <w:widowControl w:val="false"/>
              <w:suppressLineNumbers/>
              <w:spacing w:before="0" w:after="40"/>
              <w:rPr/>
            </w:pPr>
            <w:r>
              <w:rPr/>
              <w:t>Telefonía/datos para coordinaciones</w:t>
            </w:r>
          </w:p>
        </w:tc>
        <w:tc>
          <w:tcPr>
            <w:tcW w:w="3119" w:type="dxa"/>
            <w:tcBorders>
              <w:left w:val="single" w:sz="4" w:space="0" w:color="000000"/>
              <w:bottom w:val="single" w:sz="4" w:space="0" w:color="000000"/>
              <w:right w:val="single" w:sz="4" w:space="0" w:color="000000"/>
            </w:tcBorders>
          </w:tcPr>
          <w:p>
            <w:pPr>
              <w:pStyle w:val="TableContents"/>
              <w:spacing w:before="0" w:after="40"/>
              <w:rPr/>
            </w:pPr>
            <w:r>
              <w:rPr/>
              <w:t>50</w:t>
            </w:r>
          </w:p>
        </w:tc>
      </w:tr>
      <w:tr>
        <w:trPr/>
        <w:tc>
          <w:tcPr>
            <w:tcW w:w="3118" w:type="dxa"/>
            <w:tcBorders>
              <w:left w:val="single" w:sz="4" w:space="0" w:color="000000"/>
              <w:bottom w:val="single" w:sz="4" w:space="0" w:color="000000"/>
            </w:tcBorders>
          </w:tcPr>
          <w:p>
            <w:pPr>
              <w:pStyle w:val="TableContents"/>
              <w:widowControl w:val="false"/>
              <w:suppressLineNumbers/>
              <w:spacing w:before="0" w:after="40"/>
              <w:rPr/>
            </w:pPr>
            <w:r>
              <w:rPr/>
              <w:t>Contingencias</w:t>
            </w:r>
          </w:p>
        </w:tc>
        <w:tc>
          <w:tcPr>
            <w:tcW w:w="3118" w:type="dxa"/>
            <w:tcBorders>
              <w:left w:val="single" w:sz="4" w:space="0" w:color="000000"/>
              <w:bottom w:val="single" w:sz="4" w:space="0" w:color="000000"/>
            </w:tcBorders>
          </w:tcPr>
          <w:p>
            <w:pPr>
              <w:pStyle w:val="TableContents"/>
              <w:widowControl w:val="false"/>
              <w:suppressLineNumbers/>
              <w:spacing w:before="0" w:after="40"/>
              <w:rPr/>
            </w:pPr>
            <w:r>
              <w:rPr/>
              <w:t>10 % imprevistos</w:t>
            </w:r>
          </w:p>
        </w:tc>
        <w:tc>
          <w:tcPr>
            <w:tcW w:w="3119" w:type="dxa"/>
            <w:tcBorders>
              <w:left w:val="single" w:sz="4" w:space="0" w:color="000000"/>
              <w:bottom w:val="single" w:sz="4" w:space="0" w:color="000000"/>
              <w:right w:val="single" w:sz="4" w:space="0" w:color="000000"/>
            </w:tcBorders>
          </w:tcPr>
          <w:p>
            <w:pPr>
              <w:pStyle w:val="TableContents"/>
              <w:spacing w:before="0" w:after="40"/>
              <w:rPr/>
            </w:pPr>
            <w:r>
              <w:rPr/>
              <w:t>40</w:t>
            </w:r>
          </w:p>
        </w:tc>
      </w:tr>
      <w:tr>
        <w:trPr/>
        <w:tc>
          <w:tcPr>
            <w:tcW w:w="3118" w:type="dxa"/>
            <w:tcBorders>
              <w:left w:val="single" w:sz="4" w:space="0" w:color="000000"/>
              <w:bottom w:val="single" w:sz="4" w:space="0" w:color="000000"/>
            </w:tcBorders>
          </w:tcPr>
          <w:p>
            <w:pPr>
              <w:pStyle w:val="TableContents"/>
              <w:widowControl w:val="false"/>
              <w:suppressLineNumbers/>
              <w:spacing w:before="0" w:after="40"/>
              <w:rPr/>
            </w:pPr>
            <w:r>
              <w:rPr>
                <w:rStyle w:val="Strong"/>
              </w:rPr>
              <w:t>Total estimado</w:t>
            </w:r>
          </w:p>
        </w:tc>
        <w:tc>
          <w:tcPr>
            <w:tcW w:w="3118" w:type="dxa"/>
            <w:tcBorders>
              <w:left w:val="single" w:sz="4" w:space="0" w:color="000000"/>
              <w:bottom w:val="single" w:sz="4" w:space="0" w:color="000000"/>
            </w:tcBorders>
          </w:tcPr>
          <w:p>
            <w:pPr>
              <w:pStyle w:val="TableContents"/>
              <w:widowControl w:val="false"/>
              <w:suppressLineNumbers/>
              <w:spacing w:before="0" w:after="40"/>
              <w:rPr/>
            </w:pPr>
            <w:r>
              <w:rPr/>
            </w:r>
          </w:p>
        </w:tc>
        <w:tc>
          <w:tcPr>
            <w:tcW w:w="3119" w:type="dxa"/>
            <w:tcBorders>
              <w:left w:val="single" w:sz="4" w:space="0" w:color="000000"/>
              <w:bottom w:val="single" w:sz="4" w:space="0" w:color="000000"/>
              <w:right w:val="single" w:sz="4" w:space="0" w:color="000000"/>
            </w:tcBorders>
          </w:tcPr>
          <w:p>
            <w:pPr>
              <w:pStyle w:val="TableContents"/>
              <w:widowControl w:val="false"/>
              <w:suppressLineNumbers/>
              <w:spacing w:before="0" w:after="40"/>
              <w:rPr/>
            </w:pPr>
            <w:r>
              <w:rPr/>
              <w:t>440</w:t>
            </w:r>
          </w:p>
        </w:tc>
      </w:tr>
    </w:tbl>
    <w:p>
      <w:pPr>
        <w:pStyle w:val="Normal"/>
        <w:spacing w:lineRule="auto" w:line="360"/>
        <w:rPr>
          <w:rFonts w:ascii="Times New Roman" w:hAnsi="Times New Roman" w:cs="Times New Roman"/>
          <w:sz w:val="24"/>
          <w:szCs w:val="24"/>
        </w:rPr>
      </w:pPr>
      <w:r>
        <w:rPr/>
      </w:r>
    </w:p>
    <w:p>
      <w:pPr>
        <w:pStyle w:val="Heading1"/>
        <w:numPr>
          <w:ilvl w:val="0"/>
          <w:numId w:val="1"/>
        </w:numPr>
        <w:ind w:hanging="426" w:left="0"/>
        <w:jc w:val="left"/>
        <w:rPr>
          <w:rFonts w:ascii="Times New Roman" w:hAnsi="Times New Roman" w:cs="Times New Roman"/>
          <w:sz w:val="24"/>
          <w:szCs w:val="24"/>
          <w:u w:val="none"/>
        </w:rPr>
      </w:pPr>
      <w:bookmarkStart w:id="7" w:name="_Toc49307730"/>
      <w:r>
        <w:rPr>
          <w:rFonts w:cs="Times New Roman" w:ascii="Times New Roman" w:hAnsi="Times New Roman"/>
          <w:sz w:val="24"/>
          <w:szCs w:val="24"/>
        </w:rPr>
        <w:t>BIBLIOGRAFÍA</w:t>
      </w:r>
      <w:r>
        <w:rPr>
          <w:rFonts w:cs="Times New Roman" w:ascii="Times New Roman" w:hAnsi="Times New Roman"/>
          <w:sz w:val="24"/>
          <w:szCs w:val="24"/>
          <w:u w:val="none"/>
        </w:rPr>
        <w:t xml:space="preserve"> </w:t>
      </w:r>
      <w:r>
        <w:rPr>
          <w:rFonts w:cs="Times New Roman" w:ascii="Times New Roman" w:hAnsi="Times New Roman"/>
          <w:color w:themeColor="background2" w:themeShade="80" w:val="767171"/>
          <w:sz w:val="24"/>
          <w:szCs w:val="24"/>
          <w:u w:val="none"/>
        </w:rPr>
        <w:t>(máximo 3 páginas)</w:t>
      </w:r>
      <w:bookmarkEnd w:id="7"/>
    </w:p>
    <w:p>
      <w:pPr>
        <w:pStyle w:val="Normal"/>
        <w:spacing w:lineRule="auto" w:line="360"/>
        <w:rPr>
          <w:rFonts w:ascii="Times New Roman" w:hAnsi="Times New Roman" w:eastAsia="ＭＳ ゴシック" w:cs="Times New Roman" w:eastAsiaTheme="majorEastAsia"/>
          <w:sz w:val="24"/>
          <w:szCs w:val="24"/>
        </w:rPr>
      </w:pPr>
      <w:r>
        <w:rPr>
          <w:rFonts w:eastAsia="ＭＳ ゴシック" w:cs="Times New Roman" w:ascii="Times New Roman" w:hAnsi="Times New Roman" w:eastAsiaTheme="majorEastAsia"/>
          <w:sz w:val="24"/>
          <w:szCs w:val="24"/>
        </w:rPr>
        <w:t xml:space="preserve"> </w:t>
      </w:r>
    </w:p>
    <w:p>
      <w:pPr>
        <w:pStyle w:val="Normal"/>
        <w:spacing w:lineRule="auto" w:line="360" w:before="0" w:after="0"/>
        <w:rPr>
          <w:rFonts w:ascii="Times New Roman" w:hAnsi="Times New Roman" w:eastAsia="ＭＳ ゴシック" w:cs="Times New Roman" w:eastAsiaTheme="majorEastAsia"/>
          <w:b/>
          <w:sz w:val="24"/>
          <w:szCs w:val="24"/>
          <w:u w:val="single"/>
          <w:lang w:val="en-US"/>
        </w:rPr>
      </w:pPr>
      <w:r>
        <w:rPr>
          <w:rFonts w:eastAsia="ＭＳ ゴシック" w:cs="Times New Roman" w:ascii="Times New Roman" w:hAnsi="Times New Roman" w:eastAsiaTheme="majorEastAsia"/>
          <w:b/>
          <w:sz w:val="24"/>
          <w:szCs w:val="24"/>
          <w:u w:val="single"/>
          <w:lang w:val="en-US"/>
        </w:rPr>
        <w:t>APA</w:t>
      </w:r>
    </w:p>
    <w:p>
      <w:pPr>
        <w:pStyle w:val="Bibliography"/>
        <w:ind w:hanging="720" w:left="720"/>
        <w:rPr>
          <w:sz w:val="24"/>
          <w:szCs w:val="24"/>
          <w:lang w:val="en-US"/>
        </w:rPr>
      </w:pPr>
      <w:r>
        <w:fldChar w:fldCharType="begin"/>
      </w:r>
      <w:r>
        <w:rPr>
          <w:lang w:val="en-US"/>
        </w:rPr>
        <w:instrText xml:space="preserve"> BIBLIOGRAPHY </w:instrText>
      </w:r>
      <w:r>
        <w:rPr>
          <w:lang w:val="en-US"/>
        </w:rPr>
        <w:fldChar w:fldCharType="separate"/>
      </w:r>
      <w:r>
        <w:rPr>
          <w:lang w:val="en-US"/>
        </w:rPr>
        <w:t xml:space="preserve">Pati, P. (2020). Prediction and wear performance of red brick dust filled glass–epoxy composites using neural networks. </w:t>
      </w:r>
      <w:r>
        <w:rPr>
          <w:i/>
          <w:iCs/>
          <w:lang w:val="en-US"/>
        </w:rPr>
        <w:t>Nature</w:t>
      </w:r>
      <w:r>
        <w:rPr>
          <w:lang w:val="en-US"/>
        </w:rPr>
        <w:t>, 253-260.</w:t>
      </w:r>
    </w:p>
    <w:p>
      <w:pPr>
        <w:pStyle w:val="Bibliography"/>
        <w:ind w:hanging="720" w:left="720"/>
        <w:rPr>
          <w:lang w:val="en-US"/>
        </w:rPr>
      </w:pPr>
      <w:r>
        <w:rPr>
          <w:lang w:val="en-US"/>
        </w:rPr>
        <w:t xml:space="preserve">Toyota. (2018, setiembre 26). </w:t>
      </w:r>
      <w:r>
        <w:rPr>
          <w:i/>
          <w:iCs/>
          <w:lang w:val="en-US"/>
        </w:rPr>
        <w:t>Toyota</w:t>
      </w:r>
      <w:r>
        <w:rPr>
          <w:lang w:val="en-US"/>
        </w:rPr>
        <w:t>. (Toyota) Retrieved setiembre 26, 2018, from https://www.toyota.es/coches/hilux/index.json</w:t>
      </w:r>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ascii="Times New Roman" w:hAnsi="Times New Roman" w:eastAsiaTheme="majorEastAsia"/>
          <w:sz w:val="24"/>
          <w:szCs w:val="24"/>
        </w:rPr>
        <w:t xml:space="preserve">Autor/es. (año de publicación). Título del artículo. </w:t>
      </w:r>
      <w:r>
        <w:rPr>
          <w:rFonts w:eastAsia="ＭＳ ゴシック" w:cs="Times New Roman" w:ascii="Times New Roman" w:hAnsi="Times New Roman" w:eastAsiaTheme="majorEastAsia"/>
          <w:i/>
          <w:sz w:val="24"/>
          <w:szCs w:val="24"/>
        </w:rPr>
        <w:t>Título de la revista</w:t>
      </w:r>
      <w:r>
        <w:rPr>
          <w:rFonts w:eastAsia="ＭＳ ゴシック" w:cs="Times New Roman" w:ascii="Times New Roman" w:hAnsi="Times New Roman" w:eastAsiaTheme="majorEastAsia"/>
          <w:sz w:val="24"/>
          <w:szCs w:val="24"/>
        </w:rPr>
        <w:t xml:space="preserve">. </w:t>
      </w:r>
      <w:r>
        <w:rPr>
          <w:rFonts w:eastAsia="ＭＳ ゴシック" w:cs="Times New Roman" w:ascii="Times New Roman" w:hAnsi="Times New Roman" w:eastAsiaTheme="majorEastAsia"/>
          <w:sz w:val="24"/>
          <w:szCs w:val="24"/>
          <w:lang w:val="en-US"/>
        </w:rPr>
        <w:t>Año, volumen (número), página inicial- página final del artículo.</w:t>
      </w:r>
      <w:r>
        <w:rPr>
          <w:sz w:val="24"/>
          <w:szCs w:val="24"/>
          <w:rFonts w:eastAsia="ＭＳ ゴシック" w:cs="Times New Roman" w:ascii="Times New Roman" w:hAnsi="Times New Roman"/>
          <w:lang w:val="en-US"/>
        </w:rPr>
        <w:fldChar w:fldCharType="end"/>
      </w:r>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Dost, B., &amp; Papula, J. (2025). Controlling as a method for ensuring the financial stability of a family business. Scientific Bulletin of Mukachevo State University. Series “Economics”, 12(2), 9–22. </w:t>
      </w:r>
      <w:hyperlink r:id="rId3">
        <w:r>
          <w:rPr>
            <w:rStyle w:val="Hyperlink"/>
            <w:rFonts w:eastAsia="ＭＳ ゴシック" w:cs="Times New Roman" w:eastAsiaTheme="majorEastAsia" w:ascii="Times New Roman" w:hAnsi="Times New Roman"/>
            <w:b w:val="false"/>
            <w:bCs w:val="false"/>
            <w:i w:val="false"/>
            <w:iCs w:val="false"/>
            <w:color w:val="000000"/>
            <w:sz w:val="24"/>
            <w:szCs w:val="24"/>
            <w:u w:val="none"/>
            <w:lang w:val="en-US"/>
          </w:rPr>
          <w:t>https://doi.org/10.52566/msu-econ2.2025.09</w:t>
        </w:r>
      </w:hyperlink>
    </w:p>
    <w:p>
      <w:pPr>
        <w:pStyle w:val="Normal"/>
        <w:spacing w:lineRule="auto" w:line="360" w:before="0" w:after="0"/>
        <w:rPr>
          <w:rFonts w:ascii="Times New Roman" w:hAnsi="Times New Roman" w:eastAsia="ＭＳ ゴシック" w:cs="Times New Roman" w:eastAsiaTheme="majorEastAsia"/>
          <w:b w:val="false"/>
          <w:bCs w:val="false"/>
          <w:i w:val="false"/>
          <w:i w:val="false"/>
          <w:iCs w:val="false"/>
          <w:color w:val="000000"/>
          <w:sz w:val="24"/>
          <w:szCs w:val="24"/>
          <w:u w:val="none"/>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Becerra Molina, J. E., Jaramillo Calle, C. Y., Astudillo Arias, P. Y., &amp; Cajas Cajas, F. (2022). Análisis de Estados Financiero, como enfoque en la toma de decisiones, en épocas de pandemia, basado en sistemas informáticos. Revista Ibérica de Sistemas e Tecnologias de Informação (RISTI), (E48), 16–26. </w:t>
      </w:r>
    </w:p>
    <w:p>
      <w:pPr>
        <w:pStyle w:val="Normal"/>
        <w:spacing w:lineRule="auto" w:line="360" w:before="0" w:after="0"/>
        <w:rPr>
          <w:rFonts w:ascii="Times New Roman" w:hAnsi="Times New Roman" w:eastAsia="ＭＳ ゴシック" w:cs="Times New Roman" w:eastAsiaTheme="majorEastAsia"/>
          <w:b w:val="false"/>
          <w:bCs w:val="false"/>
          <w:i w:val="false"/>
          <w:i w:val="false"/>
          <w:iCs w:val="false"/>
          <w:color w:val="000000"/>
          <w:sz w:val="24"/>
          <w:szCs w:val="24"/>
          <w:u w:val="none"/>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Becerra Molina, J. E., Jaramillo Calle, C. Y., Astudillo Arias, P. Y., &amp; Cajas Cajas, F. (2022). Análisis de Estados Financiero, como enfoque en la toma de decisiones, en épocas de pandemia, basado en sistemas informáticos. Revista Ibérica de Sistemas e Tecnologias de Informação (RISTI), (E48), 16–26. </w:t>
      </w:r>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Gessa, A., Jiménez, A., &amp; Sancha, P. (2023). Exploring ERP systems adoption in challenging times: Insights of SMEs stories. Technological Forecasting and Social Change, 195, 122795. </w:t>
      </w:r>
      <w:hyperlink r:id="rId4">
        <w:r>
          <w:rPr>
            <w:rStyle w:val="Hyperlink"/>
            <w:rFonts w:eastAsia="ＭＳ ゴシック" w:cs="Times New Roman" w:eastAsiaTheme="majorEastAsia" w:ascii="Times New Roman" w:hAnsi="Times New Roman"/>
            <w:b w:val="false"/>
            <w:bCs w:val="false"/>
            <w:i w:val="false"/>
            <w:iCs w:val="false"/>
            <w:color w:val="000000"/>
            <w:sz w:val="24"/>
            <w:szCs w:val="24"/>
            <w:u w:val="none"/>
            <w:lang w:val="en-US"/>
          </w:rPr>
          <w:t>https://doi.org/10.1016/j.techfore.2023.122795</w:t>
        </w:r>
      </w:hyperlink>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IAS Plus. (s. f.). Peru (jurisdiction profile). Recuperado en septiembre de 2025, de </w:t>
      </w:r>
      <w:hyperlink r:id="rId5">
        <w:r>
          <w:rPr>
            <w:rStyle w:val="Hyperlink"/>
            <w:rFonts w:eastAsia="ＭＳ ゴシック" w:cs="Times New Roman" w:eastAsiaTheme="majorEastAsia" w:ascii="Times New Roman" w:hAnsi="Times New Roman"/>
            <w:b w:val="false"/>
            <w:bCs w:val="false"/>
            <w:i w:val="false"/>
            <w:iCs w:val="false"/>
            <w:color w:val="000000"/>
            <w:sz w:val="24"/>
            <w:szCs w:val="24"/>
            <w:u w:val="none"/>
            <w:lang w:val="en-US"/>
          </w:rPr>
          <w:t>https://www.iasplus.com/en/jurisdictions/americas/peru</w:t>
        </w:r>
      </w:hyperlink>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IFRS Foundation. (2024, 16 de diciembre). IFRS for SMEs—Fact sheet. </w:t>
      </w:r>
      <w:hyperlink r:id="rId6">
        <w:r>
          <w:rPr>
            <w:rStyle w:val="Hyperlink"/>
            <w:rFonts w:eastAsia="ＭＳ ゴシック" w:cs="Times New Roman" w:eastAsiaTheme="majorEastAsia" w:ascii="Times New Roman" w:hAnsi="Times New Roman"/>
            <w:b w:val="false"/>
            <w:bCs w:val="false"/>
            <w:i w:val="false"/>
            <w:iCs w:val="false"/>
            <w:color w:val="000000"/>
            <w:sz w:val="24"/>
            <w:szCs w:val="24"/>
            <w:u w:val="none"/>
            <w:lang w:val="en-US"/>
          </w:rPr>
          <w:t>https://www.ifrs.org/-/media/feature/groups/smes/major-documents/sme-fact-sheet-dec-16.pdf</w:t>
        </w:r>
      </w:hyperlink>
    </w:p>
    <w:p>
      <w:pPr>
        <w:pStyle w:val="Normal"/>
        <w:spacing w:lineRule="auto" w:line="360" w:before="0" w:after="0"/>
        <w:rPr>
          <w:rFonts w:ascii="Times New Roman" w:hAnsi="Times New Roman" w:eastAsia="ＭＳ ゴシック" w:cs="Times New Roman" w:eastAsiaTheme="majorEastAsia"/>
          <w:b w:val="false"/>
          <w:bCs w:val="false"/>
          <w:i w:val="false"/>
          <w:i w:val="false"/>
          <w:iCs w:val="false"/>
          <w:color w:val="000000"/>
          <w:sz w:val="24"/>
          <w:szCs w:val="24"/>
          <w:u w:val="none"/>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r>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INEI. (2025, 10 de marzo). Demografía empresarial en el Perú – IV trimestre 2024 (Boletín). </w:t>
      </w:r>
      <w:hyperlink r:id="rId7">
        <w:r>
          <w:rPr>
            <w:rStyle w:val="Hyperlink"/>
            <w:rFonts w:eastAsia="ＭＳ ゴシック" w:cs="Times New Roman" w:eastAsiaTheme="majorEastAsia" w:ascii="Times New Roman" w:hAnsi="Times New Roman"/>
            <w:b w:val="false"/>
            <w:bCs w:val="false"/>
            <w:i w:val="false"/>
            <w:iCs w:val="false"/>
            <w:color w:val="000000"/>
            <w:sz w:val="24"/>
            <w:szCs w:val="24"/>
            <w:u w:val="none"/>
            <w:lang w:val="en-US"/>
          </w:rPr>
          <w:t>https://www.gob.pe/institucion/inei/informes-publicaciones/6550169-demografia-empresarial-en-el-peru-iv-trimestre-2024</w:t>
        </w:r>
      </w:hyperlink>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Kiymaz, H., Haque, S., &amp; Choudhury, A. A. (2024). Working capital management and firm performance: A comparative analysis of developed and emerging economies. Borsa Istanbul Review, 24(3), 634–642. </w:t>
      </w:r>
      <w:hyperlink r:id="rId8">
        <w:r>
          <w:rPr>
            <w:rStyle w:val="Hyperlink"/>
            <w:rFonts w:eastAsia="ＭＳ ゴシック" w:cs="Times New Roman" w:eastAsiaTheme="majorEastAsia" w:ascii="Times New Roman" w:hAnsi="Times New Roman"/>
            <w:b w:val="false"/>
            <w:bCs w:val="false"/>
            <w:i w:val="false"/>
            <w:iCs w:val="false"/>
            <w:color w:val="000000"/>
            <w:sz w:val="24"/>
            <w:szCs w:val="24"/>
            <w:u w:val="none"/>
            <w:lang w:val="en-US"/>
          </w:rPr>
          <w:t>https://doi.org/10.1016/j.bir.2024.03.004</w:t>
        </w:r>
      </w:hyperlink>
    </w:p>
    <w:p>
      <w:pPr>
        <w:pStyle w:val="Normal"/>
        <w:spacing w:lineRule="auto" w:line="360" w:before="0" w:after="0"/>
        <w:rPr>
          <w:rFonts w:ascii="Times New Roman" w:hAnsi="Times New Roman" w:eastAsia="ＭＳ ゴシック" w:cs="Times New Roman" w:eastAsiaTheme="majorEastAsia"/>
          <w:b w:val="false"/>
          <w:bCs w:val="false"/>
          <w:i w:val="false"/>
          <w:i w:val="false"/>
          <w:iCs w:val="false"/>
          <w:color w:val="000000"/>
          <w:sz w:val="24"/>
          <w:szCs w:val="24"/>
          <w:u w:val="none"/>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Miti, M., &amp; Zaçaj, E. (2024). Using financial statements analysis as a tool on identifying the solvency of SMEs and its relation with forensic accounting: Evidence from Albania. Revista de Gestão Social e Ambiental, 18(5), e06932. https://doi.org/10.24857/rgsa.v18n5-144</w:t>
      </w:r>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 xml:space="preserve">OCDE. (2024). Financing SMEs and Entrepreneurs 2024: An OECD Scoreboard. OECD Publishing. </w:t>
      </w:r>
      <w:hyperlink r:id="rId9">
        <w:r>
          <w:rPr>
            <w:rStyle w:val="Hyperlink"/>
            <w:rFonts w:eastAsia="ＭＳ ゴシック" w:cs="Times New Roman" w:eastAsiaTheme="majorEastAsia" w:ascii="Times New Roman" w:hAnsi="Times New Roman"/>
            <w:b w:val="false"/>
            <w:bCs w:val="false"/>
            <w:i w:val="false"/>
            <w:iCs w:val="false"/>
            <w:color w:val="000000"/>
            <w:sz w:val="24"/>
            <w:szCs w:val="24"/>
            <w:u w:val="none"/>
            <w:lang w:val="en-US"/>
          </w:rPr>
          <w:t>https://doi.org/10.1787/fa521246-en</w:t>
        </w:r>
      </w:hyperlink>
    </w:p>
    <w:p>
      <w:pPr>
        <w:pStyle w:val="Normal"/>
        <w:spacing w:lineRule="auto" w:line="360" w:before="0" w:after="0"/>
        <w:rPr>
          <w:rFonts w:ascii="Times New Roman" w:hAnsi="Times New Roman" w:eastAsia="ＭＳ ゴシック" w:cs="Times New Roman" w:eastAsiaTheme="majorEastAsia"/>
          <w:b w:val="false"/>
          <w:bCs w:val="false"/>
          <w:i w:val="false"/>
          <w:i w:val="false"/>
          <w:iCs w:val="false"/>
          <w:color w:val="000000"/>
          <w:sz w:val="24"/>
          <w:szCs w:val="24"/>
          <w:u w:val="none"/>
          <w:lang w:val="en-US"/>
        </w:rPr>
      </w:pPr>
      <w:r>
        <w:rPr>
          <w:rFonts w:eastAsia="ＭＳ ゴシック" w:cs="Times New Roman" w:eastAsiaTheme="majorEastAsia" w:ascii="Times New Roman" w:hAnsi="Times New Roman"/>
          <w:b w:val="false"/>
          <w:bCs w:val="false"/>
          <w:i w:val="false"/>
          <w:iCs w:val="false"/>
          <w:color w:val="000000"/>
          <w:sz w:val="24"/>
          <w:szCs w:val="24"/>
          <w:u w:val="none"/>
          <w:lang w:val="en-US"/>
        </w:rPr>
        <w:t>PRODUCE – OGEIEE. (s. f.). Estadística MIPYME. https://ogeiee.produce.gob.pe/index.php/en/shortcode/estadistica-oee/estadisticas-mipyme</w:t>
      </w:r>
    </w:p>
    <w:p>
      <w:pPr>
        <w:pStyle w:val="Normal"/>
        <w:spacing w:lineRule="auto" w:line="360" w:before="0" w:after="0"/>
        <w:rPr>
          <w:rFonts w:ascii="Times New Roman" w:hAnsi="Times New Roman" w:eastAsia="ＭＳ ゴシック" w:cs="Times New Roman" w:eastAsiaTheme="majorEastAsia"/>
          <w:sz w:val="24"/>
          <w:szCs w:val="24"/>
          <w:lang w:val="en-US"/>
        </w:rPr>
      </w:pPr>
      <w:r>
        <w:rPr>
          <w:rFonts w:eastAsia="ＭＳ ゴシック" w:cs="Times New Roman" w:eastAsiaTheme="majorEastAsia" w:ascii="Times New Roman" w:hAnsi="Times New Roman"/>
          <w:sz w:val="24"/>
          <w:szCs w:val="24"/>
          <w:lang w:val="en-US"/>
        </w:rPr>
      </w:r>
    </w:p>
    <w:p>
      <w:pPr>
        <w:pStyle w:val="Normal"/>
        <w:spacing w:lineRule="auto" w:line="360" w:before="0" w:after="0"/>
        <w:rPr>
          <w:rFonts w:ascii="Times New Roman" w:hAnsi="Times New Roman" w:cs="Times New Roman"/>
          <w:b/>
          <w:bCs/>
          <w:sz w:val="24"/>
          <w:szCs w:val="24"/>
          <w:u w:val="single"/>
          <w:lang w:val="en-US"/>
        </w:rPr>
      </w:pPr>
      <w:r>
        <w:rPr>
          <w:rFonts w:cs="Times New Roman" w:ascii="Times New Roman" w:hAnsi="Times New Roman"/>
          <w:b/>
          <w:bCs/>
          <w:sz w:val="24"/>
          <w:szCs w:val="24"/>
          <w:u w:val="single"/>
          <w:lang w:val="en-US"/>
        </w:rPr>
        <w:t>IEEE</w:t>
      </w:r>
    </w:p>
    <w:p>
      <w:pPr>
        <w:pStyle w:val="Bibliography"/>
        <w:spacing w:lineRule="auto" w:line="360" w:before="0" w:after="0"/>
        <w:ind w:hanging="426" w:left="426"/>
        <w:rPr>
          <w:rFonts w:ascii="Times New Roman" w:hAnsi="Times New Roman" w:cs="Times New Roman"/>
          <w:sz w:val="24"/>
          <w:szCs w:val="24"/>
          <w:lang w:val="en-US"/>
        </w:rPr>
      </w:pPr>
      <w:r>
        <w:rPr>
          <w:rFonts w:eastAsia="ＭＳ ゴシック" w:cs="Times New Roman" w:ascii="Times New Roman" w:hAnsi="Times New Roman" w:eastAsiaTheme="majorEastAsia"/>
          <w:sz w:val="24"/>
          <w:szCs w:val="24"/>
          <w:lang w:val="en-US"/>
        </w:rPr>
        <w:t>[1]</w:t>
        <w:tab/>
        <w:t>P.R. Pati, “Prediction and wear performance of red brick dust filled glass–epoxy composites using neural networks”, Nature, vol. 23, nº 2, pp. 253-260, 2020.</w:t>
      </w:r>
    </w:p>
    <w:p>
      <w:pPr>
        <w:pStyle w:val="Normal"/>
        <w:spacing w:lineRule="auto" w:line="360" w:before="0" w:after="0"/>
        <w:rPr>
          <w:rFonts w:ascii="Times New Roman" w:hAnsi="Times New Roman" w:eastAsia="ＭＳ ゴシック" w:cs="Times New Roman" w:eastAsiaTheme="majorEastAsia"/>
          <w:sz w:val="24"/>
          <w:szCs w:val="24"/>
        </w:rPr>
      </w:pPr>
      <w:r>
        <w:rPr>
          <w:rFonts w:eastAsia="ＭＳ ゴシック" w:cs="Times New Roman" w:ascii="Times New Roman" w:hAnsi="Times New Roman" w:eastAsiaTheme="majorEastAsia"/>
          <w:sz w:val="24"/>
          <w:szCs w:val="24"/>
        </w:rPr>
        <w:t>[</w:t>
      </w:r>
      <w:r>
        <w:rPr>
          <w:rFonts w:cs="Times New Roman" w:ascii="Times New Roman" w:hAnsi="Times New Roman"/>
          <w:sz w:val="24"/>
          <w:szCs w:val="24"/>
          <w:shd w:fill="FFFFFF" w:val="clear"/>
        </w:rPr>
        <w:t>#</w:t>
      </w:r>
      <w:r>
        <w:rPr>
          <w:rFonts w:eastAsia="ＭＳ ゴシック" w:cs="Times New Roman" w:ascii="Times New Roman" w:hAnsi="Times New Roman" w:eastAsiaTheme="majorEastAsia"/>
          <w:sz w:val="24"/>
          <w:szCs w:val="24"/>
        </w:rPr>
        <w:t>] Autor/es, “Título del artículo entre comillas”, Título de la revista en cursiva, vol. Volumen, n° número, pp. página inicial- página final del artículo, Año.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1"/>
        </w:numPr>
        <w:ind w:hanging="426" w:left="0"/>
        <w:jc w:val="left"/>
        <w:rPr>
          <w:rFonts w:ascii="Times New Roman" w:hAnsi="Times New Roman" w:cs="Times New Roman"/>
          <w:sz w:val="24"/>
          <w:szCs w:val="24"/>
          <w:u w:val="none"/>
        </w:rPr>
      </w:pPr>
      <w:bookmarkStart w:id="8" w:name="_Toc49307731"/>
      <w:r>
        <w:rPr>
          <w:rFonts w:cs="Times New Roman" w:ascii="Times New Roman" w:hAnsi="Times New Roman"/>
          <w:sz w:val="24"/>
          <w:szCs w:val="24"/>
        </w:rPr>
        <w:t>ANEXOS</w:t>
      </w:r>
      <w:r>
        <w:rPr>
          <w:rFonts w:cs="Times New Roman" w:ascii="Times New Roman" w:hAnsi="Times New Roman"/>
          <w:sz w:val="24"/>
          <w:szCs w:val="24"/>
          <w:u w:val="none"/>
        </w:rPr>
        <w:t xml:space="preserve"> </w:t>
      </w:r>
      <w:r>
        <w:rPr>
          <w:rFonts w:cs="Times New Roman" w:ascii="Times New Roman" w:hAnsi="Times New Roman"/>
          <w:color w:themeColor="background2" w:themeShade="80" w:val="767171"/>
          <w:sz w:val="24"/>
          <w:szCs w:val="24"/>
          <w:u w:val="none"/>
        </w:rPr>
        <w:t>(opcional)</w:t>
      </w:r>
      <w:bookmarkEnd w:id="8"/>
    </w:p>
    <w:p>
      <w:pPr>
        <w:pStyle w:val="Normal"/>
        <w:rPr>
          <w:rFonts w:ascii="Times New Roman" w:hAnsi="Times New Roman" w:cs="Times New Roman"/>
          <w:sz w:val="24"/>
          <w:szCs w:val="24"/>
        </w:rPr>
      </w:pPr>
      <w:r>
        <w:rPr>
          <w:rFonts w:eastAsia="ＭＳ ゴシック" w:cs="Times New Roman" w:ascii="Times New Roman" w:hAnsi="Times New Roman" w:eastAsiaTheme="majorEastAsia"/>
          <w:sz w:val="24"/>
          <w:szCs w:val="24"/>
        </w:rPr>
        <w:t>Incluye planos, cuestionarios, gráficos, etc.</w:t>
      </w:r>
    </w:p>
    <w:p>
      <w:pPr>
        <w:pStyle w:val="Normal"/>
        <w:spacing w:before="0" w:after="40"/>
        <w:rPr>
          <w:rFonts w:ascii="Times New Roman" w:hAnsi="Times New Roman" w:cs="Times New Roman"/>
          <w:b/>
          <w:sz w:val="24"/>
          <w:szCs w:val="24"/>
          <w:u w:val="single"/>
        </w:rPr>
      </w:pPr>
      <w:r>
        <w:rPr>
          <w:rFonts w:cs="Times New Roman" w:ascii="Times New Roman" w:hAnsi="Times New Roman"/>
          <w:b/>
          <w:sz w:val="24"/>
          <w:szCs w:val="24"/>
          <w:u w:val="single"/>
        </w:rPr>
      </w:r>
    </w:p>
    <w:sectPr>
      <w:footerReference w:type="even" r:id="rId10"/>
      <w:footerReference w:type="default" r:id="rId11"/>
      <w:footerReference w:type="first" r:id="rId12"/>
      <w:type w:val="nextPage"/>
      <w:pgSz w:w="11906" w:h="16838"/>
      <w:pgMar w:left="1701" w:right="850" w:gutter="0" w:header="0" w:top="1417" w:footer="708" w:bottom="1417"/>
      <w:pgNumType w:start="1"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Calibri Light">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caps/>
      </w:rPr>
    </w:pPr>
    <w:r>
      <w:rPr/>
      <w:fldChar w:fldCharType="begin"/>
    </w:r>
    <w:r>
      <w:rPr/>
      <w:instrText xml:space="preserve"> PAGE </w:instrText>
    </w:r>
    <w:r>
      <w:rPr/>
      <w:fldChar w:fldCharType="separate"/>
    </w:r>
    <w:r>
      <w:rPr/>
      <w:t>12</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color w:themeColor="text1"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2"/>
      <w:numFmt w:val="decimal"/>
      <w:lvlText w:val="%1."/>
      <w:lvlJc w:val="left"/>
      <w:pPr>
        <w:tabs>
          <w:tab w:val="num" w:pos="0"/>
        </w:tabs>
        <w:ind w:left="360" w:hanging="360"/>
      </w:pPr>
      <w:rPr/>
    </w:lvl>
    <w:lvl w:ilvl="1">
      <w:start w:val="1"/>
      <w:numFmt w:val="decimal"/>
      <w:lvlText w:val="%1.%2."/>
      <w:lvlJc w:val="left"/>
      <w:pPr>
        <w:tabs>
          <w:tab w:val="num" w:pos="0"/>
        </w:tabs>
        <w:ind w:left="1080" w:hanging="36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2880" w:hanging="72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4680" w:hanging="108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480" w:hanging="1440"/>
      </w:pPr>
      <w:rPr/>
    </w:lvl>
    <w:lvl w:ilvl="8">
      <w:start w:val="1"/>
      <w:numFmt w:val="decimal"/>
      <w:lvlText w:val="%1.%2.%3.%4.%5.%6.%7.%8.%9."/>
      <w:lvlJc w:val="left"/>
      <w:pPr>
        <w:tabs>
          <w:tab w:val="num" w:pos="0"/>
        </w:tabs>
        <w:ind w:left="7560" w:hanging="180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PE"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4edc"/>
    <w:pPr>
      <w:widowControl/>
      <w:bidi w:val="0"/>
      <w:spacing w:lineRule="auto" w:line="480" w:before="0" w:after="40"/>
      <w:jc w:val="both"/>
    </w:pPr>
    <w:rPr>
      <w:rFonts w:ascii="Arial" w:hAnsi="Arial" w:eastAsia="Calibri" w:cs="Arial" w:cstheme="minorBidi" w:eastAsiaTheme="minorHAnsi"/>
      <w:color w:val="auto"/>
      <w:kern w:val="0"/>
      <w:sz w:val="22"/>
      <w:szCs w:val="22"/>
      <w:lang w:val="es-PE" w:eastAsia="en-US" w:bidi="ar-SA"/>
    </w:rPr>
  </w:style>
  <w:style w:type="paragraph" w:styleId="Heading1">
    <w:name w:val="Heading 1"/>
    <w:basedOn w:val="Normal"/>
    <w:next w:val="Normal"/>
    <w:link w:val="Ttulo1Car"/>
    <w:uiPriority w:val="9"/>
    <w:qFormat/>
    <w:rsid w:val="000c4edc"/>
    <w:pPr>
      <w:keepNext w:val="true"/>
      <w:keepLines/>
      <w:numPr>
        <w:ilvl w:val="0"/>
        <w:numId w:val="1"/>
      </w:numPr>
      <w:spacing w:before="0" w:after="120"/>
      <w:ind w:hanging="426" w:left="0"/>
      <w:jc w:val="left"/>
      <w:outlineLvl w:val="0"/>
    </w:pPr>
    <w:rPr>
      <w:rFonts w:eastAsia="ＭＳ ゴシック" w:cs="Times New Roman" w:cstheme="majorBidi" w:eastAsiaTheme="majorEastAsia"/>
      <w:b/>
      <w:szCs w:val="32"/>
      <w:u w:val="single"/>
    </w:rPr>
  </w:style>
  <w:style w:type="paragraph" w:styleId="Heading2">
    <w:name w:val="Heading 2"/>
    <w:basedOn w:val="Normal"/>
    <w:next w:val="Normal"/>
    <w:link w:val="Ttulo2Car"/>
    <w:uiPriority w:val="9"/>
    <w:unhideWhenUsed/>
    <w:qFormat/>
    <w:rsid w:val="000c4edc"/>
    <w:pPr>
      <w:keepNext w:val="true"/>
      <w:keepLines/>
      <w:spacing w:before="160" w:after="120"/>
      <w:outlineLvl w:val="1"/>
    </w:pPr>
    <w:rPr>
      <w:rFonts w:eastAsia="ＭＳ ゴシック" w:cs="Times New Roman" w:cstheme="majorBidi" w:eastAsiaTheme="majorEastAsia"/>
      <w:b/>
      <w:szCs w:val="26"/>
      <w:u w:val="single"/>
    </w:rPr>
  </w:style>
  <w:style w:type="character" w:styleId="DefaultParagraphFont" w:default="1">
    <w:name w:val="Default Paragraph Font"/>
    <w:uiPriority w:val="1"/>
    <w:unhideWhenUsed/>
    <w:qFormat/>
    <w:rPr/>
  </w:style>
  <w:style w:type="character" w:styleId="TextodegloboCar" w:customStyle="1">
    <w:name w:val="Texto de globo Car"/>
    <w:basedOn w:val="DefaultParagraphFont"/>
    <w:link w:val="BalloonText"/>
    <w:uiPriority w:val="99"/>
    <w:semiHidden/>
    <w:qFormat/>
    <w:rsid w:val="00163a57"/>
    <w:rPr>
      <w:rFonts w:ascii="Segoe UI" w:hAnsi="Segoe UI" w:cs="Segoe UI"/>
      <w:sz w:val="18"/>
      <w:szCs w:val="18"/>
    </w:rPr>
  </w:style>
  <w:style w:type="character" w:styleId="EncabezadoCar" w:customStyle="1">
    <w:name w:val="Encabezado Car"/>
    <w:basedOn w:val="DefaultParagraphFont"/>
    <w:link w:val="Header"/>
    <w:uiPriority w:val="99"/>
    <w:qFormat/>
    <w:rsid w:val="00803347"/>
    <w:rPr/>
  </w:style>
  <w:style w:type="character" w:styleId="PiedepginaCar" w:customStyle="1">
    <w:name w:val="Pie de página Car"/>
    <w:basedOn w:val="DefaultParagraphFont"/>
    <w:link w:val="Footer"/>
    <w:uiPriority w:val="99"/>
    <w:qFormat/>
    <w:rsid w:val="00803347"/>
    <w:rPr/>
  </w:style>
  <w:style w:type="character" w:styleId="Ttulo1Car" w:customStyle="1">
    <w:name w:val="Título 1 Car"/>
    <w:basedOn w:val="DefaultParagraphFont"/>
    <w:link w:val="Heading1"/>
    <w:uiPriority w:val="9"/>
    <w:qFormat/>
    <w:rsid w:val="000c4edc"/>
    <w:rPr>
      <w:rFonts w:ascii="Arial" w:hAnsi="Arial" w:eastAsia="ＭＳ ゴシック" w:cs="Times New Roman" w:cstheme="majorBidi" w:eastAsiaTheme="majorEastAsia"/>
      <w:b/>
      <w:szCs w:val="32"/>
      <w:u w:val="single"/>
    </w:rPr>
  </w:style>
  <w:style w:type="character" w:styleId="Ttulo2Car" w:customStyle="1">
    <w:name w:val="Título 2 Car"/>
    <w:basedOn w:val="DefaultParagraphFont"/>
    <w:link w:val="Heading2"/>
    <w:uiPriority w:val="9"/>
    <w:qFormat/>
    <w:rsid w:val="000c4edc"/>
    <w:rPr>
      <w:rFonts w:ascii="Arial" w:hAnsi="Arial" w:eastAsia="ＭＳ ゴシック" w:cs="Times New Roman" w:cstheme="majorBidi" w:eastAsiaTheme="majorEastAsia"/>
      <w:b/>
      <w:szCs w:val="26"/>
      <w:u w:val="single"/>
    </w:rPr>
  </w:style>
  <w:style w:type="character" w:styleId="Hyperlink">
    <w:name w:val="Hyperlink"/>
    <w:basedOn w:val="DefaultParagraphFont"/>
    <w:uiPriority w:val="99"/>
    <w:unhideWhenUsed/>
    <w:rsid w:val="00be4697"/>
    <w:rPr>
      <w:color w:themeColor="hyperlink" w:val="0563C1"/>
      <w:u w:val="single"/>
    </w:rPr>
  </w:style>
  <w:style w:type="character" w:styleId="A3" w:customStyle="1">
    <w:name w:val="A3"/>
    <w:uiPriority w:val="99"/>
    <w:qFormat/>
    <w:rsid w:val="00256306"/>
    <w:rPr>
      <w:rFonts w:cs="Caecilia LT Std Roman"/>
      <w:color w:val="000000"/>
    </w:rPr>
  </w:style>
  <w:style w:type="character" w:styleId="FollowedHyperlink">
    <w:name w:val="FollowedHyperlink"/>
    <w:basedOn w:val="DefaultParagraphFont"/>
    <w:uiPriority w:val="99"/>
    <w:semiHidden/>
    <w:unhideWhenUsed/>
    <w:rsid w:val="00bd03f0"/>
    <w:rPr>
      <w:color w:themeColor="followedHyperlink" w:val="954F72"/>
      <w:u w:val="single"/>
    </w:rPr>
  </w:style>
  <w:style w:type="character" w:styleId="IndexLink">
    <w:name w:val="Index Link"/>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3b589a"/>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BalloonText">
    <w:name w:val="Balloon Text"/>
    <w:basedOn w:val="Normal"/>
    <w:link w:val="TextodegloboCar"/>
    <w:uiPriority w:val="99"/>
    <w:semiHidden/>
    <w:unhideWhenUsed/>
    <w:qFormat/>
    <w:rsid w:val="00163a57"/>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EncabezadoCar"/>
    <w:uiPriority w:val="99"/>
    <w:unhideWhenUsed/>
    <w:rsid w:val="0080334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803347"/>
    <w:pPr>
      <w:tabs>
        <w:tab w:val="clear" w:pos="708"/>
        <w:tab w:val="center" w:pos="4419" w:leader="none"/>
        <w:tab w:val="right" w:pos="8838"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e4697"/>
    <w:pPr>
      <w:spacing w:lineRule="auto" w:line="259" w:before="240" w:after="0"/>
      <w:jc w:val="left"/>
      <w:outlineLvl w:val="9"/>
    </w:pPr>
    <w:rPr>
      <w:rFonts w:ascii="Calibri Light" w:hAnsi="Calibri Light" w:asciiTheme="majorHAnsi" w:hAnsiTheme="majorHAnsi"/>
      <w:b w:val="false"/>
      <w:color w:themeColor="accent1" w:themeShade="bf" w:val="2E74B5"/>
      <w:sz w:val="32"/>
      <w:u w:val="none"/>
      <w:lang w:eastAsia="es-PE"/>
    </w:rPr>
  </w:style>
  <w:style w:type="paragraph" w:styleId="TOC1">
    <w:name w:val="TOC 1"/>
    <w:basedOn w:val="Normal"/>
    <w:next w:val="Normal"/>
    <w:autoRedefine/>
    <w:uiPriority w:val="39"/>
    <w:unhideWhenUsed/>
    <w:rsid w:val="006d3af0"/>
    <w:pPr>
      <w:tabs>
        <w:tab w:val="clear" w:pos="708"/>
        <w:tab w:val="left" w:pos="440" w:leader="none"/>
        <w:tab w:val="right" w:pos="8495" w:leader="dot"/>
      </w:tabs>
      <w:spacing w:before="0" w:after="100"/>
      <w:jc w:val="left"/>
    </w:pPr>
    <w:rPr>
      <w:rFonts w:eastAsia="ＭＳ ゴシック" w:cs="Times New Roman" w:cstheme="majorBidi" w:eastAsiaTheme="majorEastAsia"/>
      <w:bCs/>
      <w:lang w:val="es-ES"/>
    </w:rPr>
  </w:style>
  <w:style w:type="paragraph" w:styleId="TOC2">
    <w:name w:val="TOC 2"/>
    <w:basedOn w:val="Normal"/>
    <w:next w:val="Normal"/>
    <w:autoRedefine/>
    <w:uiPriority w:val="39"/>
    <w:unhideWhenUsed/>
    <w:rsid w:val="00c479ae"/>
    <w:pPr>
      <w:spacing w:before="0" w:after="100"/>
      <w:ind w:left="220"/>
    </w:pPr>
    <w:rPr/>
  </w:style>
  <w:style w:type="paragraph" w:styleId="ListParagraph">
    <w:name w:val="List Paragraph"/>
    <w:basedOn w:val="Normal"/>
    <w:uiPriority w:val="34"/>
    <w:qFormat/>
    <w:rsid w:val="00396d12"/>
    <w:pPr>
      <w:spacing w:lineRule="auto" w:line="276" w:before="0" w:after="200"/>
      <w:ind w:left="720"/>
      <w:contextualSpacing/>
      <w:jc w:val="left"/>
    </w:pPr>
    <w:rPr>
      <w:rFonts w:ascii="Calibri" w:hAnsi="Calibri" w:eastAsia="Calibri" w:cs="Times New Roman"/>
      <w:lang w:eastAsia="es-PE"/>
    </w:rPr>
  </w:style>
  <w:style w:type="paragraph" w:styleId="Bibliography">
    <w:name w:val="Bibliography"/>
    <w:basedOn w:val="Normal"/>
    <w:next w:val="Normal"/>
    <w:uiPriority w:val="37"/>
    <w:unhideWhenUsed/>
    <w:qFormat/>
    <w:rsid w:val="00d062c1"/>
    <w:pPr>
      <w:spacing w:lineRule="auto" w:line="259" w:before="0" w:after="160"/>
      <w:jc w:val="left"/>
    </w:pPr>
    <w:rPr>
      <w:rFonts w:ascii="Calibri" w:hAnsi="Calibri" w:asciiTheme="minorHAnsi" w:hAnsiTheme="minorHAnsi"/>
    </w:rPr>
  </w:style>
  <w:style w:type="paragraph" w:styleId="Normal1" w:customStyle="1">
    <w:name w:val="Normal1"/>
    <w:qFormat/>
    <w:rsid w:val="00a7482f"/>
    <w:pPr>
      <w:widowControl/>
      <w:suppressAutoHyphens w:val="true"/>
      <w:bidi w:val="0"/>
      <w:spacing w:lineRule="auto" w:line="276" w:before="0" w:after="200"/>
      <w:jc w:val="left"/>
    </w:pPr>
    <w:rPr>
      <w:rFonts w:ascii="Calibri" w:hAnsi="Calibri" w:eastAsia="Calibri" w:cs="Arial" w:asciiTheme="minorHAnsi" w:cstheme="minorBidi" w:eastAsiaTheme="minorHAnsi" w:hAnsiTheme="minorHAnsi"/>
      <w:color w:val="auto"/>
      <w:kern w:val="0"/>
      <w:sz w:val="22"/>
      <w:szCs w:val="22"/>
      <w:lang w:val="es-PE" w:eastAsia="en-US" w:bidi="ar-SA"/>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1810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52566/msu-econ2.2025.09" TargetMode="External"/><Relationship Id="rId4" Type="http://schemas.openxmlformats.org/officeDocument/2006/relationships/hyperlink" Target="https://doi.org/10.1016/j.techfore.2023.122795" TargetMode="External"/><Relationship Id="rId5" Type="http://schemas.openxmlformats.org/officeDocument/2006/relationships/hyperlink" Target="https://www.iasplus.com/en/jurisdictions/americas/peru" TargetMode="External"/><Relationship Id="rId6" Type="http://schemas.openxmlformats.org/officeDocument/2006/relationships/hyperlink" Target="https://www.ifrs.org/-/media/feature/groups/smes/major-documents/sme-fact-sheet-dec-16.pdf" TargetMode="External"/><Relationship Id="rId7" Type="http://schemas.openxmlformats.org/officeDocument/2006/relationships/hyperlink" Target="https://www.gob.pe/institucion/inei/informes-publicaciones/6550169-demografia-empresarial-en-el-peru-iv-trimestre-2024" TargetMode="External"/><Relationship Id="rId8" Type="http://schemas.openxmlformats.org/officeDocument/2006/relationships/hyperlink" Target="https://doi.org/10.1016/j.bir.2024.03.004" TargetMode="External"/><Relationship Id="rId9" Type="http://schemas.openxmlformats.org/officeDocument/2006/relationships/hyperlink" Target="https://doi.org/10.1787/fa521246-en"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28EC3B6F8E24EB3CF0F491F402802" ma:contentTypeVersion="8" ma:contentTypeDescription="Create a new document." ma:contentTypeScope="" ma:versionID="e93caf3d415a54add717e6ca49260370">
  <xsd:schema xmlns:xsd="http://www.w3.org/2001/XMLSchema" xmlns:xs="http://www.w3.org/2001/XMLSchema" xmlns:p="http://schemas.microsoft.com/office/2006/metadata/properties" xmlns:ns2="862f378b-8b66-4503-882d-77ca42baa5d6" xmlns:ns3="cdceb881-2e20-4669-ae24-3afc87041ba9" targetNamespace="http://schemas.microsoft.com/office/2006/metadata/properties" ma:root="true" ma:fieldsID="66e383e18f37c6fa959863981afdb70d" ns2:_="" ns3:_="">
    <xsd:import namespace="862f378b-8b66-4503-882d-77ca42baa5d6"/>
    <xsd:import namespace="cdceb881-2e20-4669-ae24-3afc87041b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f378b-8b66-4503-882d-77ca42baa5d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ceb881-2e20-4669-ae24-3afc87041ba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Toy18</b:Tag>
    <b:SourceType>InternetSite</b:SourceType>
    <b:Guid>{04DFF2AD-F4F7-45A2-82FE-BBAD3286B413}</b:Guid>
    <b:Author>
      <b:Author>
        <b:NameList>
          <b:Person>
            <b:Last>Toyota</b:Last>
          </b:Person>
        </b:NameList>
      </b:Author>
    </b:Author>
    <b:Title>Toyota</b:Title>
    <b:ProductionCompany>Toyota</b:ProductionCompany>
    <b:Year>2018</b:Year>
    <b:Month>setiembre</b:Month>
    <b:Day>26</b:Day>
    <b:YearAccessed>2018</b:YearAccessed>
    <b:MonthAccessed>setiembre</b:MonthAccessed>
    <b:DayAccessed>26</b:DayAccessed>
    <b:URL>https://www.toyota.es/coches/hilux/index.json</b:URL>
    <b:RefOrder>5</b:RefOrder>
  </b:Source>
  <b:Source>
    <b:Tag>Pat20</b:Tag>
    <b:SourceType>JournalArticle</b:SourceType>
    <b:Guid>{7F0F5639-DDC6-4C48-9F2A-13567361DDB0}</b:Guid>
    <b:Author>
      <b:Author>
        <b:NameList>
          <b:Person>
            <b:Last>Pati</b:Last>
            <b:First>P.R.</b:First>
          </b:Person>
        </b:NameList>
      </b:Author>
    </b:Author>
    <b:Title>Prediction and wear performance of red brick dust filled glass–epoxy composites using neural networks</b:Title>
    <b:JournalName>Nature</b:JournalName>
    <b:Year>2020</b:Year>
    <b:Pages>253-260</b:Pages>
    <b:RefOrder>6</b:RefOrder>
  </b:Source>
  <b:Source>
    <b:Tag>Zac</b:Tag>
    <b:SourceType>JournalArticle</b:SourceType>
    <b:Guid>{719EDC1F-B635-4C5E-AA55-6A440352D9F3}</b:Guid>
    <b:Title>Using financial statements analysis as a tool on identifying the solvency of smes and its relation with forensic accounting; evidence from albania</b:Title>
    <b:JournalName>Revista de Gestao Social e Ambiental</b:JournalName>
    <b:Author>
      <b:Author>
        <b:NameList>
          <b:Person>
            <b:Last>Zacaj</b:Last>
            <b:First>Edinson</b:First>
          </b:Person>
          <b:Person>
            <b:Last>Miti</b:Last>
            <b:First>Mirela</b:First>
          </b:Person>
        </b:NameList>
      </b:Author>
    </b:Author>
    <b:URL>https://www.scopus.com/pages/publications/85197950150</b:URL>
    <b:DOI>10.24857/rgsa.v18n5-144</b:DOI>
    <b:Year>2020</b:Year>
    <b:RefOrder>1</b:RefOrder>
  </b:Source>
  <b:Source>
    <b:Tag>Dos</b:Tag>
    <b:SourceType>JournalArticle</b:SourceType>
    <b:Guid>{F92A1A66-6BE2-4F1C-8B75-1877BB0B465B}</b:Guid>
    <b:Author>
      <b:Author>
        <b:NameList>
          <b:Person>
            <b:Last>Dost</b:Last>
            <b:First>Baktas</b:First>
          </b:Person>
          <b:Person>
            <b:Last>Jan</b:Last>
            <b:First>Papula</b:First>
          </b:Person>
        </b:NameList>
      </b:Author>
    </b:Author>
    <b:Title>Controlling as a method for ensuring the financial stability of a family business</b:Title>
    <b:Year>2025</b:Year>
    <b:URL>https://www.scopus.com/pages/publications/105010018108</b:URL>
    <b:DOI>10.24857/rgsa.v18n5-144</b:DOI>
    <b:RefOrder>2</b:RefOrder>
  </b:Source>
  <b:Source>
    <b:Tag>Mol</b:Tag>
    <b:SourceType>JournalArticle</b:SourceType>
    <b:Guid>{413E81E0-4CA0-4399-ACE4-29DBED2CDCF6}</b:Guid>
    <b:Author>
      <b:Author>
        <b:NameList>
          <b:Person>
            <b:Last>C</b:Last>
            <b:First>Molina</b:First>
            <b:Middle>JJaramillo-Calle</b:Middle>
          </b:Person>
          <b:Person>
            <b:Last>PFernando</b:Last>
            <b:First>CArias</b:First>
          </b:Person>
        </b:NameList>
      </b:Author>
    </b:Author>
    <b:Title>Financial Statement Analysis as a computer-based approach to decision making in times of pandemics; Análisis de Estados Financiero, como enfoque en la toma de decisiones, en épocas de pandemia,</b:Title>
    <b:Year>2021</b:Year>
    <b:JournalName>RISTI - Revista Iberica de Sistemas e Tecnologias de Informacao</b:JournalName>
    <b:URL>https://www.scopus.com/pages/publications/85129344463</b:URL>
    <b:RefOrder>3</b:RefOrder>
  </b:Source>
  <b:Source>
    <b:Tag>Ins23</b:Tag>
    <b:SourceType>InternetSite</b:SourceType>
    <b:Guid>{48D7380C-C33A-4DCA-8820-A2CFEFE5CDC9}</b:Guid>
    <b:Title>IEstadísticas de las micro y pequeñas empresas. Lima: INEI.</b:Title>
    <b:Year>2023</b:Year>
    <b:Author>
      <b:Author>
        <b:NameList>
          <b:Person>
            <b:Last>INEI</b:Last>
          </b:Person>
        </b:NameList>
      </b:Author>
    </b:Author>
    <b:RefOrder>4</b:RefOrder>
  </b:Source>
</b:Sources>
</file>

<file path=customXml/itemProps1.xml><?xml version="1.0" encoding="utf-8"?>
<ds:datastoreItem xmlns:ds="http://schemas.openxmlformats.org/officeDocument/2006/customXml" ds:itemID="{9D286253-984D-40B3-9484-455DCEBC5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2f378b-8b66-4503-882d-77ca42baa5d6"/>
    <ds:schemaRef ds:uri="cdceb881-2e20-4669-ae24-3afc87041b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75CD9D-039D-45DC-BEA5-07C4279C40A8}">
  <ds:schemaRefs>
    <ds:schemaRef ds:uri="http://schemas.microsoft.com/sharepoint/v3/contenttype/forms"/>
  </ds:schemaRefs>
</ds:datastoreItem>
</file>

<file path=customXml/itemProps3.xml><?xml version="1.0" encoding="utf-8"?>
<ds:datastoreItem xmlns:ds="http://schemas.openxmlformats.org/officeDocument/2006/customXml" ds:itemID="{D4B3F64E-1677-4B0E-9DB3-E441A68206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8501C8E-A6CC-4E1C-ACAA-F81E1DA57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12</Pages>
  <Words>2991</Words>
  <Characters>18379</Characters>
  <CharactersWithSpaces>21245</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2025-09-16T12:10:00Z</dcterms:created>
  <dc:creator>Elizabeth Dominguez Peche</dc:creator>
  <dc:description/>
  <dc:language>en-US</dc:language>
  <cp:lastModifiedBy/>
  <cp:lastPrinted>2025-09-16T08:03:00Z</cp:lastPrinted>
  <dcterms:modified xsi:type="dcterms:W3CDTF">2025-09-16T08:04:07Z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0x01010009528EC3B6F8E24EB3CF0F491F402802</vt:lpwstr>
  </property>
</Properties>
</file>