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21:59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p>
      <w:pPr>
        <w:pStyle w:val="Heading1"/>
      </w:pPr>
      <w:r>
        <w:t>Analítica premium</w:t>
      </w:r>
    </w:p>
    <w:p>
      <w:r>
        <w:t>No hay resultados premium publicables para este estudio.</w:t>
      </w:r>
    </w:p>
    <w:p>
      <w:pPr>
        <w:pStyle w:val="Heading1"/>
      </w:pPr>
      <w:r>
        <w:t>Plan de acción y seguimiento</w:t>
      </w:r>
    </w:p>
    <w:p>
      <w:r>
        <w:t>No hay planes de acción registrados para este estudio.</w:t>
      </w:r>
    </w:p>
    <w:p>
      <w:pPr>
        <w:pStyle w:val="Heading1"/>
      </w:pPr>
      <w:r>
        <w:t>Anexo de trazabilidad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 del instrumento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Hash del manifiesto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Linaje</w:t>
            </w:r>
          </w:p>
        </w:tc>
        <w:tc>
          <w:tcPr>
            <w:tcW w:type="dxa" w:w="4320"/>
          </w:tcPr>
          <w:p>
            <w:r>
              <w:t>responses.raw_code → response_scores.risk_value → response_scores.score_0_100 → construct_scores.score_0_100 → construct_results → report_run</w:t>
            </w:r>
          </w:p>
        </w:tc>
      </w:tr>
      <w:tr>
        <w:tc>
          <w:tcPr>
            <w:tcW w:type="dxa" w:w="4320"/>
          </w:tcPr>
          <w:p>
            <w: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Registros individuales incluidos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