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Medición de prueba 2026-II · Planta Norte (sintético)</w:t>
      </w:r>
    </w:p>
    <w:p>
      <w:pPr>
        <w:jc w:val="center"/>
      </w:pPr>
      <w:r>
        <w:rPr>
          <w:color w:val="6B7280"/>
          <w:sz w:val="26"/>
        </w:rPr>
        <w:t>Reporte de resultados</w:t>
      </w:r>
    </w:p>
    <w:p>
      <w:pPr>
        <w:jc w:val="center"/>
      </w:pPr>
      <w:r>
        <w:rPr>
          <w:color w:val="6B7280"/>
          <w:sz w:val="20"/>
        </w:rPr>
        <w:t>Generado el 13/08/2026 23:10</w:t>
      </w:r>
    </w:p>
    <w:p>
      <w:r>
        <w:br w:type="page"/>
      </w:r>
    </w:p>
    <w:p>
      <w:pPr>
        <w:pStyle w:val="Heading1"/>
      </w:pPr>
      <w:r>
        <w:t>Ficha técnica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Estudio</w:t>
            </w:r>
          </w:p>
        </w:tc>
        <w:tc>
          <w:tcPr>
            <w:tcW w:type="dxa" w:w="4320"/>
          </w:tcPr>
          <w:p>
            <w:r>
              <w:t>Medición de prueba 2026-II · Planta Norte (sintético)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Tipo de estudio</w:t>
            </w:r>
          </w:p>
        </w:tc>
        <w:tc>
          <w:tcPr>
            <w:tcW w:type="dxa" w:w="4320"/>
          </w:tcPr>
          <w:p>
            <w:r>
              <w:t>CENSOPAS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Estado</w:t>
            </w:r>
          </w:p>
        </w:tc>
        <w:tc>
          <w:tcPr>
            <w:tcW w:type="dxa" w:w="4320"/>
          </w:tcPr>
          <w:p>
            <w:r>
              <w:t>OPEN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Respuestas completadas</w:t>
            </w:r>
          </w:p>
        </w:tc>
        <w:tc>
          <w:tcPr>
            <w:tcW w:type="dxa" w:w="4320"/>
          </w:tcPr>
          <w:p>
            <w:r>
              <w:t>100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 mínimo publicable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Baremo aplicado</w:t>
            </w:r>
          </w:p>
        </w:tc>
        <w:tc>
          <w:tcPr>
            <w:tcW w:type="dxa" w:w="4320"/>
          </w:tcPr>
          <w:p>
            <w:r>
              <w:t>Baremo provisional Colmena (terciles muestrales)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Versión de algoritmo</w:t>
            </w:r>
          </w:p>
        </w:tc>
        <w:tc>
          <w:tcPr>
            <w:tcW w:type="dxa" w:w="4320"/>
          </w:tcPr>
          <w:p>
            <w:r>
              <w:t>likert-baremos-v1</w:t>
            </w:r>
          </w:p>
        </w:tc>
      </w:tr>
    </w:tbl>
    <w:p/>
    <w:p>
      <w:pPr>
        <w:pStyle w:val="Heading1"/>
      </w:pPr>
      <w:r>
        <w:t>Resultados de baremación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Dimensión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N válido</w:t>
            </w:r>
          </w:p>
        </w:tc>
        <w:tc>
          <w:tcPr>
            <w:tcW w:type="dxa" w:w="1080"/>
          </w:tcPr>
          <w:p>
            <w:r>
              <w:rPr>
                <w:b/>
              </w:rPr>
              <w:t>Media</w:t>
            </w:r>
          </w:p>
        </w:tc>
        <w:tc>
          <w:tcPr>
            <w:tcW w:type="dxa" w:w="1080"/>
          </w:tcPr>
          <w:p>
            <w:r>
              <w:rPr>
                <w:b/>
              </w:rPr>
              <w:t>Mediana</w:t>
            </w:r>
          </w:p>
        </w:tc>
        <w:tc>
          <w:tcPr>
            <w:tcW w:type="dxa" w:w="1080"/>
          </w:tcPr>
          <w:p>
            <w:r>
              <w:rPr>
                <w:b/>
              </w:rPr>
              <w:t>Prioridad</w:t>
            </w:r>
          </w:p>
        </w:tc>
        <w:tc>
          <w:tcPr>
            <w:tcW w:type="dxa" w:w="1080"/>
          </w:tcPr>
          <w:p>
            <w:r>
              <w:rPr>
                <w:b/>
              </w:rPr>
              <w:t>Favorable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Intermedio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Desfavorable</w:t>
            </w:r>
          </w:p>
        </w:tc>
      </w:tr>
      <w:tr>
        <w:tc>
          <w:tcPr>
            <w:tcW w:type="dxa" w:w="1080"/>
          </w:tcPr>
          <w:p>
            <w:r>
              <w:t>D6 · Capital social</w:t>
            </w:r>
          </w:p>
        </w:tc>
        <w:tc>
          <w:tcPr>
            <w:tcW w:type="dxa" w:w="1080"/>
          </w:tcPr>
          <w:p>
            <w:r>
              <w:t>100</w:t>
            </w:r>
          </w:p>
        </w:tc>
        <w:tc>
          <w:tcPr>
            <w:tcW w:type="dxa" w:w="1080"/>
          </w:tcPr>
          <w:p>
            <w:r>
              <w:t>35.15</w:t>
            </w:r>
          </w:p>
        </w:tc>
        <w:tc>
          <w:tcPr>
            <w:tcW w:type="dxa" w:w="1080"/>
          </w:tcPr>
          <w:p>
            <w:r>
              <w:t>34.38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  <w:shd w:val="clear" w:color="auto" w:fill="22c55e"/>
          </w:tcPr>
          <w:p>
            <w:r>
              <w:t>23.0%</w:t>
            </w:r>
          </w:p>
        </w:tc>
        <w:tc>
          <w:tcPr>
            <w:tcW w:type="dxa" w:w="1080"/>
            <w:shd w:val="clear" w:color="auto" w:fill="f59e0b"/>
          </w:tcPr>
          <w:p>
            <w:r>
              <w:t>34.0%</w:t>
            </w:r>
          </w:p>
        </w:tc>
        <w:tc>
          <w:tcPr>
            <w:tcW w:type="dxa" w:w="1080"/>
            <w:shd w:val="clear" w:color="auto" w:fill="ef4444"/>
          </w:tcPr>
          <w:p>
            <w:r>
              <w:t>43.0%</w:t>
            </w:r>
          </w:p>
        </w:tc>
      </w:tr>
      <w:tr>
        <w:tc>
          <w:tcPr>
            <w:tcW w:type="dxa" w:w="1080"/>
          </w:tcPr>
          <w:p>
            <w:r>
              <w:t>D3 · Control sobre el trabajo</w:t>
            </w:r>
          </w:p>
        </w:tc>
        <w:tc>
          <w:tcPr>
            <w:tcW w:type="dxa" w:w="1080"/>
          </w:tcPr>
          <w:p>
            <w:r>
              <w:t>100</w:t>
            </w:r>
          </w:p>
        </w:tc>
        <w:tc>
          <w:tcPr>
            <w:tcW w:type="dxa" w:w="1080"/>
          </w:tcPr>
          <w:p>
            <w:r>
              <w:t>33.58</w:t>
            </w:r>
          </w:p>
        </w:tc>
        <w:tc>
          <w:tcPr>
            <w:tcW w:type="dxa" w:w="1080"/>
          </w:tcPr>
          <w:p>
            <w:r>
              <w:t>30.00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  <w:shd w:val="clear" w:color="auto" w:fill="22c55e"/>
          </w:tcPr>
          <w:p>
            <w:r>
              <w:t>24.0%</w:t>
            </w:r>
          </w:p>
        </w:tc>
        <w:tc>
          <w:tcPr>
            <w:tcW w:type="dxa" w:w="1080"/>
            <w:shd w:val="clear" w:color="auto" w:fill="f59e0b"/>
          </w:tcPr>
          <w:p>
            <w:r>
              <w:t>35.0%</w:t>
            </w:r>
          </w:p>
        </w:tc>
        <w:tc>
          <w:tcPr>
            <w:tcW w:type="dxa" w:w="1080"/>
            <w:shd w:val="clear" w:color="auto" w:fill="ef4444"/>
          </w:tcPr>
          <w:p>
            <w:r>
              <w:t>41.0%</w:t>
            </w:r>
          </w:p>
        </w:tc>
      </w:tr>
      <w:tr>
        <w:tc>
          <w:tcPr>
            <w:tcW w:type="dxa" w:w="1080"/>
          </w:tcPr>
          <w:p>
            <w:r>
              <w:t>D2 · Conflicto trabajo-familia</w:t>
            </w:r>
          </w:p>
        </w:tc>
        <w:tc>
          <w:tcPr>
            <w:tcW w:type="dxa" w:w="1080"/>
          </w:tcPr>
          <w:p>
            <w:r>
              <w:t>100</w:t>
            </w:r>
          </w:p>
        </w:tc>
        <w:tc>
          <w:tcPr>
            <w:tcW w:type="dxa" w:w="1080"/>
          </w:tcPr>
          <w:p>
            <w:r>
              <w:t>56.62</w:t>
            </w:r>
          </w:p>
        </w:tc>
        <w:tc>
          <w:tcPr>
            <w:tcW w:type="dxa" w:w="1080"/>
          </w:tcPr>
          <w:p>
            <w:r>
              <w:t>54.17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  <w:shd w:val="clear" w:color="auto" w:fill="22c55e"/>
          </w:tcPr>
          <w:p>
            <w:r>
              <w:t>32.0%</w:t>
            </w:r>
          </w:p>
        </w:tc>
        <w:tc>
          <w:tcPr>
            <w:tcW w:type="dxa" w:w="1080"/>
            <w:shd w:val="clear" w:color="auto" w:fill="f59e0b"/>
          </w:tcPr>
          <w:p>
            <w:r>
              <w:t>30.0%</w:t>
            </w:r>
          </w:p>
        </w:tc>
        <w:tc>
          <w:tcPr>
            <w:tcW w:type="dxa" w:w="1080"/>
            <w:shd w:val="clear" w:color="auto" w:fill="ef4444"/>
          </w:tcPr>
          <w:p>
            <w:r>
              <w:t>38.0%</w:t>
            </w:r>
          </w:p>
        </w:tc>
      </w:tr>
      <w:tr>
        <w:tc>
          <w:tcPr>
            <w:tcW w:type="dxa" w:w="1080"/>
          </w:tcPr>
          <w:p>
            <w:r>
              <w:t>D1 · Exigencias psicológicas en el trabajo</w:t>
            </w:r>
          </w:p>
        </w:tc>
        <w:tc>
          <w:tcPr>
            <w:tcW w:type="dxa" w:w="1080"/>
          </w:tcPr>
          <w:p>
            <w:r>
              <w:t>100</w:t>
            </w:r>
          </w:p>
        </w:tc>
        <w:tc>
          <w:tcPr>
            <w:tcW w:type="dxa" w:w="1080"/>
          </w:tcPr>
          <w:p>
            <w:r>
              <w:t>68.95</w:t>
            </w:r>
          </w:p>
        </w:tc>
        <w:tc>
          <w:tcPr>
            <w:tcW w:type="dxa" w:w="1080"/>
          </w:tcPr>
          <w:p>
            <w:r>
              <w:t>75.00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  <w:shd w:val="clear" w:color="auto" w:fill="22c55e"/>
          </w:tcPr>
          <w:p>
            <w:r>
              <w:t>32.0%</w:t>
            </w:r>
          </w:p>
        </w:tc>
        <w:tc>
          <w:tcPr>
            <w:tcW w:type="dxa" w:w="1080"/>
            <w:shd w:val="clear" w:color="auto" w:fill="f59e0b"/>
          </w:tcPr>
          <w:p>
            <w:r>
              <w:t>34.0%</w:t>
            </w:r>
          </w:p>
        </w:tc>
        <w:tc>
          <w:tcPr>
            <w:tcW w:type="dxa" w:w="1080"/>
            <w:shd w:val="clear" w:color="auto" w:fill="ef4444"/>
          </w:tcPr>
          <w:p>
            <w:r>
              <w:t>34.0%</w:t>
            </w:r>
          </w:p>
        </w:tc>
      </w:tr>
      <w:tr>
        <w:tc>
          <w:tcPr>
            <w:tcW w:type="dxa" w:w="1080"/>
          </w:tcPr>
          <w:p>
            <w:r>
              <w:t>D4 · Apoyo social y calidad de liderazgo</w:t>
            </w:r>
          </w:p>
        </w:tc>
        <w:tc>
          <w:tcPr>
            <w:tcW w:type="dxa" w:w="1080"/>
          </w:tcPr>
          <w:p>
            <w:r>
              <w:t>100</w:t>
            </w:r>
          </w:p>
        </w:tc>
        <w:tc>
          <w:tcPr>
            <w:tcW w:type="dxa" w:w="1080"/>
          </w:tcPr>
          <w:p>
            <w:r>
              <w:t>51.27</w:t>
            </w:r>
          </w:p>
        </w:tc>
        <w:tc>
          <w:tcPr>
            <w:tcW w:type="dxa" w:w="1080"/>
          </w:tcPr>
          <w:p>
            <w:r>
              <w:t>50.00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  <w:shd w:val="clear" w:color="auto" w:fill="22c55e"/>
          </w:tcPr>
          <w:p>
            <w:r>
              <w:t>30.0%</w:t>
            </w:r>
          </w:p>
        </w:tc>
        <w:tc>
          <w:tcPr>
            <w:tcW w:type="dxa" w:w="1080"/>
            <w:shd w:val="clear" w:color="auto" w:fill="f59e0b"/>
          </w:tcPr>
          <w:p>
            <w:r>
              <w:t>36.0%</w:t>
            </w:r>
          </w:p>
        </w:tc>
        <w:tc>
          <w:tcPr>
            <w:tcW w:type="dxa" w:w="1080"/>
            <w:shd w:val="clear" w:color="auto" w:fill="ef4444"/>
          </w:tcPr>
          <w:p>
            <w:r>
              <w:t>34.0%</w:t>
            </w:r>
          </w:p>
        </w:tc>
      </w:tr>
      <w:tr>
        <w:tc>
          <w:tcPr>
            <w:tcW w:type="dxa" w:w="1080"/>
          </w:tcPr>
          <w:p>
            <w:r>
              <w:t>D5 · Compensaciones del trabajo</w:t>
            </w:r>
          </w:p>
        </w:tc>
        <w:tc>
          <w:tcPr>
            <w:tcW w:type="dxa" w:w="1080"/>
          </w:tcPr>
          <w:p>
            <w:r>
              <w:t>100</w:t>
            </w:r>
          </w:p>
        </w:tc>
        <w:tc>
          <w:tcPr>
            <w:tcW w:type="dxa" w:w="1080"/>
          </w:tcPr>
          <w:p>
            <w:r>
              <w:t>54.33</w:t>
            </w:r>
          </w:p>
        </w:tc>
        <w:tc>
          <w:tcPr>
            <w:tcW w:type="dxa" w:w="1080"/>
          </w:tcPr>
          <w:p>
            <w:r>
              <w:t>50.00</w:t>
            </w:r>
          </w:p>
        </w:tc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  <w:shd w:val="clear" w:color="auto" w:fill="22c55e"/>
          </w:tcPr>
          <w:p>
            <w:r>
              <w:t>28.0%</w:t>
            </w:r>
          </w:p>
        </w:tc>
        <w:tc>
          <w:tcPr>
            <w:tcW w:type="dxa" w:w="1080"/>
            <w:shd w:val="clear" w:color="auto" w:fill="f59e0b"/>
          </w:tcPr>
          <w:p>
            <w:r>
              <w:t>38.0%</w:t>
            </w:r>
          </w:p>
        </w:tc>
        <w:tc>
          <w:tcPr>
            <w:tcW w:type="dxa" w:w="1080"/>
            <w:shd w:val="clear" w:color="auto" w:fill="ef4444"/>
          </w:tcPr>
          <w:p>
            <w:r>
              <w:t>34.0%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6857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685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34285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4285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