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Estudio BSC</w:t>
      </w:r>
    </w:p>
    <w:p>
      <w:pPr>
        <w:jc w:val="center"/>
      </w:pPr>
      <w:r>
        <w:rPr>
          <w:color w:val="6B7280"/>
          <w:sz w:val="26"/>
        </w:rPr>
        <w:t>Reporte de resultados</w:t>
      </w:r>
    </w:p>
    <w:p>
      <w:pPr>
        <w:jc w:val="center"/>
      </w:pPr>
      <w:r>
        <w:rPr>
          <w:color w:val="6B7280"/>
          <w:sz w:val="20"/>
        </w:rPr>
        <w:t>Generado el 14/08/2026 16:50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Estudio BSC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ACADEMIC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p>
      <w:r>
        <w:t>Este estudio todavía no tiene resultados de baremación calculados (corre el scoring del estudio antes de generar el reporte).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