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Estudio BSC</w:t>
      </w:r>
    </w:p>
    <w:p>
      <w:pPr>
        <w:jc w:val="center"/>
      </w:pPr>
      <w:r>
        <w:rPr>
          <w:color w:val="6B7280"/>
          <w:sz w:val="26"/>
        </w:rPr>
        <w:t>Reporte provisional — sin equivalencia oficial</w:t>
      </w:r>
    </w:p>
    <w:p>
      <w:pPr>
        <w:jc w:val="center"/>
      </w:pPr>
      <w:r>
        <w:rPr>
          <w:color w:val="6B7280"/>
          <w:sz w:val="20"/>
        </w:rPr>
        <w:t>Generado el 14/08/2026 20:09</w:t>
      </w:r>
    </w:p>
    <w:p>
      <w:r>
        <w:br w:type="page"/>
      </w:r>
    </w:p>
    <w:p>
      <w:pPr>
        <w:pStyle w:val="Heading1"/>
      </w:pPr>
      <w:r>
        <w:t>Estado metodológico</w:t>
      </w:r>
    </w:p>
    <w:p>
      <w:r>
        <w:t>Versión: UNKNOWN. Scoring: Bloqueado. Equivalencia oficial: No habilitada.</w:t>
      </w:r>
    </w:p>
    <w:p>
      <w:r>
        <w:t>Bloqueos: UNSUPPORTED_CENSOPAS_VERSION</w:t>
      </w:r>
    </w:p>
    <w:p>
      <w:r>
        <w:t>Advertencias: OFFICIAL_BAREM_NOT_AVAILABLE, OFFICIAL_EQUIVALENCE_DISABLED</w:t>
      </w:r>
    </w:p>
    <w:p>
      <w:r>
        <w:br w:type="page"/>
      </w:r>
    </w:p>
    <w:p>
      <w:pPr>
        <w:pStyle w:val="Heading1"/>
      </w:pPr>
      <w:r>
        <w:t>Ficha técnica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Estudio</w:t>
            </w:r>
          </w:p>
        </w:tc>
        <w:tc>
          <w:tcPr>
            <w:tcW w:type="dxa" w:w="4320"/>
          </w:tcPr>
          <w:p>
            <w:r>
              <w:t>Estudio BSC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 de estudio</w:t>
            </w:r>
          </w:p>
        </w:tc>
        <w:tc>
          <w:tcPr>
            <w:tcW w:type="dxa" w:w="4320"/>
          </w:tcPr>
          <w:p>
            <w:r>
              <w:t>ACADEMIC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Respuestas completadas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1"/>
      </w:pPr>
      <w:r>
        <w:t>Resultados de baremación</w:t>
      </w:r>
    </w:p>
    <w:p>
      <w:r>
        <w:t>Este estudio todavía no tiene resultados de baremación calculados (corre el scoring del estudio antes de generar el reporte).</w:t>
      </w:r>
    </w:p>
    <w:p>
      <w:pPr>
        <w:pStyle w:val="Heading1"/>
      </w:pPr>
      <w:r>
        <w:t>Analítica premium</w:t>
      </w:r>
    </w:p>
    <w:p>
      <w:r>
        <w:t>No hay resultados premium publicables para este estudio.</w:t>
      </w:r>
    </w:p>
    <w:p>
      <w:pPr>
        <w:pStyle w:val="Heading1"/>
      </w:pPr>
      <w:r>
        <w:t>Plan de acción y seguimiento</w:t>
      </w:r>
    </w:p>
    <w:p>
      <w:r>
        <w:t>No hay planes de acción registrados para este estudio.</w:t>
      </w:r>
    </w:p>
    <w:p>
      <w:pPr>
        <w:pStyle w:val="Heading1"/>
      </w:pPr>
      <w:r>
        <w:t>Anexo de trazabilidad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Versión del instrumento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t>Hash del manifiesto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Linaje</w:t>
            </w:r>
          </w:p>
        </w:tc>
        <w:tc>
          <w:tcPr>
            <w:tcW w:type="dxa" w:w="4320"/>
          </w:tcPr>
          <w:p>
            <w:r>
              <w:t>responses.raw_code → response_scores.risk_value → response_scores.score_0_100 → construct_scores.score_0_100 → construct_results → report_run</w:t>
            </w:r>
          </w:p>
        </w:tc>
      </w:tr>
      <w:tr>
        <w:tc>
          <w:tcPr>
            <w:tcW w:type="dxa" w:w="4320"/>
          </w:tcPr>
          <w:p>
            <w: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Registros individuales incluidos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