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Estado metodológico</w:t>
      </w:r>
    </w:p>
    <w:p>
      <w:r>
        <w:t>Versión: UNKNOWN. Scoring: Bloqueado. Equivalencia oficial: No habilitada.</w:t>
      </w:r>
    </w:p>
    <w:p>
      <w:r>
        <w:t>Bloqueos: UNSUPPORTED_CENSOPAS_VERSION</w:t>
      </w:r>
    </w:p>
    <w:p>
      <w:r>
        <w:t>Advertencias: OFFICIAL_BAREM_NOT_AVAILABLE, OFFICIAL_EQUIVALENCE_DISABLED</w:t>
      </w:r>
    </w:p>
    <w:p>
      <w:r>
        <w:br w:type="page"/>
      </w:r>
    </w:p>
    <w:p>
      <w:pPr>
        <w:pStyle w:val="Heading1"/>
      </w:pPr>
      <w:r>
        <w:t>Analítica premium</w:t>
      </w:r>
    </w:p>
    <w:p>
      <w:r>
        <w:t>1 resultados publicables; 1 con p ajustado o p menor a 0.05. Métodos: SPEARMAN.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Código</w:t>
            </w:r>
          </w:p>
        </w:tc>
        <w:tc>
          <w:tcPr>
            <w:tcW w:type="dxa" w:w="1234"/>
          </w:tcPr>
          <w:p>
            <w:r>
              <w:t>Método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Estadístico</w:t>
            </w:r>
          </w:p>
        </w:tc>
        <w:tc>
          <w:tcPr>
            <w:tcW w:type="dxa" w:w="1234"/>
          </w:tcPr>
          <w:p>
            <w:r>
              <w:t>p ajustado</w:t>
            </w:r>
          </w:p>
        </w:tc>
        <w:tc>
          <w:tcPr>
            <w:tcW w:type="dxa" w:w="1234"/>
          </w:tcPr>
          <w:p>
            <w:r>
              <w:t>Efecto</w:t>
            </w:r>
          </w:p>
        </w:tc>
        <w:tc>
          <w:tcPr>
            <w:tcW w:type="dxa" w:w="1234"/>
          </w:tcPr>
          <w:p>
            <w:r>
              <w:t>IC</w:t>
            </w:r>
          </w:p>
        </w:tc>
      </w:tr>
      <w:tr>
        <w:tc>
          <w:tcPr>
            <w:tcW w:type="dxa" w:w="1234"/>
          </w:tcPr>
          <w:p>
            <w:r>
              <w:t>p1_x_p1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1.00 · LARGE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</w:tbl>
    <w:p>
      <w:r>
        <w:t>Limitaciones: Los resultados premium complementan y no modifican el semáforo CENSOPAS. Las asociaciones no demuestran causalidad. K-means es exploratorio y no publica asignaciones individuales. La regresión no debe utilizarse para decisiones laborales individuales.</w:t>
      </w:r>
    </w:p>
    <w:p>
      <w:pPr>
        <w:pStyle w:val="Heading1"/>
      </w:pPr>
      <w:r>
        <w:t>Plan de acción y seguimiento</w:t>
      </w:r>
    </w:p>
    <w:p>
      <w:pPr>
        <w:pStyle w:val="Heading2"/>
      </w:pPr>
      <w:r>
        <w:t>Plan preventivo CENSOPAS</w:t>
      </w:r>
    </w:p>
    <w:p>
      <w:r>
        <w:t>Estado: DRAFT. Pendiente de aprobación.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Constructo</w:t>
            </w:r>
          </w:p>
        </w:tc>
        <w:tc>
          <w:tcPr>
            <w:tcW w:type="dxa" w:w="1440"/>
          </w:tcPr>
          <w:p>
            <w:r>
              <w:t>Hallazgo y acción</w:t>
            </w:r>
          </w:p>
        </w:tc>
        <w:tc>
          <w:tcPr>
            <w:tcW w:type="dxa" w:w="1440"/>
          </w:tcPr>
          <w:p>
            <w:r>
              <w:t>Responsable</w:t>
            </w:r>
          </w:p>
        </w:tc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Prioridad preventiva</w:t>
              <w:br/>
              <w:t>Implementar pausas y seguimiento mensual.</w:t>
            </w:r>
          </w:p>
        </w:tc>
        <w:tc>
          <w:tcPr>
            <w:tcW w:type="dxa" w:w="1440"/>
          </w:tcPr>
          <w:p>
            <w:r>
              <w:t>Comité SST</w:t>
            </w:r>
          </w:p>
        </w:tc>
        <w:tc>
          <w:tcPr>
            <w:tcW w:type="dxa" w:w="1440"/>
          </w:tcPr>
          <w:p>
            <w:r>
              <w:t>2026-12-01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</w:tr>
    </w:tbl>
    <w:p>
      <w:r>
        <w:t>KPI KPI-01: Cumplimiento de pausas · línea base 40.00 · meta 90.00 · último valor 75.0.</w:t>
      </w:r>
    </w:p>
    <w:p/>
    <w:p>
      <w:pPr>
        <w:pStyle w:val="Heading1"/>
      </w:pPr>
      <w:r>
        <w:t>Anexo de trazabilidad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Versión del instrumento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t>Hash del manifiesto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Linaje</w:t>
            </w:r>
          </w:p>
        </w:tc>
        <w:tc>
          <w:tcPr>
            <w:tcW w:type="dxa" w:w="4320"/>
          </w:tcPr>
          <w:p>
            <w:r>
              <w:t>responses.raw_code → response_scores.risk_value → response_scores.score_0_100 → construct_scores.score_0_100 → construct_results → report_run</w:t>
            </w:r>
          </w:p>
        </w:tc>
      </w:tr>
      <w:tr>
        <w:tc>
          <w:tcPr>
            <w:tcW w:type="dxa" w:w="4320"/>
          </w:tcPr>
          <w:p>
            <w: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Registros individuales incluidos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>
      <w:pPr>
        <w:pStyle w:val="Heading2"/>
      </w:pPr>
      <w:r>
        <w:t>Ejecuciones analíticas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Motor</w:t>
            </w:r>
          </w:p>
        </w:tc>
        <w:tc>
          <w:tcPr>
            <w:tcW w:type="dxa" w:w="1728"/>
          </w:tcPr>
          <w:p>
            <w:r>
              <w:t>Algoritmo</w:t>
            </w:r>
          </w:p>
        </w:tc>
        <w:tc>
          <w:tcPr>
            <w:tcW w:type="dxa" w:w="1728"/>
          </w:tcPr>
          <w:p>
            <w:r>
              <w:t>Hash de entrada</w:t>
            </w:r>
          </w:p>
        </w:tc>
      </w:tr>
      <w:tr>
        <w:tc>
          <w:tcPr>
            <w:tcW w:type="dxa" w:w="1728"/>
          </w:tcPr>
          <w:p>
            <w:r>
              <w:t>SPEARMAN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