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20:08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p>
      <w:pPr>
        <w:pStyle w:val="Heading1"/>
      </w:pPr>
      <w:r>
        <w:t>Analítica premium</w:t>
      </w:r>
    </w:p>
    <w:p>
      <w:r>
        <w:t>No hay resultados premium publicables para este estudio.</w:t>
      </w:r>
    </w:p>
    <w:p>
      <w:pPr>
        <w:pStyle w:val="Heading1"/>
      </w:pPr>
      <w:r>
        <w:t>Plan de acción y seguimiento</w:t>
      </w:r>
    </w:p>
    <w:p>
      <w:r>
        <w:t>No hay planes de acción registrados para este estudio.</w:t>
      </w:r>
    </w:p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