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Exploratory Data Analysis: E-Commerce Orders</w:t>
      </w:r>
    </w:p>
    <w:p>
      <w:pPr>
        <w:spacing w:after="200"/>
      </w:pPr>
      <w:r>
        <w:rPr>
          <w:rFonts w:ascii="Calibri" w:cs="Calibri" w:eastAsia="Calibri" w:hAnsi="Calibri"/>
          <w:color w:val="595959"/>
          <w:sz w:val="20"/>
          <w:szCs w:val="20"/>
        </w:rPr>
        <w:t xml:space="preserve">Decode Labs, Project 2  |  Prepared by Blossom Ezenwaka</w:t>
      </w:r>
    </w:p>
    <w:p>
      <w:pPr>
        <w:pStyle w:val="Heading1"/>
        <w:spacing w:after="100" w:before="240"/>
      </w:pPr>
      <w:r>
        <w:rPr>
          <w:rFonts w:ascii="Calibri" w:cs="Calibri" w:eastAsia="Calibri" w:hAnsi="Calibri"/>
          <w:b/>
          <w:bCs/>
          <w:color w:val="1F3864"/>
          <w:sz w:val="26"/>
          <w:szCs w:val="26"/>
        </w:rPr>
        <w:t xml:space="preserve">1. Purpose and Data</w:t>
      </w:r>
    </w:p>
    <w:p>
      <w:pPr>
        <w:spacing w:after="120" w:line="276"/>
      </w:pPr>
      <w:r>
        <w:rPr>
          <w:rFonts w:ascii="Calibri" w:cs="Calibri" w:eastAsia="Calibri" w:hAnsi="Calibri"/>
          <w:sz w:val="22"/>
          <w:szCs w:val="22"/>
        </w:rPr>
        <w:t xml:space="preserve">This analysis explores 1,200 e-commerce orders placed between 1 January 2023 and 30 June 2025 (1,189 unique customers, seven products). The goal is to describe the data through basic statistics, identify trends and outliers, and summarise the main observations. The analysis uses the cleaned dataset from Task 1, and all figures below come from the accompanying Excel workbook.</w:t>
      </w:r>
    </w:p>
    <w:p>
      <w:pPr>
        <w:pStyle w:val="Heading1"/>
        <w:spacing w:after="100" w:before="240"/>
      </w:pPr>
      <w:r>
        <w:rPr>
          <w:rFonts w:ascii="Calibri" w:cs="Calibri" w:eastAsia="Calibri" w:hAnsi="Calibri"/>
          <w:b/>
          <w:bCs/>
          <w:color w:val="1F3864"/>
          <w:sz w:val="26"/>
          <w:szCs w:val="26"/>
        </w:rPr>
        <w:t xml:space="preserve">2. Method</w:t>
      </w:r>
    </w:p>
    <w:p>
      <w:pPr>
        <w:spacing w:after="120" w:line="276"/>
      </w:pPr>
      <w:r>
        <w:rPr>
          <w:rFonts w:ascii="Calibri" w:cs="Calibri" w:eastAsia="Calibri" w:hAnsi="Calibri"/>
          <w:sz w:val="22"/>
          <w:szCs w:val="22"/>
        </w:rPr>
        <w:t xml:space="preserve">Descriptive statistics (count, mean, median, mode, standard deviation, minimum and maximum) were calculated with Excel formulas. Pivot tables summarised orders and revenue by product, order status, coupon, referral source and time period (month and quarter). Outliers were tested with the IQR rule (values below Q1 − 1.5×IQR or above Q3 + 1.5×IQR). Net revenue is defined as the value of Shipped and Delivered orders only; Cancelled and Returned orders are excluded, and Pending orders are treated as unrealised.</w:t>
      </w:r>
    </w:p>
    <w:p>
      <w:pPr>
        <w:pStyle w:val="Heading1"/>
        <w:spacing w:after="100" w:before="240"/>
      </w:pPr>
      <w:r>
        <w:rPr>
          <w:rFonts w:ascii="Calibri" w:cs="Calibri" w:eastAsia="Calibri" w:hAnsi="Calibri"/>
          <w:b/>
          <w:bCs/>
          <w:color w:val="1F3864"/>
          <w:sz w:val="26"/>
          <w:szCs w:val="26"/>
        </w:rPr>
        <w:t xml:space="preserve">3. Summary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320"/>
      </w:tblGrid>
      <w:t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Field (n = 1,200)</w:t>
            </w:r>
          </w:p>
        </w:tc>
        <w:tc>
          <w:tcPr>
            <w:tcW w:type="dxa" w:w="13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Mean</w:t>
            </w:r>
          </w:p>
        </w:tc>
        <w:tc>
          <w:tcPr>
            <w:tcW w:type="dxa" w:w="13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Median</w:t>
            </w:r>
          </w:p>
        </w:tc>
        <w:tc>
          <w:tcPr>
            <w:tcW w:type="dxa" w:w="13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Std dev</w:t>
            </w:r>
          </w:p>
        </w:tc>
        <w:tc>
          <w:tcPr>
            <w:tcW w:type="dxa" w:w="13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Min</w:t>
            </w:r>
          </w:p>
        </w:tc>
        <w:tc>
          <w:tcPr>
            <w:tcW w:type="dxa" w:w="13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Max</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Total Price ($)</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1,053.97</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823.62</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819.86</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11.39</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3,456.40</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Unit Price ($)</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356.41</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364.21</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197.18</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11.39</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699.93</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Quantity</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2.95</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3</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1.41</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5</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Items in Cart</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5.49</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5</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2.28</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w:t>
            </w:r>
          </w:p>
        </w:tc>
        <w:tc>
          <w:tcPr>
            <w:tcW w:type="dxa" w:w="13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Calibri" w:cs="Calibri" w:eastAsia="Calibri" w:hAnsi="Calibri"/>
                <w:b w:val="false"/>
                <w:bCs w:val="false"/>
                <w:color w:val="000000"/>
                <w:sz w:val="20"/>
                <w:szCs w:val="20"/>
              </w:rPr>
              <w:t xml:space="preserve">10</w:t>
            </w:r>
          </w:p>
        </w:tc>
      </w:tr>
    </w:tbl>
    <w:p>
      <w:pPr>
        <w:spacing w:after="60"/>
      </w:pPr>
      <w:r>
        <w:rPr>
          <w:rFonts w:ascii="Calibri" w:cs="Calibri" w:eastAsia="Calibri" w:hAnsi="Calibri"/>
          <w:sz w:val="22"/>
          <w:szCs w:val="22"/>
        </w:rPr>
        <w:t xml:space="preserve"/>
      </w:r>
    </w:p>
    <w:p>
      <w:pPr>
        <w:pStyle w:val="Heading1"/>
        <w:spacing w:after="100" w:before="240"/>
      </w:pPr>
      <w:r>
        <w:rPr>
          <w:rFonts w:ascii="Calibri" w:cs="Calibri" w:eastAsia="Calibri" w:hAnsi="Calibri"/>
          <w:b/>
          <w:bCs/>
          <w:color w:val="1F3864"/>
          <w:sz w:val="26"/>
          <w:szCs w:val="26"/>
        </w:rPr>
        <w:t xml:space="preserve">4. Key Findings</w:t>
      </w:r>
    </w:p>
    <w:p>
      <w:pPr>
        <w:pStyle w:val="ListParagraph"/>
        <w:numPr>
          <w:ilvl w:val="0"/>
          <w:numId w:val="2"/>
        </w:numPr>
        <w:spacing w:after="100" w:line="276"/>
      </w:pPr>
      <w:r>
        <w:rPr>
          <w:rFonts w:ascii="Calibri" w:cs="Calibri" w:eastAsia="Calibri" w:hAnsi="Calibri"/>
          <w:b/>
          <w:bCs/>
          <w:sz w:val="22"/>
          <w:szCs w:val="22"/>
        </w:rPr>
        <w:t xml:space="preserve">Only 39% of gross revenue is realised. </w:t>
      </w:r>
      <w:r>
        <w:rPr>
          <w:rFonts w:ascii="Calibri" w:cs="Calibri" w:eastAsia="Calibri" w:hAnsi="Calibri"/>
          <w:sz w:val="22"/>
          <w:szCs w:val="22"/>
        </w:rPr>
        <w:t xml:space="preserve">Gross order value is $1,264,761.96, but the cancelled rate (20.83%) and returned rate (20.58%) together mean 41.4% of all orders do not complete, and Returned orders alone carry $243,277.70 of value. Net revenue from Shipped and Delivered orders is $488,759.90 (466 orders), which is 38.6% of gross. A further 237 orders are still Pending.</w:t>
      </w:r>
    </w:p>
    <w:p>
      <w:pPr>
        <w:pStyle w:val="ListParagraph"/>
        <w:numPr>
          <w:ilvl w:val="0"/>
          <w:numId w:val="2"/>
        </w:numPr>
        <w:spacing w:after="100" w:line="276"/>
      </w:pPr>
      <w:r>
        <w:rPr>
          <w:rFonts w:ascii="Calibri" w:cs="Calibri" w:eastAsia="Calibri" w:hAnsi="Calibri"/>
          <w:b/>
          <w:bCs/>
          <w:sz w:val="22"/>
          <w:szCs w:val="22"/>
        </w:rPr>
        <w:t xml:space="preserve">Order value is right-skewed. </w:t>
      </w:r>
      <w:r>
        <w:rPr>
          <w:rFonts w:ascii="Calibri" w:cs="Calibri" w:eastAsia="Calibri" w:hAnsi="Calibri"/>
          <w:sz w:val="22"/>
          <w:szCs w:val="22"/>
        </w:rPr>
        <w:t xml:space="preserve">The mean order value ($1,053.97) sits well above the median ($823.62), with a standard deviation of $819.86, which indicates a right-skewed distribution pulled up by a minority of large orders. Most orders are small: 57% are under $1,000, while 15% exceed $2,000. Average order value (AOV) on net revenue is $1,048.84, close to the overall mean.</w:t>
      </w:r>
    </w:p>
    <w:p>
      <w:pPr>
        <w:pStyle w:val="ListParagraph"/>
        <w:numPr>
          <w:ilvl w:val="0"/>
          <w:numId w:val="2"/>
        </w:numPr>
        <w:spacing w:after="100" w:line="276"/>
      </w:pPr>
      <w:r>
        <w:rPr>
          <w:rFonts w:ascii="Calibri" w:cs="Calibri" w:eastAsia="Calibri" w:hAnsi="Calibri"/>
          <w:b/>
          <w:bCs/>
          <w:sz w:val="22"/>
          <w:szCs w:val="22"/>
        </w:rPr>
        <w:t xml:space="preserve">Order value is driven by quantity rather than price. </w:t>
      </w:r>
      <w:r>
        <w:rPr>
          <w:rFonts w:ascii="Calibri" w:cs="Calibri" w:eastAsia="Calibri" w:hAnsi="Calibri"/>
          <w:sz w:val="22"/>
          <w:szCs w:val="22"/>
        </w:rPr>
        <w:t xml:space="preserve">Unit price is spread evenly between $11 and $700 (mean $356.41, median $364.21), while quantity ranges from 1 to 5 (mean 2.95, mode 1). Because Total Price is Quantity × Unit Price, orders of several units are what push values towards the upper end of the range.</w:t>
      </w:r>
    </w:p>
    <w:p>
      <w:pPr>
        <w:pStyle w:val="ListParagraph"/>
        <w:numPr>
          <w:ilvl w:val="0"/>
          <w:numId w:val="2"/>
        </w:numPr>
        <w:spacing w:after="100" w:line="276"/>
      </w:pPr>
      <w:r>
        <w:rPr>
          <w:rFonts w:ascii="Calibri" w:cs="Calibri" w:eastAsia="Calibri" w:hAnsi="Calibri"/>
          <w:b/>
          <w:bCs/>
          <w:sz w:val="22"/>
          <w:szCs w:val="22"/>
        </w:rPr>
        <w:t xml:space="preserve">Products and channels are almost evenly balanced. </w:t>
      </w:r>
      <w:r>
        <w:rPr>
          <w:rFonts w:ascii="Calibri" w:cs="Calibri" w:eastAsia="Calibri" w:hAnsi="Calibri"/>
          <w:sz w:val="22"/>
          <w:szCs w:val="22"/>
        </w:rPr>
        <w:t xml:space="preserve">Each product accounts for roughly 13% to 15% of orders. Instagram is the largest referral source (259 orders) and Referral the smallest (222). The gaps are small, for example Chair and Printer revenue differ by only $7.50, so they should not be read as meaningful rankings.</w:t>
      </w:r>
    </w:p>
    <w:p>
      <w:pPr>
        <w:pStyle w:val="ListParagraph"/>
        <w:numPr>
          <w:ilvl w:val="0"/>
          <w:numId w:val="2"/>
        </w:numPr>
        <w:spacing w:after="100" w:line="276"/>
      </w:pPr>
      <w:r>
        <w:rPr>
          <w:rFonts w:ascii="Calibri" w:cs="Calibri" w:eastAsia="Calibri" w:hAnsi="Calibri"/>
          <w:b/>
          <w:bCs/>
          <w:sz w:val="22"/>
          <w:szCs w:val="22"/>
        </w:rPr>
        <w:t xml:space="preserve">Orders and revenue have declined slightly, with revenue falling faster. </w:t>
      </w:r>
      <w:r>
        <w:rPr>
          <w:rFonts w:ascii="Calibri" w:cs="Calibri" w:eastAsia="Calibri" w:hAnsi="Calibri"/>
          <w:sz w:val="22"/>
          <w:szCs w:val="22"/>
        </w:rPr>
        <w:t xml:space="preserve">Comparing January to June in each year (calculated from the monthly order and quarterly revenue pivots), orders fell from 252 to 237 to 231 (−6.0%, then −2.5%), while revenue fell from $286,502 to $257,059 to $231,883 (−10.3%, then −9.8%). Average order value across all orders fell from about $1,137 to $1,085 to $1,004, so the revenue decline is driven mostly by smaller orders rather than fewer orders. Monthly orders range from 27 (January 2025) to 53 (June 2024) with no consistent seasonal pattern, so individual peaks and dips are likely random variation.</w:t>
      </w:r>
    </w:p>
    <w:p>
      <w:pPr>
        <w:pStyle w:val="Heading1"/>
        <w:spacing w:after="100" w:before="240"/>
      </w:pPr>
      <w:r>
        <w:rPr>
          <w:rFonts w:ascii="Calibri" w:cs="Calibri" w:eastAsia="Calibri" w:hAnsi="Calibri"/>
          <w:b/>
          <w:bCs/>
          <w:color w:val="1F3864"/>
          <w:sz w:val="26"/>
          <w:szCs w:val="26"/>
        </w:rPr>
        <w:t xml:space="preserve">5. Outliers</w:t>
      </w:r>
    </w:p>
    <w:p>
      <w:pPr>
        <w:spacing w:after="120" w:line="276"/>
      </w:pPr>
      <w:r>
        <w:rPr>
          <w:rFonts w:ascii="Calibri" w:cs="Calibri" w:eastAsia="Calibri" w:hAnsi="Calibri"/>
          <w:sz w:val="22"/>
          <w:szCs w:val="22"/>
        </w:rPr>
        <w:t xml:space="preserve">Eight orders (0.67%) exceed the Total Price upper bound of $3,330.41. All eight are five-unit orders with unit prices between $667 and $691, at the top of the price range, so they are legitimate high-value orders rather than errors. Their statuses are Delivered (3), Cancelled (2), Returned (2) and Shipped (1). They were retained because they are valid, and because they inflate the mean only slightly. No outliers exist in Quantity (bounds −1 to 7) or Unit Price (bounds −317 to 1,025), since both fields are capped well inside their bounds.</w:t>
      </w:r>
    </w:p>
    <w:p>
      <w:pPr>
        <w:pStyle w:val="Heading1"/>
        <w:spacing w:after="100" w:before="240"/>
      </w:pPr>
      <w:r>
        <w:rPr>
          <w:rFonts w:ascii="Calibri" w:cs="Calibri" w:eastAsia="Calibri" w:hAnsi="Calibri"/>
          <w:b/>
          <w:bCs/>
          <w:color w:val="1F3864"/>
          <w:sz w:val="26"/>
          <w:szCs w:val="26"/>
        </w:rPr>
        <w:t xml:space="preserve">6. Limitations</w:t>
      </w:r>
    </w:p>
    <w:p>
      <w:pPr>
        <w:pStyle w:val="ListParagraph"/>
        <w:numPr>
          <w:ilvl w:val="0"/>
          <w:numId w:val="3"/>
        </w:numPr>
        <w:spacing w:after="60" w:line="276"/>
      </w:pPr>
      <w:r>
        <w:rPr>
          <w:rFonts w:ascii="Calibri" w:cs="Calibri" w:eastAsia="Calibri" w:hAnsi="Calibri"/>
          <w:sz w:val="22"/>
          <w:szCs w:val="22"/>
        </w:rPr>
        <w:t xml:space="preserve">The data appears evenly distributed across products, channels and statuses, so differences between categories are small and may not be meaningful.</w:t>
      </w:r>
    </w:p>
    <w:p>
      <w:pPr>
        <w:pStyle w:val="ListParagraph"/>
        <w:numPr>
          <w:ilvl w:val="0"/>
          <w:numId w:val="3"/>
        </w:numPr>
        <w:spacing w:after="60" w:line="276"/>
      </w:pPr>
      <w:r>
        <w:rPr>
          <w:rFonts w:ascii="Calibri" w:cs="Calibri" w:eastAsia="Calibri" w:hAnsi="Calibri"/>
          <w:sz w:val="22"/>
          <w:szCs w:val="22"/>
        </w:rPr>
        <w:t xml:space="preserve">Unit price does not vary by product (every product spans roughly the same price range), which is unusual for real retail data.</w:t>
      </w:r>
    </w:p>
    <w:p>
      <w:pPr>
        <w:pStyle w:val="ListParagraph"/>
        <w:numPr>
          <w:ilvl w:val="0"/>
          <w:numId w:val="3"/>
        </w:numPr>
        <w:spacing w:after="60" w:line="276"/>
      </w:pPr>
      <w:r>
        <w:rPr>
          <w:rFonts w:ascii="Calibri" w:cs="Calibri" w:eastAsia="Calibri" w:hAnsi="Calibri"/>
          <w:sz w:val="22"/>
          <w:szCs w:val="22"/>
        </w:rPr>
        <w:t xml:space="preserve">Total Price equals Quantity × Unit Price on every row (confirmed in the Task 1 validation sheet), so coupon discounts are not reflected and their impact cannot be measured.</w:t>
      </w:r>
    </w:p>
    <w:p>
      <w:pPr>
        <w:pStyle w:val="ListParagraph"/>
        <w:numPr>
          <w:ilvl w:val="0"/>
          <w:numId w:val="3"/>
        </w:numPr>
        <w:spacing w:after="60" w:line="276"/>
      </w:pPr>
      <w:r>
        <w:rPr>
          <w:rFonts w:ascii="Calibri" w:cs="Calibri" w:eastAsia="Calibri" w:hAnsi="Calibri"/>
          <w:sz w:val="22"/>
          <w:szCs w:val="22"/>
        </w:rPr>
        <w:t xml:space="preserve">2025 covers only January to June, so full-year comparisons are avoided. Net revenue is also a floor because 237 Pending orders are unresolved.</w:t>
      </w:r>
    </w:p>
    <w:p>
      <w:pPr>
        <w:pStyle w:val="Heading1"/>
        <w:spacing w:after="100" w:before="240"/>
      </w:pPr>
      <w:r>
        <w:rPr>
          <w:rFonts w:ascii="Calibri" w:cs="Calibri" w:eastAsia="Calibri" w:hAnsi="Calibri"/>
          <w:b/>
          <w:bCs/>
          <w:color w:val="1F3864"/>
          <w:sz w:val="26"/>
          <w:szCs w:val="26"/>
        </w:rPr>
        <w:t xml:space="preserve">7. Conclusion</w:t>
      </w:r>
    </w:p>
    <w:p>
      <w:pPr>
        <w:spacing w:after="120" w:line="276"/>
      </w:pPr>
      <w:r>
        <w:rPr>
          <w:rFonts w:ascii="Calibri" w:cs="Calibri" w:eastAsia="Calibri" w:hAnsi="Calibri"/>
          <w:sz w:val="22"/>
          <w:szCs w:val="22"/>
        </w:rPr>
        <w:t xml:space="preserve">The most important finding is that more than 40% of orders are cancelled or returned, which leaves only about 39% of gross order value realised. Order values are skewed by a minority of large multi-unit orders, product and channel performance are nearly uniform, and a modest decline in both orders and average order value points to falling revenue through 2025. Priority recommendations are to investigate the causes of cancellations and returns, and to monitor whether average order value keeps falling.</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2026-10-15T10:21:42.529Z</dcterms:created>
  <dcterms:modified xsi:type="dcterms:W3CDTF">2026-10-15T10:21:42.538Z</dcterms:modified>
</cp:coreProperties>
</file>

<file path=docProps/custom.xml><?xml version="1.0" encoding="utf-8"?>
<Properties xmlns="http://schemas.openxmlformats.org/officeDocument/2006/custom-properties" xmlns:vt="http://schemas.openxmlformats.org/officeDocument/2006/docPropsVTypes"/>
</file>