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center"/>
      </w:pPr>
      <w:r>
        <w:rPr>
          <w:b/>
          <w:i w:val="0"/>
          <w:sz w:val="32"/>
        </w:rPr>
        <w:t>RFP FUNDING PLEDGE AGREEMENT</w:t>
      </w:r>
    </w:p>
    <w:p>
      <w:pPr>
        <w:spacing w:after="360" w:before="0"/>
        <w:jc w:val="center"/>
      </w:pPr>
      <w:r>
        <w:rPr>
          <w:b w:val="0"/>
          <w:i/>
          <w:sz w:val="24"/>
        </w:rPr>
        <w:t>TheDAO Security Fund</w:t>
      </w:r>
    </w:p>
    <w:p>
      <w:pPr>
        <w:spacing w:after="200" w:before="0"/>
        <w:jc w:val="both"/>
      </w:pPr>
      <w:r>
        <w:rPr>
          <w:b w:val="0"/>
        </w:rPr>
        <w:t xml:space="preserve">This RFP Funding Pledge Agreement (this </w:t>
      </w:r>
      <w:r>
        <w:rPr>
          <w:b/>
        </w:rPr>
        <w:t>“Agreement”</w:t>
      </w:r>
      <w:r>
        <w:rPr>
          <w:b w:val="0"/>
        </w:rPr>
        <w:t xml:space="preserve">) is entered into as of the date of the last signature below (the </w:t>
      </w:r>
      <w:r>
        <w:rPr>
          <w:b/>
        </w:rPr>
        <w:t>“Effective Date”</w:t>
      </w:r>
      <w:r>
        <w:rPr>
          <w:b w:val="0"/>
        </w:rPr>
        <w:t>) by and between:</w:t>
      </w:r>
    </w:p>
    <w:p>
      <w:pPr>
        <w:spacing w:after="120" w:before="0"/>
        <w:jc w:val="both"/>
      </w:pPr>
      <w:r>
        <w:rPr>
          <w:b/>
        </w:rPr>
        <w:t xml:space="preserve">(1)  </w:t>
      </w:r>
      <w:r>
        <w:rPr>
          <w:b/>
        </w:rPr>
        <w:t>TheDAO LLC</w:t>
      </w:r>
      <w:r>
        <w:rPr>
          <w:b w:val="0"/>
        </w:rPr>
        <w:t>, a Marshall Islands decentralized autonomous organization limited liability company, organized pursuant to the Marshall Islands Decentralized Autonomous Organization Act, 2022 and the Marshall Islands Limited Liability Company Act (</w:t>
      </w:r>
      <w:r>
        <w:rPr>
          <w:b/>
        </w:rPr>
        <w:t>“TheDAO”</w:t>
      </w:r>
      <w:r>
        <w:rPr>
          <w:b w:val="0"/>
        </w:rPr>
        <w:t xml:space="preserve">), which administers TheDAO Security Fund, its program for funding Ethereum security work through public requests for proposals (each an </w:t>
      </w:r>
      <w:r>
        <w:rPr>
          <w:b/>
        </w:rPr>
        <w:t>“RFP”</w:t>
      </w:r>
      <w:r>
        <w:rPr>
          <w:b w:val="0"/>
        </w:rPr>
        <w:t>); and</w:t>
      </w:r>
    </w:p>
    <w:p>
      <w:pPr>
        <w:spacing w:after="200" w:before="0"/>
        <w:jc w:val="both"/>
      </w:pPr>
      <w:r>
        <w:rPr>
          <w:b/>
        </w:rPr>
        <w:t xml:space="preserve">(2)  </w:t>
      </w:r>
      <w:r>
        <w:rPr>
          <w:b/>
        </w:rPr>
        <w:t>the person or entity identified in Schedule A</w:t>
      </w:r>
      <w:r>
        <w:rPr>
          <w:b w:val="0"/>
        </w:rPr>
        <w:t xml:space="preserve"> (the </w:t>
      </w:r>
      <w:r>
        <w:rPr>
          <w:b/>
        </w:rPr>
        <w:t>“Pledgor”</w:t>
      </w:r>
      <w:r>
        <w:rPr>
          <w:b w:val="0"/>
        </w:rPr>
        <w:t>),</w:t>
      </w:r>
    </w:p>
    <w:p>
      <w:pPr>
        <w:spacing w:after="240" w:before="0"/>
        <w:jc w:val="both"/>
      </w:pPr>
      <w:r>
        <w:rPr>
          <w:b w:val="0"/>
        </w:rPr>
        <w:t xml:space="preserve">each a </w:t>
      </w:r>
      <w:r>
        <w:rPr>
          <w:b/>
        </w:rPr>
        <w:t>“Party”</w:t>
      </w:r>
      <w:r>
        <w:rPr>
          <w:b w:val="0"/>
        </w:rPr>
        <w:t xml:space="preserve"> and together the </w:t>
      </w:r>
      <w:r>
        <w:rPr>
          <w:b/>
        </w:rPr>
        <w:t>“Parties”</w:t>
      </w:r>
      <w:r>
        <w:rPr>
          <w:b w:val="0"/>
        </w:rPr>
        <w:t>.</w:t>
      </w:r>
    </w:p>
    <w:p>
      <w:pPr>
        <w:spacing w:after="280" w:before="0"/>
        <w:jc w:val="both"/>
      </w:pPr>
      <w:r>
        <w:rPr>
          <w:b w:val="0"/>
        </w:rPr>
        <w:t xml:space="preserve">TheDAO publishes each RFP with a funding goal in U.S. dollars, draft milestones, and the terms on which work is reviewed, accepted, and paid (the </w:t>
      </w:r>
      <w:r>
        <w:rPr>
          <w:b/>
        </w:rPr>
        <w:t>“RFP Terms”</w:t>
      </w:r>
      <w:r>
        <w:rPr>
          <w:b w:val="0"/>
        </w:rPr>
        <w:t xml:space="preserve">). TheDAO raises the funding goal through pledges. Once an RFP is fully funded, TheDAO runs an open proposal process, selects a vendor, and pays that vendor per accepted milestone. The Pledgor wishes to pledge funds toward the RFP identified in Schedule A (the </w:t>
      </w:r>
      <w:r>
        <w:rPr>
          <w:b/>
        </w:rPr>
        <w:t>“Supported RFP”</w:t>
      </w:r>
      <w:r>
        <w:rPr>
          <w:b w:val="0"/>
        </w:rPr>
        <w:t>), and the Parties agree as follows:</w:t>
      </w:r>
    </w:p>
    <w:p>
      <w:pPr>
        <w:keepNext/>
        <w:spacing w:before="280" w:after="120"/>
        <w:jc w:val="left"/>
      </w:pPr>
      <w:r>
        <w:rPr>
          <w:b/>
        </w:rPr>
        <w:t>1. THE PLEDGE</w:t>
      </w:r>
    </w:p>
    <w:p>
      <w:pPr>
        <w:spacing w:after="160"/>
        <w:jc w:val="both"/>
      </w:pPr>
      <w:r>
        <w:rPr>
          <w:b/>
        </w:rPr>
        <w:t xml:space="preserve">1.1  </w:t>
      </w:r>
      <w:r>
        <w:rPr>
          <w:b w:val="0"/>
        </w:rPr>
        <w:t xml:space="preserve">The Pledgor irrevocably pledges to contribute to TheDAO the amount stated in Schedule A (the </w:t>
      </w:r>
      <w:r>
        <w:rPr>
          <w:b/>
        </w:rPr>
        <w:t>“Pledged Amount”</w:t>
      </w:r>
      <w:r>
        <w:rPr>
          <w:b w:val="0"/>
        </w:rPr>
        <w:t>), earmarked for the Supported RFP. The Pledged Amount is stated in U.S. dollars and settled in stablecoin under Section 2.</w:t>
      </w:r>
    </w:p>
    <w:p>
      <w:pPr>
        <w:spacing w:after="160"/>
        <w:jc w:val="both"/>
      </w:pPr>
      <w:r>
        <w:rPr>
          <w:b/>
        </w:rPr>
        <w:t xml:space="preserve">1.2  </w:t>
      </w:r>
      <w:r>
        <w:rPr>
          <w:b/>
        </w:rPr>
        <w:t xml:space="preserve">A contribution to TheDAO, not to a vendor. </w:t>
      </w:r>
      <w:r>
        <w:rPr>
          <w:b w:val="0"/>
        </w:rPr>
        <w:t>The contribution is made to TheDAO and only to TheDAO. No vendor has been selected when this Agreement is signed, and the identity of the eventual vendor is not known. TheDAO alone selects, engages, and pays the vendor under the RFP Terms. This Agreement creates no relationship between the Pledgor and any vendor, and gives the Pledgor no right to direct TheDAO’s selection of a vendor or its administration of the Supported RFP.</w:t>
      </w:r>
    </w:p>
    <w:p>
      <w:pPr>
        <w:spacing w:after="160"/>
        <w:jc w:val="both"/>
      </w:pPr>
      <w:r>
        <w:rPr>
          <w:b/>
        </w:rPr>
        <w:t xml:space="preserve">1.3  </w:t>
      </w:r>
      <w:r>
        <w:rPr>
          <w:b/>
        </w:rPr>
        <w:t xml:space="preserve">RFP Terms. </w:t>
      </w:r>
      <w:r>
        <w:rPr>
          <w:b w:val="0"/>
        </w:rPr>
        <w:t>The RFP Terms for the Supported RFP, as they stand on the Effective Date, form part of this Agreement.</w:t>
      </w:r>
    </w:p>
    <w:p>
      <w:pPr>
        <w:keepNext/>
        <w:spacing w:before="280" w:after="120"/>
        <w:jc w:val="left"/>
      </w:pPr>
      <w:r>
        <w:rPr>
          <w:b/>
        </w:rPr>
        <w:t>2. PAYMENT</w:t>
      </w:r>
    </w:p>
    <w:p>
      <w:pPr>
        <w:spacing w:after="160"/>
        <w:jc w:val="both"/>
      </w:pPr>
      <w:r>
        <w:rPr>
          <w:b/>
        </w:rPr>
        <w:t xml:space="preserve">2.1  </w:t>
      </w:r>
      <w:r>
        <w:rPr>
          <w:b/>
        </w:rPr>
        <w:t xml:space="preserve">Payment Notice. </w:t>
      </w:r>
      <w:r>
        <w:rPr>
          <w:b w:val="0"/>
        </w:rPr>
        <w:t xml:space="preserve">When total pledges to the Supported RFP reach its funding goal, TheDAO will notify the Pledgor in writing that payment is due (the </w:t>
      </w:r>
      <w:r>
        <w:rPr>
          <w:b/>
        </w:rPr>
        <w:t>“Payment Notice”</w:t>
      </w:r>
      <w:r>
        <w:rPr>
          <w:b w:val="0"/>
        </w:rPr>
        <w:t>). TheDAO’s determination that the funding goal has been reached is final.</w:t>
      </w:r>
    </w:p>
    <w:p>
      <w:pPr>
        <w:spacing w:after="160"/>
        <w:jc w:val="both"/>
      </w:pPr>
      <w:r>
        <w:rPr>
          <w:b/>
        </w:rPr>
        <w:t xml:space="preserve">2.2  </w:t>
      </w:r>
      <w:r>
        <w:rPr>
          <w:b/>
        </w:rPr>
        <w:t xml:space="preserve">Payment Deadline. </w:t>
      </w:r>
      <w:r>
        <w:rPr>
          <w:b w:val="0"/>
        </w:rPr>
        <w:t xml:space="preserve">The Pledgor shall pay the Pledged Amount in full within </w:t>
      </w:r>
      <w:r>
        <w:rPr>
          <w:b/>
        </w:rPr>
        <w:t>thirty (30) days</w:t>
      </w:r>
      <w:r>
        <w:rPr>
          <w:b w:val="0"/>
        </w:rPr>
        <w:t xml:space="preserve"> of the date of the Payment Notice (the </w:t>
      </w:r>
      <w:r>
        <w:rPr>
          <w:b/>
        </w:rPr>
        <w:t>“Payment Deadline”</w:t>
      </w:r>
      <w:r>
        <w:rPr>
          <w:b w:val="0"/>
        </w:rPr>
        <w:t>).</w:t>
      </w:r>
    </w:p>
    <w:p>
      <w:pPr>
        <w:spacing w:after="160"/>
        <w:jc w:val="both"/>
      </w:pPr>
      <w:r>
        <w:rPr>
          <w:b/>
        </w:rPr>
        <w:t xml:space="preserve">2.3  </w:t>
      </w:r>
      <w:r>
        <w:rPr>
          <w:b/>
        </w:rPr>
        <w:t xml:space="preserve">Form and destination. </w:t>
      </w:r>
      <w:r>
        <w:rPr>
          <w:b w:val="0"/>
        </w:rPr>
        <w:t>Payment is made in a U.S. dollar stablecoin acceptable to TheDAO, valued at one U.S. dollar per token, to the multisignature wallet address and network stated in Schedule A or in the Payment Notice. Payment to any other address, on any other network, or in any other asset does not discharge the Pledgor’s obligation unless TheDAO confirms acceptance in writing. The Pledgor is responsible for verifying the receiving address before sending funds and bears all network transaction fees.</w:t>
      </w:r>
    </w:p>
    <w:p>
      <w:pPr>
        <w:spacing w:after="160"/>
        <w:jc w:val="both"/>
      </w:pPr>
      <w:r>
        <w:rPr>
          <w:b/>
        </w:rPr>
        <w:t xml:space="preserve">2.4  </w:t>
      </w:r>
      <w:r>
        <w:rPr>
          <w:b/>
        </w:rPr>
        <w:t xml:space="preserve">When payment is complete. </w:t>
      </w:r>
      <w:r>
        <w:rPr>
          <w:b w:val="0"/>
        </w:rPr>
        <w:t>The Pledged Amount is paid when the transfer is finalized on-chain to the correct address.</w:t>
      </w:r>
    </w:p>
    <w:p>
      <w:pPr>
        <w:keepNext/>
        <w:spacing w:before="280" w:after="120"/>
        <w:jc w:val="left"/>
      </w:pPr>
      <w:r>
        <w:rPr>
          <w:b/>
        </w:rPr>
        <w:t>3. FAILURE TO PAY; PUBLIC DISCLOSURE</w:t>
      </w:r>
    </w:p>
    <w:p>
      <w:pPr>
        <w:spacing w:after="160"/>
        <w:jc w:val="both"/>
      </w:pPr>
      <w:r>
        <w:rPr>
          <w:b/>
        </w:rPr>
        <w:t xml:space="preserve">3.1  </w:t>
      </w:r>
      <w:r>
        <w:rPr>
          <w:b/>
        </w:rPr>
        <w:t xml:space="preserve">Default. </w:t>
      </w:r>
      <w:r>
        <w:rPr>
          <w:b w:val="0"/>
        </w:rPr>
        <w:t>If the Pledgor has not paid in full by the Payment Deadline, the Pledgor is in default.</w:t>
      </w:r>
    </w:p>
    <w:p>
      <w:pPr>
        <w:spacing w:after="160"/>
        <w:jc w:val="both"/>
      </w:pPr>
      <w:r>
        <w:rPr>
          <w:b/>
        </w:rPr>
        <w:t xml:space="preserve">3.2  </w:t>
      </w:r>
      <w:r>
        <w:rPr>
          <w:b/>
        </w:rPr>
        <w:t xml:space="preserve">Public disclosure. </w:t>
      </w:r>
      <w:r>
        <w:rPr>
          <w:b w:val="0"/>
        </w:rPr>
        <w:t>Upon default, TheDAO may publicly disclose the default, including by naming the Pledgor, stating the unpaid amount and the Supported RFP, and informing the community that the Pledgor’s failure to pay has created a funding gap that TheDAO must raise additional funds to close. The Pledgor expressly consents to such disclosure and waives any claim against TheDAO arising from any truthful statement of the facts of the default.</w:t>
      </w:r>
    </w:p>
    <w:p>
      <w:pPr>
        <w:spacing w:after="160"/>
        <w:jc w:val="both"/>
      </w:pPr>
      <w:r>
        <w:rPr>
          <w:b/>
        </w:rPr>
        <w:t xml:space="preserve">3.3  </w:t>
      </w:r>
      <w:r>
        <w:rPr>
          <w:b/>
        </w:rPr>
        <w:t xml:space="preserve">Removal of recognition. </w:t>
      </w:r>
      <w:r>
        <w:rPr>
          <w:b w:val="0"/>
        </w:rPr>
        <w:t>Upon default, TheDAO may remove the Pledgor’s name and logo from supporter listings, or annotate them to reflect the unpaid pledge.</w:t>
      </w:r>
    </w:p>
    <w:p>
      <w:pPr>
        <w:spacing w:after="160"/>
        <w:jc w:val="both"/>
      </w:pPr>
      <w:r>
        <w:rPr>
          <w:b/>
        </w:rPr>
        <w:t xml:space="preserve">3.4  </w:t>
      </w:r>
      <w:r>
        <w:rPr>
          <w:b/>
        </w:rPr>
        <w:t xml:space="preserve">Remedies cumulative. </w:t>
      </w:r>
      <w:r>
        <w:rPr>
          <w:b w:val="0"/>
        </w:rPr>
        <w:t>These rights are cumulative and do not limit any other remedy available to TheDAO at law or in equity, including an action to recover the unpaid Pledged Amount.</w:t>
      </w:r>
    </w:p>
    <w:p>
      <w:pPr>
        <w:spacing w:after="160"/>
        <w:jc w:val="both"/>
      </w:pPr>
      <w:r>
        <w:rPr>
          <w:b/>
        </w:rPr>
        <w:t xml:space="preserve">3.5  </w:t>
      </w:r>
      <w:r>
        <w:rPr>
          <w:b/>
        </w:rPr>
        <w:t xml:space="preserve">Late payment. </w:t>
      </w:r>
      <w:r>
        <w:rPr>
          <w:b w:val="0"/>
        </w:rPr>
        <w:t>If the Pledgor pays in full after the Payment Deadline, TheDAO will use reasonable efforts to update any public statements made under Section 3.2 to reflect that the pledge has been honored late.</w:t>
      </w:r>
    </w:p>
    <w:p>
      <w:pPr>
        <w:keepNext/>
        <w:spacing w:before="280" w:after="120"/>
        <w:jc w:val="left"/>
      </w:pPr>
      <w:r>
        <w:rPr>
          <w:b/>
        </w:rPr>
        <w:t>4. LOGO AND PUBLICITY LICENSE</w:t>
      </w:r>
    </w:p>
    <w:p>
      <w:pPr>
        <w:spacing w:after="160"/>
        <w:jc w:val="both"/>
      </w:pPr>
      <w:r>
        <w:rPr>
          <w:b/>
        </w:rPr>
        <w:t xml:space="preserve">4.1  </w:t>
      </w:r>
      <w:r>
        <w:rPr>
          <w:b/>
        </w:rPr>
        <w:t xml:space="preserve">License grant. </w:t>
      </w:r>
      <w:r>
        <w:rPr>
          <w:b w:val="0"/>
        </w:rPr>
        <w:t>The Pledgor grants TheDAO, and Giveth Association, a Swiss association having its principal place of business c/o MJP Partners AG, Bahnhofstrasse 20, 6300 Zug, Switzerland (</w:t>
      </w:r>
      <w:r>
        <w:rPr>
          <w:b/>
        </w:rPr>
        <w:t>“Giveth”</w:t>
      </w:r>
      <w:r>
        <w:rPr>
          <w:b w:val="0"/>
        </w:rPr>
        <w:t>), which operates the RFP program under a service agreement with TheDAO, a non-exclusive, worldwide, royalty-free license to use the Pledgor’s name, logo, and trademarks as provided under Schedule A to identify the Pledgor as a supporter of the Supported RFP and of TheDAO Security Fund and to state the amount pledged, on websites operated by or for TheDAO or Giveth, in community forums, on social media, and in public reporting.</w:t>
      </w:r>
    </w:p>
    <w:p>
      <w:pPr>
        <w:spacing w:after="160"/>
        <w:jc w:val="both"/>
      </w:pPr>
      <w:r>
        <w:rPr>
          <w:b/>
        </w:rPr>
        <w:t xml:space="preserve">4.2  </w:t>
      </w:r>
      <w:r>
        <w:rPr>
          <w:b/>
        </w:rPr>
        <w:t xml:space="preserve">Brand guidelines; no endorsement. </w:t>
      </w:r>
      <w:r>
        <w:rPr>
          <w:b w:val="0"/>
        </w:rPr>
        <w:t>TheDAO will follow any reasonable brand guidelines the Pledgor provides in writing. Use of the Pledgor’s name and logo signifies only that the Pledgor has pledged funds; it does not imply any broader endorsement.</w:t>
      </w:r>
    </w:p>
    <w:p>
      <w:pPr>
        <w:spacing w:after="160"/>
        <w:jc w:val="both"/>
      </w:pPr>
      <w:r>
        <w:rPr>
          <w:b/>
        </w:rPr>
        <w:t xml:space="preserve">4.3  </w:t>
      </w:r>
      <w:r>
        <w:rPr>
          <w:b/>
        </w:rPr>
        <w:t xml:space="preserve">Removal on request. </w:t>
      </w:r>
      <w:r>
        <w:rPr>
          <w:b w:val="0"/>
        </w:rPr>
        <w:t>The Pledgor may at any time request in writing that its name and logo be removed from active promotional materials, and TheDAO will comply within a reasonable time. Truthful historical statements that the Pledgor supported the Supported RFP may remain.</w:t>
      </w:r>
    </w:p>
    <w:p>
      <w:pPr>
        <w:keepNext/>
        <w:spacing w:before="280" w:after="120"/>
        <w:jc w:val="left"/>
      </w:pPr>
      <w:r>
        <w:rPr>
          <w:b/>
        </w:rPr>
        <w:t>5. RETURN OF UNUSED FUNDS</w:t>
      </w:r>
    </w:p>
    <w:p>
      <w:pPr>
        <w:spacing w:after="160"/>
        <w:jc w:val="both"/>
      </w:pPr>
      <w:r>
        <w:rPr>
          <w:b/>
        </w:rPr>
        <w:t xml:space="preserve">5.1  </w:t>
      </w:r>
      <w:r>
        <w:rPr>
          <w:b/>
        </w:rPr>
        <w:t xml:space="preserve">Intention to return. </w:t>
      </w:r>
      <w:r>
        <w:rPr>
          <w:b w:val="0"/>
        </w:rPr>
        <w:t>If the selected vendor fails to complete a milestone within the deadlines in the RFP Terms, TheDAO intends to make the funds pledged to the Supported RFP that have not been paid or committed to the vendor (</w:t>
      </w:r>
      <w:r>
        <w:rPr>
          <w:b/>
        </w:rPr>
        <w:t>“Unused Funds”</w:t>
      </w:r>
      <w:r>
        <w:rPr>
          <w:b w:val="0"/>
        </w:rPr>
        <w:t>) available for return to the supporters of the Supported RFP.</w:t>
      </w:r>
    </w:p>
    <w:p>
      <w:pPr>
        <w:spacing w:after="160"/>
        <w:jc w:val="both"/>
      </w:pPr>
      <w:r>
        <w:rPr>
          <w:b/>
        </w:rPr>
        <w:t xml:space="preserve">5.2  </w:t>
      </w:r>
      <w:r>
        <w:rPr>
          <w:b/>
        </w:rPr>
        <w:t xml:space="preserve">Claim window. </w:t>
      </w:r>
      <w:r>
        <w:rPr>
          <w:b w:val="0"/>
        </w:rPr>
        <w:t xml:space="preserve">In that case, TheDAO will notify the Pledgor in writing (the </w:t>
      </w:r>
      <w:r>
        <w:rPr>
          <w:b/>
        </w:rPr>
        <w:t>“Claim Notice”</w:t>
      </w:r>
      <w:r>
        <w:rPr>
          <w:b w:val="0"/>
        </w:rPr>
        <w:t xml:space="preserve">). The Pledgor may claim its pro-rata share of the Unused Funds, in the proportion its paid contribution bears to all paid contributions to the Supported RFP, by following the process stated in the Claim Notice within </w:t>
      </w:r>
      <w:r>
        <w:rPr>
          <w:b/>
        </w:rPr>
        <w:t>thirty (30) days</w:t>
      </w:r>
      <w:r>
        <w:rPr>
          <w:b w:val="0"/>
        </w:rPr>
        <w:t xml:space="preserve"> of the date of the Claim Notice. Valid claims are paid in stablecoin to the wallet address stated in Schedule A, or to such other address as the Pledgor directs in writing through the claim process.</w:t>
      </w:r>
    </w:p>
    <w:p>
      <w:pPr>
        <w:spacing w:after="160"/>
        <w:jc w:val="both"/>
      </w:pPr>
      <w:r>
        <w:rPr>
          <w:b/>
        </w:rPr>
        <w:t xml:space="preserve">5.3  </w:t>
      </w:r>
      <w:r>
        <w:rPr>
          <w:b/>
        </w:rPr>
        <w:t xml:space="preserve">Unclaimed funds. </w:t>
      </w:r>
      <w:r>
        <w:rPr>
          <w:b w:val="0"/>
        </w:rPr>
        <w:t>Any Unused Funds not claimed within the thirty (30) day window are retained by TheDAO and applied to other security initiatives at its discretion, and the Pledgor waives any further claim to them.</w:t>
      </w:r>
    </w:p>
    <w:p>
      <w:pPr>
        <w:spacing w:after="160"/>
        <w:jc w:val="both"/>
      </w:pPr>
      <w:r>
        <w:rPr>
          <w:b/>
        </w:rPr>
        <w:t xml:space="preserve">5.4  </w:t>
      </w:r>
      <w:r>
        <w:rPr>
          <w:b/>
        </w:rPr>
        <w:t xml:space="preserve">Intention, not guarantee. </w:t>
      </w:r>
      <w:r>
        <w:rPr>
          <w:b w:val="0"/>
        </w:rPr>
        <w:t>The return of Unused Funds is a stated intention, not a guarantee. TheDAO will act in good faith to return Unused Funds as described in this Section 5, but is not liable to the Pledgor if Unused Funds cannot be returned in whole or in part.</w:t>
      </w:r>
    </w:p>
    <w:p>
      <w:pPr>
        <w:spacing w:after="160"/>
        <w:jc w:val="both"/>
      </w:pPr>
      <w:r>
        <w:rPr>
          <w:b/>
        </w:rPr>
        <w:t xml:space="preserve">5.5  </w:t>
      </w:r>
      <w:r>
        <w:rPr>
          <w:b/>
        </w:rPr>
        <w:t xml:space="preserve">Loss of funds. </w:t>
      </w:r>
      <w:r>
        <w:rPr>
          <w:b w:val="0"/>
        </w:rPr>
        <w:t>If funds pledged or contributed to TheDAO or to the Supported RFP are hacked, stolen, or otherwise lost for any reason or in any way, neither TheDAO nor Giveth nor any of their signers, members, or contributors is obligated to replace or return them, and none of them has any liability to the Pledgor for the loss, except in the case of fraud or willful misconduct.</w:t>
      </w:r>
    </w:p>
    <w:p>
      <w:pPr>
        <w:spacing w:after="160"/>
        <w:jc w:val="both"/>
      </w:pPr>
      <w:r>
        <w:rPr>
          <w:b/>
        </w:rPr>
        <w:t xml:space="preserve">5.6  </w:t>
      </w:r>
      <w:r>
        <w:rPr>
          <w:b/>
        </w:rPr>
        <w:t xml:space="preserve">No other refunds. </w:t>
      </w:r>
      <w:r>
        <w:rPr>
          <w:b w:val="0"/>
        </w:rPr>
        <w:t>Except as described in this Section 5, the Pledged Amount is non-refundable once paid.</w:t>
      </w:r>
    </w:p>
    <w:p>
      <w:pPr>
        <w:keepNext/>
        <w:spacing w:before="280" w:after="120"/>
        <w:jc w:val="left"/>
      </w:pPr>
      <w:r>
        <w:rPr>
          <w:b/>
        </w:rPr>
        <w:t>6. TRANSPARENCY AND ADMINISTRATION</w:t>
      </w:r>
    </w:p>
    <w:p>
      <w:pPr>
        <w:spacing w:after="160"/>
        <w:jc w:val="both"/>
      </w:pPr>
      <w:r>
        <w:rPr>
          <w:b/>
        </w:rPr>
        <w:t xml:space="preserve">6.1  </w:t>
      </w:r>
      <w:r>
        <w:rPr>
          <w:b/>
        </w:rPr>
        <w:t xml:space="preserve">100% to the RFP. </w:t>
      </w:r>
      <w:r>
        <w:rPr>
          <w:b w:val="0"/>
        </w:rPr>
        <w:t>One hundred percent (100%) of the Pledged Amount is applied to the Supported RFP, and the flow of funds to the vendor is publicly traceable on-chain.</w:t>
      </w:r>
    </w:p>
    <w:p>
      <w:pPr>
        <w:spacing w:after="160"/>
        <w:jc w:val="both"/>
      </w:pPr>
      <w:r>
        <w:rPr>
          <w:b/>
        </w:rPr>
        <w:t xml:space="preserve">6.2  </w:t>
      </w:r>
      <w:r>
        <w:rPr>
          <w:b/>
        </w:rPr>
        <w:t xml:space="preserve">Giveth’s commission. </w:t>
      </w:r>
      <w:r>
        <w:rPr>
          <w:b w:val="0"/>
        </w:rPr>
        <w:t>In the interest of full transparency: Giveth operates the RFP program on behalf of TheDAO and is compensated for that work on a commission basis. That commission is paid by TheDAO from its own treasury and is not deducted from the Pledged Amount or from any other pledge to any RFP.</w:t>
      </w:r>
    </w:p>
    <w:p>
      <w:pPr>
        <w:keepNext/>
        <w:spacing w:before="280" w:after="120"/>
        <w:jc w:val="left"/>
      </w:pPr>
      <w:r>
        <w:rPr>
          <w:b/>
        </w:rPr>
        <w:t>7. REPRESENTATIONS AND WARRANTIES</w:t>
      </w:r>
    </w:p>
    <w:p>
      <w:pPr>
        <w:spacing w:after="160" w:before="0"/>
        <w:jc w:val="both"/>
      </w:pPr>
      <w:r>
        <w:rPr>
          <w:b w:val="0"/>
          <w:i w:val="0"/>
          <w:sz w:val="22"/>
        </w:rPr>
        <w:t>Each Party represents and warrants that it has full power and authority to enter into and perform this Agreement, and that the person signing on its behalf is duly authorized. The Pledgor further represents and warrants that:</w:t>
      </w:r>
    </w:p>
    <w:p>
      <w:pPr>
        <w:spacing w:after="120"/>
        <w:ind w:left="576"/>
        <w:jc w:val="both"/>
      </w:pPr>
      <w:r>
        <w:rPr>
          <w:b/>
        </w:rPr>
        <w:t xml:space="preserve">7.1  </w:t>
      </w:r>
      <w:r>
        <w:t>the funds used to pay the Pledged Amount are from lawful sources and their payment will not violate any law applicable to the Pledgor, including sanctions, anti-money-laundering, and counter-terrorist-financing laws;</w:t>
      </w:r>
    </w:p>
    <w:p>
      <w:pPr>
        <w:spacing w:after="120"/>
        <w:ind w:left="576"/>
        <w:jc w:val="both"/>
      </w:pPr>
      <w:r>
        <w:rPr>
          <w:b/>
        </w:rPr>
        <w:t xml:space="preserve">7.2  </w:t>
      </w:r>
      <w:r>
        <w:t>the Pledgor is not a person, and is not owned or controlled by or acting on behalf of a person, subject to sanctions administered by the United States, the European Union, the United Nations, or the United Kingdom;</w:t>
      </w:r>
    </w:p>
    <w:p>
      <w:pPr>
        <w:spacing w:after="120"/>
        <w:ind w:left="576"/>
        <w:jc w:val="both"/>
      </w:pPr>
      <w:r>
        <w:rPr>
          <w:b/>
        </w:rPr>
        <w:t xml:space="preserve">7.3  </w:t>
      </w:r>
      <w:r>
        <w:t>the pledge is a contribution in support of ecosystem security work, is made without expectation of profit, financial return, or governance rights, and is not an investment; and</w:t>
      </w:r>
    </w:p>
    <w:p>
      <w:pPr>
        <w:spacing w:after="120"/>
        <w:ind w:left="576"/>
        <w:jc w:val="both"/>
      </w:pPr>
      <w:r>
        <w:rPr>
          <w:b/>
        </w:rPr>
        <w:t xml:space="preserve">7.4  </w:t>
      </w:r>
      <w:r>
        <w:t>the Pledgor has taken its own legal, tax, and accounting advice, and TheDAO makes no representation as to the tax treatment of the pledge in any jurisdiction.</w:t>
      </w:r>
    </w:p>
    <w:p>
      <w:pPr>
        <w:keepNext/>
        <w:spacing w:before="280" w:after="120"/>
        <w:jc w:val="left"/>
      </w:pPr>
      <w:r>
        <w:rPr>
          <w:b/>
        </w:rPr>
        <w:t>8. NO GUARANTEES; LIMITATION OF LIABILITY</w:t>
      </w:r>
    </w:p>
    <w:p>
      <w:pPr>
        <w:spacing w:after="160"/>
        <w:jc w:val="both"/>
      </w:pPr>
      <w:r>
        <w:rPr>
          <w:b/>
        </w:rPr>
        <w:t xml:space="preserve">8.1  </w:t>
      </w:r>
      <w:r>
        <w:rPr>
          <w:b/>
        </w:rPr>
        <w:t xml:space="preserve">Good faith, no guarantees. </w:t>
      </w:r>
      <w:r>
        <w:rPr>
          <w:b w:val="0"/>
        </w:rPr>
        <w:t>TheDAO will administer the Supported RFP in good faith and in accordance with the RFP Terms. TheDAO does not guarantee that the Supported RFP will be fully funded, that a suitable vendor will be found, that any vendor will complete the work, or that any funds will be returned.</w:t>
      </w:r>
    </w:p>
    <w:p>
      <w:pPr>
        <w:spacing w:after="160"/>
        <w:jc w:val="both"/>
      </w:pPr>
      <w:r>
        <w:rPr>
          <w:b/>
        </w:rPr>
        <w:t xml:space="preserve">8.2  </w:t>
      </w:r>
      <w:r>
        <w:rPr>
          <w:b/>
        </w:rPr>
        <w:t xml:space="preserve">Limitation. </w:t>
      </w:r>
      <w:r>
        <w:rPr>
          <w:b w:val="0"/>
        </w:rPr>
        <w:t>To the maximum extent permitted by law, TheDAO’s total aggregate liability to the Pledgor under or in connection with this Agreement shall not exceed the portion of the Pledged Amount actually received by TheDAO, and neither Party is liable to the other for indirect, incidental, consequential, or punitive damages, except in the case of fraud or willful misconduct. Nothing in this Section limits TheDAO’s right to recover the unpaid Pledged Amount or to make the disclosures described in Section 3.</w:t>
      </w:r>
    </w:p>
    <w:p>
      <w:pPr>
        <w:keepNext/>
        <w:spacing w:before="280" w:after="120"/>
        <w:jc w:val="left"/>
      </w:pPr>
      <w:r>
        <w:rPr>
          <w:b/>
        </w:rPr>
        <w:t>9. NOTICES</w:t>
      </w:r>
    </w:p>
    <w:p>
      <w:pPr>
        <w:spacing w:after="160"/>
        <w:jc w:val="both"/>
      </w:pPr>
      <w:r>
        <w:rPr>
          <w:b/>
        </w:rPr>
        <w:t xml:space="preserve">9.1  </w:t>
      </w:r>
      <w:r>
        <w:rPr>
          <w:b w:val="0"/>
        </w:rPr>
        <w:t>All notices under this Agreement shall be in writing and delivered by email, to TheDAO at [NOTICE EMAIL] and to the Pledgor at the address in Schedule A. Notice is deemed effective upon written confirmation of receipt by the receiving Party or, if no response is received, twenty-four (24) hours after transmission provided no delivery failure notice is received. Each Party shall keep its notice email address current by written notice to the other.</w:t>
      </w:r>
    </w:p>
    <w:p>
      <w:pPr>
        <w:keepNext/>
        <w:spacing w:before="280" w:after="120"/>
        <w:jc w:val="left"/>
      </w:pPr>
      <w:r>
        <w:rPr>
          <w:b/>
        </w:rPr>
        <w:t>10. GOVERNING LAW AND DISPUTE RESOLUTION</w:t>
      </w:r>
    </w:p>
    <w:p>
      <w:pPr>
        <w:spacing w:after="160"/>
        <w:jc w:val="both"/>
      </w:pPr>
      <w:r>
        <w:rPr>
          <w:b/>
        </w:rPr>
        <w:t xml:space="preserve">10.1  </w:t>
      </w:r>
      <w:r>
        <w:rPr>
          <w:b/>
        </w:rPr>
        <w:t xml:space="preserve">Governing law. </w:t>
      </w:r>
      <w:r>
        <w:rPr>
          <w:b w:val="0"/>
        </w:rPr>
        <w:t>This Agreement shall be governed by and construed in accordance with the laws of the Republic of the Marshall Islands, without regard to conflict-of-laws or choice-of-law principles.</w:t>
      </w:r>
    </w:p>
    <w:p>
      <w:pPr>
        <w:spacing w:after="160"/>
        <w:jc w:val="both"/>
      </w:pPr>
      <w:r>
        <w:rPr>
          <w:b/>
        </w:rPr>
        <w:t xml:space="preserve">10.2  </w:t>
      </w:r>
      <w:r>
        <w:rPr>
          <w:b/>
        </w:rPr>
        <w:t xml:space="preserve">Arbitration. </w:t>
      </w:r>
      <w:r>
        <w:rPr>
          <w:b w:val="0"/>
        </w:rPr>
        <w:t>Any dispute arising out of or relating to this Agreement shall be finally resolved by arbitration administered by the Swiss Arbitration Centre in accordance with the Swiss Rules of International Arbitration in force at the time of commencement, by one (1) arbitrator. The seat of arbitration shall be Zurich, Switzerland; the language shall be English; and proceedings may be conducted remotely. The award is final and binding, and judgment on the award may be entered in any court of competent jurisdiction.</w:t>
      </w:r>
    </w:p>
    <w:p>
      <w:pPr>
        <w:keepNext/>
        <w:spacing w:before="280" w:after="120"/>
        <w:jc w:val="left"/>
      </w:pPr>
      <w:r>
        <w:rPr>
          <w:b/>
        </w:rPr>
        <w:t>11. GENERAL</w:t>
      </w:r>
    </w:p>
    <w:p>
      <w:pPr>
        <w:spacing w:after="160"/>
        <w:jc w:val="both"/>
      </w:pPr>
      <w:r>
        <w:rPr>
          <w:b/>
        </w:rPr>
        <w:t xml:space="preserve">11.1  </w:t>
      </w:r>
      <w:r>
        <w:rPr>
          <w:b/>
        </w:rPr>
        <w:t xml:space="preserve">Entire agreement. </w:t>
      </w:r>
      <w:r>
        <w:rPr>
          <w:b w:val="0"/>
        </w:rPr>
        <w:t>This Agreement, together with Schedule A and the RFP Terms incorporated under Section 1.3, is the entire agreement between the Parties regarding the pledge and supersedes all prior discussions.</w:t>
      </w:r>
    </w:p>
    <w:p>
      <w:pPr>
        <w:spacing w:after="160"/>
        <w:jc w:val="both"/>
      </w:pPr>
      <w:r>
        <w:rPr>
          <w:b/>
        </w:rPr>
        <w:t xml:space="preserve">11.2  </w:t>
      </w:r>
      <w:r>
        <w:rPr>
          <w:b/>
        </w:rPr>
        <w:t xml:space="preserve">Amendments. </w:t>
      </w:r>
      <w:r>
        <w:rPr>
          <w:b w:val="0"/>
        </w:rPr>
        <w:t>Any amendment must be in writing and signed by both Parties.</w:t>
      </w:r>
    </w:p>
    <w:p>
      <w:pPr>
        <w:spacing w:after="160"/>
        <w:jc w:val="both"/>
      </w:pPr>
      <w:r>
        <w:rPr>
          <w:b/>
        </w:rPr>
        <w:t xml:space="preserve">11.3  </w:t>
      </w:r>
      <w:r>
        <w:rPr>
          <w:b/>
        </w:rPr>
        <w:t xml:space="preserve">Assignment. </w:t>
      </w:r>
      <w:r>
        <w:rPr>
          <w:b w:val="0"/>
        </w:rPr>
        <w:t>The Pledgor may not assign this Agreement without TheDAO’s prior written consent. TheDAO may assign this Agreement to a successor entity that assumes administration of the RFP program, with notice to the Pledgor.</w:t>
      </w:r>
    </w:p>
    <w:p>
      <w:pPr>
        <w:spacing w:after="160"/>
        <w:jc w:val="both"/>
      </w:pPr>
      <w:r>
        <w:rPr>
          <w:b/>
        </w:rPr>
        <w:t xml:space="preserve">11.4  </w:t>
      </w:r>
      <w:r>
        <w:rPr>
          <w:b/>
        </w:rPr>
        <w:t xml:space="preserve">Severability. </w:t>
      </w:r>
      <w:r>
        <w:rPr>
          <w:b w:val="0"/>
        </w:rPr>
        <w:t>If any provision of this Agreement is held to be invalid, illegal, or unenforceable, such provision shall be enforced to the maximum extent permissible, and the remaining provisions shall remain in full force and effect. The Parties shall replace any invalid provision with a valid provision that most closely reflects the original intent and economic allocation of risk.</w:t>
      </w:r>
    </w:p>
    <w:p>
      <w:pPr>
        <w:spacing w:after="160"/>
        <w:jc w:val="both"/>
      </w:pPr>
      <w:r>
        <w:rPr>
          <w:b/>
        </w:rPr>
        <w:t xml:space="preserve">11.5  </w:t>
      </w:r>
      <w:r>
        <w:rPr>
          <w:b/>
        </w:rPr>
        <w:t xml:space="preserve">No waiver. </w:t>
      </w:r>
      <w:r>
        <w:rPr>
          <w:b w:val="0"/>
        </w:rPr>
        <w:t>Failure to enforce any provision is not a waiver.</w:t>
      </w:r>
    </w:p>
    <w:p>
      <w:pPr>
        <w:spacing w:after="160"/>
        <w:jc w:val="both"/>
      </w:pPr>
      <w:r>
        <w:rPr>
          <w:b/>
        </w:rPr>
        <w:t xml:space="preserve">11.6  </w:t>
      </w:r>
      <w:r>
        <w:rPr>
          <w:b/>
        </w:rPr>
        <w:t xml:space="preserve">Counterparts; electronic signature. </w:t>
      </w:r>
      <w:r>
        <w:rPr>
          <w:b w:val="0"/>
        </w:rPr>
        <w:t>This Agreement may be executed in counterparts, including by electronic signature, each of which is an original and all of which together are one instrument.</w:t>
      </w:r>
    </w:p>
    <w:p>
      <w:pPr>
        <w:spacing w:after="120" w:before="0"/>
        <w:jc w:val="both"/>
      </w:pPr>
    </w:p>
    <w:p>
      <w:pPr>
        <w:spacing w:after="200" w:before="0"/>
        <w:jc w:val="both"/>
      </w:pPr>
      <w:r>
        <w:rPr>
          <w:b w:val="0"/>
          <w:i w:val="0"/>
          <w:sz w:val="22"/>
        </w:rPr>
        <w:t>IN WITNESS WHEREOF, the Parties have executed this Agreement as of the Effective Date, the date of the last signature affixed hereto.</w:t>
      </w:r>
    </w:p>
    <w:p>
      <w:pPr>
        <w:spacing w:after="400" w:before="0"/>
        <w:jc w:val="both"/>
      </w:pPr>
      <w:r>
        <w:rPr>
          <w:b w:val="0"/>
          <w:i w:val="0"/>
          <w:sz w:val="22"/>
        </w:rPr>
        <w:t>TheDAO represents and warrants that this Agreement has been duly approved in accordance with its governing documents and that the undersigned has full authority to execute this Agreement on behalf of TheDAO.</w:t>
      </w:r>
    </w:p>
    <w:tbl>
      <w:tblPr>
        <w:tblW w:type="auto" w:w="0"/>
        <w:jc w:val="center"/>
        <w:tblLayout w:type="fixed"/>
        <w:tblLook w:firstColumn="1" w:firstRow="1" w:lastColumn="0" w:lastRow="0" w:noHBand="0" w:noVBand="1" w:val="04A0"/>
      </w:tblPr>
      <w:tblGrid>
        <w:gridCol w:w="4680"/>
        <w:gridCol w:w="4680"/>
      </w:tblGrid>
      <w:tr>
        <w:tc>
          <w:tcPr>
            <w:tcW w:type="dxa" w:w="4464"/>
          </w:tcPr>
          <w:p>
            <w:pPr>
              <w:spacing w:after="200"/>
            </w:pPr>
            <w:r>
              <w:rPr>
                <w:rFonts w:ascii="Times New Roman" w:hAnsi="Times New Roman"/>
                <w:b/>
                <w:sz w:val="22"/>
              </w:rPr>
              <w:t>THEDAO</w:t>
            </w:r>
          </w:p>
        </w:tc>
        <w:tc>
          <w:tcPr>
            <w:tcW w:type="dxa" w:w="4464"/>
          </w:tcPr>
          <w:p>
            <w:pPr>
              <w:spacing w:after="200"/>
            </w:pPr>
            <w:r>
              <w:rPr>
                <w:rFonts w:ascii="Times New Roman" w:hAnsi="Times New Roman"/>
                <w:b/>
                <w:sz w:val="22"/>
              </w:rPr>
              <w:t>PLEDGOR</w:t>
            </w:r>
          </w:p>
        </w:tc>
      </w:tr>
      <w:tr>
        <w:tc>
          <w:tcPr>
            <w:tcW w:type="dxa" w:w="4464"/>
          </w:tcPr>
          <w:p>
            <w:pPr>
              <w:spacing w:after="200"/>
            </w:pPr>
            <w:r>
              <w:rPr>
                <w:rFonts w:ascii="Times New Roman" w:hAnsi="Times New Roman"/>
                <w:sz w:val="22"/>
              </w:rPr>
            </w:r>
          </w:p>
        </w:tc>
        <w:tc>
          <w:tcPr>
            <w:tcW w:type="dxa" w:w="4464"/>
          </w:tcPr>
          <w:p>
            <w:pPr>
              <w:spacing w:after="200"/>
            </w:pPr>
            <w:r>
              <w:rPr>
                <w:rFonts w:ascii="Times New Roman" w:hAnsi="Times New Roman"/>
                <w:sz w:val="22"/>
              </w:rPr>
            </w:r>
          </w:p>
        </w:tc>
      </w:tr>
      <w:tr>
        <w:tc>
          <w:tcPr>
            <w:tcW w:type="dxa" w:w="4464"/>
          </w:tcPr>
          <w:p>
            <w:pPr>
              <w:spacing w:after="200"/>
            </w:pPr>
            <w:r>
              <w:rPr>
                <w:rFonts w:ascii="Times New Roman" w:hAnsi="Times New Roman"/>
                <w:sz w:val="22"/>
              </w:rPr>
              <w:t>Authorized Execution: ________________</w:t>
            </w:r>
          </w:p>
        </w:tc>
        <w:tc>
          <w:tcPr>
            <w:tcW w:type="dxa" w:w="4464"/>
          </w:tcPr>
          <w:p>
            <w:pPr>
              <w:spacing w:after="200"/>
            </w:pPr>
            <w:r>
              <w:rPr>
                <w:rFonts w:ascii="Times New Roman" w:hAnsi="Times New Roman"/>
                <w:sz w:val="22"/>
              </w:rPr>
              <w:t>Signature: _________________________</w:t>
            </w:r>
          </w:p>
        </w:tc>
      </w:tr>
      <w:tr>
        <w:tc>
          <w:tcPr>
            <w:tcW w:type="dxa" w:w="4464"/>
          </w:tcPr>
          <w:p>
            <w:pPr>
              <w:spacing w:after="200"/>
            </w:pPr>
            <w:r>
              <w:rPr>
                <w:rFonts w:ascii="Times New Roman" w:hAnsi="Times New Roman"/>
                <w:sz w:val="22"/>
              </w:rPr>
              <w:t>Name / Identifier: [NAME]</w:t>
            </w:r>
          </w:p>
        </w:tc>
        <w:tc>
          <w:tcPr>
            <w:tcW w:type="dxa" w:w="4464"/>
          </w:tcPr>
          <w:p>
            <w:pPr>
              <w:spacing w:after="200"/>
            </w:pPr>
            <w:r>
              <w:rPr>
                <w:rFonts w:ascii="Times New Roman" w:hAnsi="Times New Roman"/>
                <w:sz w:val="22"/>
              </w:rPr>
              <w:t>Name: ______________________________</w:t>
            </w:r>
          </w:p>
        </w:tc>
      </w:tr>
      <w:tr>
        <w:tc>
          <w:tcPr>
            <w:tcW w:type="dxa" w:w="4464"/>
          </w:tcPr>
          <w:p>
            <w:pPr>
              <w:spacing w:after="200"/>
            </w:pPr>
            <w:r>
              <w:rPr>
                <w:rFonts w:ascii="Times New Roman" w:hAnsi="Times New Roman"/>
                <w:sz w:val="22"/>
              </w:rPr>
              <w:t>Capacity: Curator</w:t>
            </w:r>
          </w:p>
        </w:tc>
        <w:tc>
          <w:tcPr>
            <w:tcW w:type="dxa" w:w="4464"/>
          </w:tcPr>
          <w:p>
            <w:pPr>
              <w:spacing w:after="200"/>
            </w:pPr>
            <w:r>
              <w:rPr>
                <w:rFonts w:ascii="Times New Roman" w:hAnsi="Times New Roman"/>
                <w:sz w:val="22"/>
              </w:rPr>
              <w:t>Title: _______________________________</w:t>
            </w:r>
          </w:p>
        </w:tc>
      </w:tr>
      <w:tr>
        <w:tc>
          <w:tcPr>
            <w:tcW w:type="dxa" w:w="4464"/>
          </w:tcPr>
          <w:p>
            <w:pPr>
              <w:spacing w:after="200"/>
            </w:pPr>
            <w:r>
              <w:rPr>
                <w:rFonts w:ascii="Times New Roman" w:hAnsi="Times New Roman"/>
                <w:sz w:val="22"/>
              </w:rPr>
              <w:t>Date: ______________________________</w:t>
            </w:r>
          </w:p>
        </w:tc>
        <w:tc>
          <w:tcPr>
            <w:tcW w:type="dxa" w:w="4464"/>
          </w:tcPr>
          <w:p>
            <w:pPr>
              <w:spacing w:after="200"/>
            </w:pPr>
            <w:r>
              <w:rPr>
                <w:rFonts w:ascii="Times New Roman" w:hAnsi="Times New Roman"/>
                <w:sz w:val="22"/>
              </w:rPr>
              <w:t>Date: ______________________________</w:t>
            </w:r>
          </w:p>
        </w:tc>
      </w:tr>
    </w:tbl>
    <w:p>
      <w:r>
        <w:br w:type="page"/>
      </w:r>
    </w:p>
    <w:p>
      <w:pPr>
        <w:spacing w:after="40" w:before="0"/>
        <w:jc w:val="center"/>
      </w:pPr>
      <w:r>
        <w:rPr>
          <w:b/>
          <w:i w:val="0"/>
          <w:sz w:val="26"/>
        </w:rPr>
        <w:t>SCHEDULE A</w:t>
      </w:r>
    </w:p>
    <w:p>
      <w:pPr>
        <w:spacing w:after="280" w:before="0"/>
        <w:jc w:val="center"/>
      </w:pPr>
      <w:r>
        <w:rPr>
          <w:b w:val="0"/>
          <w:i/>
          <w:sz w:val="22"/>
        </w:rPr>
        <w:t>Pledge Details</w:t>
      </w:r>
    </w:p>
    <w:tbl>
      <w:tblPr>
        <w:tblStyle w:val="TableGrid"/>
        <w:tblW w:type="auto" w:w="0"/>
        <w:jc w:val="center"/>
        <w:tblLayout w:type="fixed"/>
        <w:tblLook w:firstColumn="1" w:firstRow="1" w:lastColumn="0" w:lastRow="0" w:noHBand="0" w:noVBand="1" w:val="04A0"/>
      </w:tblPr>
      <w:tblGrid>
        <w:gridCol w:w="4680"/>
        <w:gridCol w:w="4680"/>
      </w:tblGrid>
      <w:tr>
        <w:tc>
          <w:tcPr>
            <w:tcW w:type="dxa" w:w="4752"/>
          </w:tcPr>
          <w:p>
            <w:pPr>
              <w:spacing w:after="80" w:before="80"/>
            </w:pPr>
            <w:r>
              <w:rPr>
                <w:rFonts w:ascii="Times New Roman" w:hAnsi="Times New Roman"/>
                <w:b/>
                <w:sz w:val="21"/>
              </w:rPr>
              <w:t>Pledgor legal name</w:t>
            </w:r>
          </w:p>
        </w:tc>
        <w:tc>
          <w:tcPr>
            <w:tcW w:type="dxa" w:w="4608"/>
          </w:tcPr>
          <w:p>
            <w:pPr>
              <w:spacing w:after="80" w:before="80"/>
            </w:pPr>
            <w:r>
              <w:rPr>
                <w:rFonts w:ascii="Times New Roman" w:hAnsi="Times New Roman"/>
                <w:sz w:val="21"/>
              </w:rPr>
            </w:r>
          </w:p>
        </w:tc>
      </w:tr>
      <w:tr>
        <w:tc>
          <w:tcPr>
            <w:tcW w:type="dxa" w:w="4752"/>
          </w:tcPr>
          <w:p>
            <w:pPr>
              <w:spacing w:after="80" w:before="80"/>
            </w:pPr>
            <w:r>
              <w:rPr>
                <w:rFonts w:ascii="Times New Roman" w:hAnsi="Times New Roman"/>
                <w:b/>
                <w:sz w:val="21"/>
              </w:rPr>
              <w:t>Entity type and jurisdiction (or “individual”)</w:t>
            </w:r>
          </w:p>
        </w:tc>
        <w:tc>
          <w:tcPr>
            <w:tcW w:type="dxa" w:w="4608"/>
          </w:tcPr>
          <w:p>
            <w:pPr>
              <w:spacing w:after="80" w:before="80"/>
            </w:pPr>
            <w:r>
              <w:rPr>
                <w:rFonts w:ascii="Times New Roman" w:hAnsi="Times New Roman"/>
                <w:sz w:val="21"/>
              </w:rPr>
            </w:r>
          </w:p>
        </w:tc>
      </w:tr>
      <w:tr>
        <w:tc>
          <w:tcPr>
            <w:tcW w:type="dxa" w:w="4752"/>
          </w:tcPr>
          <w:p>
            <w:pPr>
              <w:spacing w:after="80" w:before="80"/>
            </w:pPr>
            <w:r>
              <w:rPr>
                <w:rFonts w:ascii="Times New Roman" w:hAnsi="Times New Roman"/>
                <w:b/>
                <w:sz w:val="21"/>
              </w:rPr>
              <w:t>Contact name</w:t>
            </w:r>
          </w:p>
        </w:tc>
        <w:tc>
          <w:tcPr>
            <w:tcW w:type="dxa" w:w="4608"/>
          </w:tcPr>
          <w:p>
            <w:pPr>
              <w:spacing w:after="80" w:before="80"/>
            </w:pPr>
            <w:r>
              <w:rPr>
                <w:rFonts w:ascii="Times New Roman" w:hAnsi="Times New Roman"/>
                <w:sz w:val="21"/>
              </w:rPr>
            </w:r>
          </w:p>
        </w:tc>
      </w:tr>
      <w:tr>
        <w:tc>
          <w:tcPr>
            <w:tcW w:type="dxa" w:w="4752"/>
          </w:tcPr>
          <w:p>
            <w:pPr>
              <w:spacing w:after="80" w:before="80"/>
            </w:pPr>
            <w:r>
              <w:rPr>
                <w:rFonts w:ascii="Times New Roman" w:hAnsi="Times New Roman"/>
                <w:b/>
                <w:sz w:val="21"/>
              </w:rPr>
              <w:t>Notice email address</w:t>
            </w:r>
          </w:p>
        </w:tc>
        <w:tc>
          <w:tcPr>
            <w:tcW w:type="dxa" w:w="4608"/>
          </w:tcPr>
          <w:p>
            <w:pPr>
              <w:spacing w:after="80" w:before="80"/>
            </w:pPr>
            <w:r>
              <w:rPr>
                <w:rFonts w:ascii="Times New Roman" w:hAnsi="Times New Roman"/>
                <w:sz w:val="21"/>
              </w:rPr>
            </w:r>
          </w:p>
        </w:tc>
      </w:tr>
      <w:tr>
        <w:tc>
          <w:tcPr>
            <w:tcW w:type="dxa" w:w="4752"/>
          </w:tcPr>
          <w:p>
            <w:pPr>
              <w:spacing w:after="80" w:before="80"/>
            </w:pPr>
            <w:r>
              <w:rPr>
                <w:rFonts w:ascii="Times New Roman" w:hAnsi="Times New Roman"/>
                <w:b/>
                <w:sz w:val="21"/>
              </w:rPr>
              <w:t>Pledgor wallet address (for any return under Section 5)</w:t>
            </w:r>
          </w:p>
        </w:tc>
        <w:tc>
          <w:tcPr>
            <w:tcW w:type="dxa" w:w="4608"/>
          </w:tcPr>
          <w:p>
            <w:pPr>
              <w:spacing w:after="80" w:before="80"/>
            </w:pPr>
            <w:r>
              <w:rPr>
                <w:rFonts w:ascii="Times New Roman" w:hAnsi="Times New Roman"/>
                <w:sz w:val="21"/>
              </w:rPr>
            </w:r>
          </w:p>
        </w:tc>
      </w:tr>
      <w:tr>
        <w:tc>
          <w:tcPr>
            <w:tcW w:type="dxa" w:w="4752"/>
          </w:tcPr>
          <w:p>
            <w:pPr>
              <w:spacing w:after="80" w:before="80"/>
            </w:pPr>
            <w:r>
              <w:rPr>
                <w:rFonts w:ascii="Times New Roman" w:hAnsi="Times New Roman"/>
                <w:b/>
                <w:sz w:val="21"/>
              </w:rPr>
              <w:t>Supported RFP title</w:t>
            </w:r>
          </w:p>
        </w:tc>
        <w:tc>
          <w:tcPr>
            <w:tcW w:type="dxa" w:w="4608"/>
          </w:tcPr>
          <w:p>
            <w:pPr>
              <w:spacing w:after="80" w:before="80"/>
            </w:pPr>
            <w:r>
              <w:rPr>
                <w:rFonts w:ascii="Times New Roman" w:hAnsi="Times New Roman"/>
                <w:sz w:val="21"/>
              </w:rPr>
            </w:r>
          </w:p>
        </w:tc>
      </w:tr>
      <w:tr>
        <w:tc>
          <w:tcPr>
            <w:tcW w:type="dxa" w:w="4752"/>
          </w:tcPr>
          <w:p>
            <w:pPr>
              <w:spacing w:after="80" w:before="80"/>
            </w:pPr>
            <w:r>
              <w:rPr>
                <w:rFonts w:ascii="Times New Roman" w:hAnsi="Times New Roman"/>
                <w:b/>
                <w:sz w:val="21"/>
              </w:rPr>
              <w:t>Funding goal (USD)</w:t>
            </w:r>
          </w:p>
        </w:tc>
        <w:tc>
          <w:tcPr>
            <w:tcW w:type="dxa" w:w="4608"/>
          </w:tcPr>
          <w:p>
            <w:pPr>
              <w:spacing w:after="80" w:before="80"/>
            </w:pPr>
            <w:r>
              <w:rPr>
                <w:rFonts w:ascii="Times New Roman" w:hAnsi="Times New Roman"/>
                <w:sz w:val="21"/>
              </w:rPr>
              <w:t>$</w:t>
            </w:r>
          </w:p>
        </w:tc>
      </w:tr>
      <w:tr>
        <w:tc>
          <w:tcPr>
            <w:tcW w:type="dxa" w:w="4752"/>
          </w:tcPr>
          <w:p>
            <w:pPr>
              <w:spacing w:after="80" w:before="80"/>
            </w:pPr>
            <w:r>
              <w:rPr>
                <w:rFonts w:ascii="Times New Roman" w:hAnsi="Times New Roman"/>
                <w:b/>
                <w:sz w:val="21"/>
              </w:rPr>
              <w:t>Pledged Amount (USD)</w:t>
            </w:r>
          </w:p>
        </w:tc>
        <w:tc>
          <w:tcPr>
            <w:tcW w:type="dxa" w:w="4608"/>
          </w:tcPr>
          <w:p>
            <w:pPr>
              <w:spacing w:after="80" w:before="80"/>
            </w:pPr>
            <w:r>
              <w:rPr>
                <w:rFonts w:ascii="Times New Roman" w:hAnsi="Times New Roman"/>
                <w:sz w:val="21"/>
              </w:rPr>
              <w:t>$</w:t>
            </w:r>
          </w:p>
        </w:tc>
      </w:tr>
      <w:tr>
        <w:tc>
          <w:tcPr>
            <w:tcW w:type="dxa" w:w="4752"/>
          </w:tcPr>
          <w:p>
            <w:pPr>
              <w:spacing w:after="80" w:before="80"/>
            </w:pPr>
            <w:r>
              <w:rPr>
                <w:rFonts w:ascii="Times New Roman" w:hAnsi="Times New Roman"/>
                <w:b/>
                <w:sz w:val="21"/>
              </w:rPr>
              <w:t>Receiving multisig address</w:t>
            </w:r>
          </w:p>
        </w:tc>
        <w:tc>
          <w:tcPr>
            <w:tcW w:type="dxa" w:w="4608"/>
          </w:tcPr>
          <w:p>
            <w:pPr>
              <w:spacing w:after="80" w:before="80"/>
            </w:pPr>
            <w:r>
              <w:rPr>
                <w:rFonts w:ascii="Times New Roman" w:hAnsi="Times New Roman"/>
                <w:sz w:val="21"/>
              </w:rPr>
            </w:r>
          </w:p>
        </w:tc>
      </w:tr>
      <w:tr>
        <w:tc>
          <w:tcPr>
            <w:tcW w:type="dxa" w:w="4752"/>
          </w:tcPr>
          <w:p>
            <w:pPr>
              <w:spacing w:after="80" w:before="80"/>
            </w:pPr>
            <w:r>
              <w:rPr>
                <w:rFonts w:ascii="Times New Roman" w:hAnsi="Times New Roman"/>
                <w:b/>
                <w:sz w:val="21"/>
              </w:rPr>
              <w:t>Network on which the multisig is deployed</w:t>
            </w:r>
          </w:p>
        </w:tc>
        <w:tc>
          <w:tcPr>
            <w:tcW w:type="dxa" w:w="4608"/>
          </w:tcPr>
          <w:p>
            <w:pPr>
              <w:spacing w:after="80" w:before="80"/>
            </w:pPr>
            <w:r>
              <w:rPr>
                <w:rFonts w:ascii="Times New Roman" w:hAnsi="Times New Roman"/>
                <w:sz w:val="21"/>
              </w:rPr>
            </w:r>
          </w:p>
        </w:tc>
      </w:tr>
      <w:tr>
        <w:tc>
          <w:tcPr>
            <w:tcW w:type="dxa" w:w="4752"/>
          </w:tcPr>
          <w:p>
            <w:pPr>
              <w:spacing w:after="80" w:before="80"/>
            </w:pPr>
            <w:r>
              <w:rPr>
                <w:rFonts w:ascii="Times New Roman" w:hAnsi="Times New Roman"/>
                <w:b/>
                <w:sz w:val="21"/>
              </w:rPr>
              <w:t>Logo provided for use under Section 4 (file name or link)</w:t>
            </w:r>
          </w:p>
        </w:tc>
        <w:tc>
          <w:tcPr>
            <w:tcW w:type="dxa" w:w="4608"/>
          </w:tcPr>
          <w:p>
            <w:pPr>
              <w:spacing w:after="80" w:before="80"/>
            </w:pPr>
            <w:r>
              <w:rPr>
                <w:rFonts w:ascii="Times New Roman" w:hAnsi="Times New Roman"/>
                <w:sz w:val="21"/>
              </w:rPr>
            </w:r>
          </w:p>
        </w:tc>
      </w:tr>
      <w:tr>
        <w:tc>
          <w:tcPr>
            <w:tcW w:type="dxa" w:w="4752"/>
          </w:tcPr>
          <w:p>
            <w:pPr>
              <w:spacing w:after="80" w:before="80"/>
            </w:pPr>
            <w:r>
              <w:rPr>
                <w:rFonts w:ascii="Times New Roman" w:hAnsi="Times New Roman"/>
                <w:b/>
                <w:sz w:val="21"/>
              </w:rPr>
              <w:t>Brand guidelines provided (if any)</w:t>
            </w:r>
          </w:p>
        </w:tc>
        <w:tc>
          <w:tcPr>
            <w:tcW w:type="dxa" w:w="4608"/>
          </w:tcPr>
          <w:p>
            <w:pPr>
              <w:spacing w:after="80" w:before="80"/>
            </w:pPr>
            <w:r>
              <w:rPr>
                <w:rFonts w:ascii="Times New Roman" w:hAnsi="Times New Roman"/>
                <w:sz w:val="21"/>
              </w:rPr>
            </w:r>
          </w:p>
        </w:tc>
      </w:tr>
    </w:tbl>
    <w:p>
      <w:pPr>
        <w:spacing w:after="160" w:before="0"/>
        <w:jc w:val="both"/>
      </w:pPr>
    </w:p>
    <w:p>
      <w:pPr>
        <w:spacing w:after="160" w:before="0"/>
        <w:jc w:val="both"/>
      </w:pPr>
      <w:r>
        <w:rPr>
          <w:b w:val="0"/>
          <w:i/>
          <w:sz w:val="20"/>
        </w:rPr>
        <w:t>The Pledgor’s logo, if provided, is attached to this Schedule A or delivered by the link above.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Times New Roman" w:hAnsi="Times New Roman" w:cs="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