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w:t>
      </w:r>
      <w:r w:rsidR="00F73D91">
        <w:rPr>
          <w:rFonts w:asciiTheme="majorHAnsi" w:hAnsiTheme="majorHAnsi" w:cstheme="majorHAnsi"/>
          <w:color w:val="FFFF00"/>
        </w:rPr>
        <w:t>, or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w:t>
      </w:r>
      <w:bookmarkStart w:id="11" w:name="_GoBack"/>
      <w:bookmarkEnd w:id="11"/>
      <w:r>
        <w:rPr>
          <w:rFonts w:asciiTheme="majorHAnsi" w:hAnsiTheme="majorHAnsi" w:cstheme="majorHAnsi"/>
          <w:color w:val="FFFF00"/>
        </w:rPr>
        <w:t xml:space="preserve">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Pr="00A331EC"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DA3D4F" w:rsidRPr="003C0FBD" w:rsidRDefault="00DA3D4F" w:rsidP="00DA3D4F">
      <w:pPr>
        <w:pStyle w:val="Heading1"/>
      </w:pPr>
      <w:bookmarkStart w:id="12" w:name="_Creating_a_new"/>
      <w:bookmarkEnd w:id="12"/>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BlSprite.LODs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BlGeometry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BasicEffect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r>
        <w:rPr>
          <w:rFonts w:asciiTheme="majorHAnsi" w:hAnsiTheme="majorHAnsi" w:cstheme="majorHAnsi"/>
          <w:color w:val="FFFF00"/>
        </w:rPr>
        <w:t>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To use them, you instantiate a BlBasicEffect</w:t>
      </w:r>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SetEffect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r w:rsidR="008851E4">
        <w:rPr>
          <w:rFonts w:asciiTheme="majorHAnsi" w:hAnsiTheme="majorHAnsi" w:cstheme="majorHAnsi"/>
          <w:color w:val="FFFF00"/>
        </w:rPr>
        <w:t>src/</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BlBasicEffect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 xml:space="preserve">upBasicEffect.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 xml:space="preserve">AlphaTest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2" w:name="_Translucency_with_the"/>
      <w:bookmarkEnd w:id="22"/>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Translucency with the BlBasicEffectAlphaTest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called, but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01410-FA9C-45FC-868E-F850F21A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11797</TotalTime>
  <Pages>1</Pages>
  <Words>6892</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468</cp:revision>
  <cp:lastPrinted>2018-07-15T21:48:00Z</cp:lastPrinted>
  <dcterms:created xsi:type="dcterms:W3CDTF">2018-07-18T11:52:00Z</dcterms:created>
  <dcterms:modified xsi:type="dcterms:W3CDTF">2018-11-07T12:34:00Z</dcterms:modified>
</cp:coreProperties>
</file>