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FFFFFF" w:fill="FFFFFF" w:themeFill="background1"/>
        <w:spacing w:before="240" w:after="0"/>
        <w:rPr>
          <w:color w:val="auto"/>
        </w:rPr>
      </w:pPr>
      <w:r>
        <w:rPr>
          <w:rFonts w:cs="Calibri Light"/>
          <w:color w:val="auto"/>
        </w:rPr>
        <w:t>Blotch3D</w:t>
      </w:r>
    </w:p>
    <w:p>
      <w:pPr>
        <w:pStyle w:val="Heading1"/>
        <w:shd w:val="clear" w:color="FFFFFF" w:fill="FFFFFF" w:themeFill="background1"/>
        <w:spacing w:before="240" w:after="0"/>
        <w:rPr>
          <w:color w:val="auto"/>
        </w:rPr>
      </w:pPr>
      <w:r>
        <w:rPr>
          <w:color w:val="auto"/>
        </w:rPr>
      </w:r>
    </w:p>
    <w:p>
      <w:pPr>
        <w:pStyle w:val="Heading2"/>
        <w:shd w:val="clear" w:fill="FFFFFF"/>
        <w:rPr>
          <w:color w:val="auto"/>
        </w:rPr>
      </w:pPr>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0" w:name="_Toc5196597021"/>
      <w:bookmarkStart w:id="1" w:name="_Toc5173343401"/>
      <w:bookmarkStart w:id="2" w:name="_Toc5170556941"/>
      <w:bookmarkStart w:id="3" w:name="_Toc5161170231"/>
      <w:bookmarkStart w:id="4" w:name="_Quick_start_for"/>
      <w:bookmarkEnd w:id="0"/>
      <w:bookmarkEnd w:id="1"/>
      <w:bookmarkEnd w:id="2"/>
      <w:bookmarkEnd w:id="3"/>
      <w:bookmarkEnd w:id="4"/>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all versions of .NET.</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5" w:name="_Developing_with_Blotch3D"/>
      <w:bookmarkStart w:id="6" w:name="_Creating_and_using"/>
      <w:bookmarkStart w:id="7" w:name="_Creating_a_3D"/>
      <w:bookmarkEnd w:id="5"/>
      <w:bookmarkEnd w:id="6"/>
      <w:bookmarkEnd w:id="7"/>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8" w:name="_Creating_a_new"/>
      <w:bookmarkEnd w:id="8"/>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w:t>
      </w:r>
      <w:r>
        <w:rPr>
          <w:rFonts w:cs="Calibri Light" w:ascii="Calibri Light" w:hAnsi="Calibri Light"/>
          <w:color w:val="auto"/>
        </w:rPr>
        <w:t xml:space="preserve">use an existing or </w:t>
      </w:r>
      <w:r>
        <w:rPr>
          <w:rFonts w:cs="Calibri Light" w:ascii="Calibri Light" w:hAnsi="Calibri Light"/>
          <w:color w:val="auto"/>
        </w:rPr>
        <w:t>new .</w:t>
      </w:r>
      <w:r>
        <w:rPr>
          <w:rFonts w:cs="Calibri Light" w:ascii="Calibri Light" w:hAnsi="Calibri Light"/>
          <w:color w:val="auto"/>
        </w:rPr>
        <w:t xml:space="preserve">NET 5, 6, 7, 8, Framework, or </w:t>
      </w:r>
      <w:r>
        <w:rPr>
          <w:rFonts w:cs="Calibri Light" w:ascii="Calibri Light" w:hAnsi="Calibri Light"/>
          <w:color w:val="auto"/>
        </w:rPr>
        <w:t>Core 3.x/WPF Core 3.x/Windows Forms Core  3.x project and add a reference to the Blotch3D project or the Blotch3D NuGet package.</w:t>
      </w:r>
    </w:p>
    <w:p>
      <w:pPr>
        <w:pStyle w:val="Normal"/>
        <w:shd w:val="clear" w:color="FFFFFF" w:fill="FFFFFF" w:themeFill="background1"/>
        <w:rPr>
          <w:color w:val="auto"/>
        </w:rPr>
      </w:pPr>
      <w:r>
        <w:rPr>
          <w:rFonts w:cs="Calibri Light" w:ascii="Calibri Light" w:hAnsi="Calibri Light"/>
          <w:color w:val="auto"/>
        </w:rPr>
        <w:t xml:space="preserve">If you get </w:t>
      </w:r>
      <w:r>
        <w:rPr>
          <w:rFonts w:cs="Calibri Light" w:ascii="Calibri Light" w:hAnsi="Calibri Light"/>
          <w:color w:val="auto"/>
        </w:rPr>
        <w:t xml:space="preserve">a weird startup bug where it won’t load SDL2.dll, </w:t>
      </w:r>
      <w:r>
        <w:rPr>
          <w:rFonts w:cs="Calibri Light" w:ascii="Calibri Light" w:hAnsi="Calibri Light"/>
          <w:color w:val="auto"/>
        </w:rPr>
        <w:t>also</w:t>
      </w:r>
      <w:r>
        <w:rPr>
          <w:rFonts w:cs="Calibri Light" w:ascii="Calibri Light" w:hAnsi="Calibri Light"/>
          <w:color w:val="auto"/>
        </w:rPr>
        <w:t xml:space="preserve"> add the NuGet package ‘MonoGame.Framework.DesktopGL’ via the solution’s NuGet screen. (You </w:t>
      </w:r>
      <w:r>
        <w:rPr>
          <w:rFonts w:cs="Calibri Light" w:ascii="Calibri Light" w:hAnsi="Calibri Light"/>
          <w:color w:val="auto"/>
        </w:rPr>
        <w:t xml:space="preserve">may </w:t>
      </w:r>
      <w:r>
        <w:rPr>
          <w:rFonts w:cs="Calibri Light" w:ascii="Calibri Light" w:hAnsi="Calibri Light"/>
          <w:color w:val="auto"/>
        </w:rPr>
        <w:t>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9" w:name="_Toc519659705"/>
      <w:bookmarkStart w:id="10" w:name="_Development"/>
      <w:bookmarkStart w:id="11" w:name="_Developmen"/>
      <w:bookmarkEnd w:id="10"/>
      <w:bookmarkEnd w:id="11"/>
      <w:r>
        <w:rPr>
          <w:color w:val="auto"/>
        </w:rPr>
        <w:t>Development</w:t>
      </w:r>
      <w:bookmarkEnd w:id="9"/>
      <w:r>
        <w:rPr>
          <w:color w:val="auto"/>
        </w:rPr>
        <w:t xml:space="preserve"> overview</w:t>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To create a 3D window, do either of the following:</w:t>
      </w:r>
    </w:p>
    <w:p>
      <w:pPr>
        <w:pStyle w:val="Normal"/>
        <w:shd w:val="clear" w:color="FFFFFF" w:fill="FFFFFF" w:themeFill="background1"/>
        <w:spacing w:lineRule="auto" w:line="240" w:before="0" w:after="0"/>
        <w:rPr>
          <w:color w:val="auto"/>
        </w:rPr>
      </w:pPr>
      <w:r>
        <w:rPr>
          <w:color w:val="auto"/>
        </w:rPr>
      </w:r>
    </w:p>
    <w:p>
      <w:pPr>
        <w:pStyle w:val="Normal"/>
        <w:numPr>
          <w:ilvl w:val="0"/>
          <w:numId w:val="8"/>
        </w:numPr>
        <w:shd w:val="clear" w:color="FFFFFF" w:fill="FFFFFF" w:themeFill="background1"/>
        <w:spacing w:lineRule="auto" w:line="240" w:before="0" w:after="0"/>
        <w:rPr/>
      </w:pPr>
      <w:r>
        <w:rPr>
          <w:rFonts w:eastAsia="Calibri" w:cs="Calibri Light" w:ascii="Calibri Light" w:hAnsi="Calibri Light"/>
          <w:color w:val="auto"/>
          <w:kern w:val="0"/>
          <w:sz w:val="22"/>
          <w:szCs w:val="22"/>
          <w:lang w:val="en-US" w:eastAsia="en-US" w:bidi="ar-SA"/>
        </w:rPr>
        <w:t>Use BlWindow3d.Factory to create a BlWindow3d and then pass all pertinent code to it via delegates/lambdas. See BlotchExample15_NoDerivation for an example.</w:t>
      </w:r>
    </w:p>
    <w:p>
      <w:pPr>
        <w:pStyle w:val="Normal"/>
        <w:numPr>
          <w:ilvl w:val="0"/>
          <w:numId w:val="8"/>
        </w:numPr>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D</w:t>
      </w:r>
      <w:r>
        <w:rPr>
          <w:rFonts w:cs="Calibri Light" w:ascii="Calibri Light" w:hAnsi="Calibri Light"/>
          <w:color w:val="auto"/>
        </w:rPr>
        <w:t xml:space="preserve">erive a class from BlWindow3d and put your pertinent code in </w:t>
      </w:r>
      <w:r>
        <w:rPr>
          <w:rFonts w:eastAsia="Calibri" w:cs="Calibri Light" w:ascii="Calibri Light" w:hAnsi="Calibri Light"/>
          <w:color w:val="auto"/>
          <w:kern w:val="0"/>
          <w:sz w:val="22"/>
          <w:szCs w:val="22"/>
          <w:lang w:val="en-US" w:eastAsia="en-US" w:bidi="ar-SA"/>
        </w:rPr>
        <w:t>certain</w:t>
      </w:r>
      <w:r>
        <w:rPr>
          <w:rFonts w:cs="Calibri Light" w:ascii="Calibri Light" w:hAnsi="Calibri Light"/>
          <w:color w:val="auto"/>
        </w:rPr>
        <w:t xml:space="preserve"> of its overloaded methods. Then instantiate </w:t>
      </w:r>
      <w:r>
        <w:rPr>
          <w:rFonts w:eastAsia="Calibri" w:cs="Calibri Light" w:ascii="Calibri Light" w:hAnsi="Calibri Light"/>
          <w:color w:val="auto"/>
          <w:kern w:val="0"/>
          <w:sz w:val="22"/>
          <w:szCs w:val="22"/>
          <w:lang w:val="en-US" w:eastAsia="en-US" w:bidi="ar-SA"/>
        </w:rPr>
        <w:t>an</w:t>
      </w:r>
      <w:r>
        <w:rPr>
          <w:rFonts w:cs="Calibri Light" w:ascii="Calibri Light" w:hAnsi="Calibri Light"/>
          <w:color w:val="auto"/>
        </w:rPr>
        <w:t xml:space="preserve"> object of that class and call its Run method from the same thread. See all other examples </w:t>
      </w:r>
      <w:r>
        <w:rPr>
          <w:rFonts w:cs="Calibri Light" w:ascii="Calibri Light" w:hAnsi="Calibri Light"/>
          <w:i/>
          <w:iCs/>
          <w:color w:val="auto"/>
        </w:rPr>
        <w:t>except</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BlotchExample15_NoDerivation.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first method above is recommended for several reasons. The majority of examples use the second method only because its slightly less busy and therefore good for instruction.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These rather peculiar requirements arise because all 3D subsystems (like OpenGL and Direct3D) require that accesses of all 3D things concerning a window all be done from the same thread. So, this means do not try to make calls to 3D-related methods outside those overloaded BlWindow3d methods or the delegates/lambdas</w:t>
      </w:r>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You'll have 3D setup code for initializing a few things, and periodic code for drawing each frame. The setup code can go in the Setup overloaded method or it can be passed via a call to BlWindow3d.EnqueueCommandBlocking. The periodic code can go in the FrameDraw overloaded method or it can be specified in the BlWindow3d.FrameDrawDelegate. To make sure the frame code is not executed before the setup code, don't assign the FrameDrawDelegate until after the EnqueueCommandBlocking call to set things up!</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(If you use BlWindow3d factory to create the window, a separate thread is already used.)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12" w:name="_GoBack"/>
      <w:bookmarkEnd w:id="12"/>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13" w:name="_Toc519659706"/>
      <w:bookmarkStart w:id="14" w:name="_Toc517334343"/>
      <w:bookmarkStart w:id="15" w:name="_Toc517055697"/>
      <w:bookmarkStart w:id="16" w:name="_Toc516117027"/>
      <w:bookmarkStart w:id="17" w:name="_Making_and_using"/>
      <w:bookmarkStart w:id="18" w:name="_Making_3D_models"/>
      <w:bookmarkStart w:id="19" w:name="_Making_and"/>
      <w:bookmarkEnd w:id="17"/>
      <w:bookmarkEnd w:id="18"/>
      <w:bookmarkEnd w:id="19"/>
      <w:r>
        <w:rPr>
          <w:color w:val="auto"/>
        </w:rPr>
        <w:t xml:space="preserve">Making and using </w:t>
      </w:r>
      <w:bookmarkEnd w:id="13"/>
      <w:bookmarkEnd w:id="14"/>
      <w:bookmarkEnd w:id="15"/>
      <w:bookmarkEnd w:id="16"/>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0" w:name="_Custom_effects"/>
      <w:bookmarkEnd w:id="20"/>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21" w:name="_Translucency_with_the"/>
      <w:bookmarkEnd w:id="21"/>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9659707"/>
      <w:bookmarkStart w:id="23" w:name="_Toc517334344"/>
      <w:bookmarkStart w:id="24" w:name="_Toc517055698"/>
      <w:bookmarkStart w:id="25" w:name="_Dynamically_changing_a"/>
      <w:bookmarkStart w:id="26" w:name="_Introduction_to_Matrices"/>
      <w:bookmarkEnd w:id="25"/>
      <w:bookmarkEnd w:id="26"/>
      <w:r>
        <w:rPr>
          <w:color w:val="auto"/>
        </w:rPr>
        <w:t>Setting and dynamically changing a sprite’s scale, orientation, and position</w:t>
      </w:r>
      <w:bookmarkEnd w:id="22"/>
      <w:bookmarkEnd w:id="23"/>
      <w:bookmarkEnd w:id="24"/>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27" w:name="_Toc519659708"/>
      <w:bookmarkStart w:id="28" w:name="_Toc517334345"/>
      <w:bookmarkStart w:id="29" w:name="_Toc517055699"/>
      <w:bookmarkStart w:id="30" w:name="_Toc516117029"/>
      <w:bookmarkStart w:id="31" w:name="_Matrix_internals"/>
      <w:bookmarkEnd w:id="31"/>
      <w:r>
        <w:rPr>
          <w:color w:val="auto"/>
        </w:rPr>
        <w:t>Matrix internals</w:t>
      </w:r>
      <w:bookmarkEnd w:id="27"/>
      <w:bookmarkEnd w:id="28"/>
      <w:bookmarkEnd w:id="29"/>
      <w:bookmarkEnd w:id="30"/>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 xml:space="preserve">(Essentials are available in </w:t>
      </w:r>
      <w:hyperlink r:id="rId12">
        <w:r>
          <w:rPr>
            <w:rStyle w:val="InternetLink"/>
            <w:rFonts w:eastAsia="Calibri" w:cs="Calibri Light" w:ascii="Calibri Light" w:hAnsi="Calibri Light"/>
            <w:color w:val="auto"/>
            <w:kern w:val="0"/>
            <w:sz w:val="22"/>
            <w:szCs w:val="22"/>
            <w:lang w:val="en-US" w:eastAsia="en-US" w:bidi="ar-SA"/>
          </w:rPr>
          <w:t>https://github.com/Blotch3D/Blotch3D/blob/master/doc/3D_linear_algebra_cheat_sheet.pdf</w:t>
        </w:r>
      </w:hyperlink>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32" w:name="_Toc519659709"/>
      <w:bookmarkStart w:id="33" w:name="_Toc517334346"/>
      <w:bookmarkStart w:id="34" w:name="_Toc517055700"/>
      <w:bookmarkStart w:id="35" w:name="_Toc516117030"/>
      <w:r>
        <w:rPr>
          <w:color w:val="auto"/>
        </w:rPr>
        <w:t>A Short Glossary of 3D Graphics Terms</w:t>
      </w:r>
      <w:bookmarkEnd w:id="32"/>
      <w:bookmarkEnd w:id="33"/>
      <w:bookmarkEnd w:id="34"/>
      <w:bookmarkEnd w:id="35"/>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revenue is less than $100k, then it’s free. If it’s more than that then you pay less than a few percent of game revenue. Development is different in that you place and configure objects with the GUI, and write C# code only when you want things to behave a unique way.</w:t>
      </w:r>
    </w:p>
    <w:p>
      <w:pPr>
        <w:pStyle w:val="Normal"/>
        <w:shd w:val="clear" w:color="FFFFFF" w:fill="FFFFFF" w:themeFill="background1"/>
        <w:rPr>
          <w:color w:val="auto"/>
        </w:rPr>
      </w:pPr>
      <w:r>
        <w:rPr>
          <w:rFonts w:cs="Calibri Light" w:ascii="Calibri Light" w:hAnsi="Calibri Light"/>
          <w:color w:val="auto"/>
        </w:rPr>
        <w:t>Godot game engine. Not as feature-rich as Unity3D but still fairly rich. This seems to be pretty much open source and requires no royalties or other fees, but check the details. Supports C#, among other languages. Don’t know how a bare-bones example compares to Blotch3D.</w:t>
      </w:r>
    </w:p>
    <w:p>
      <w:pPr>
        <w:pStyle w:val="Normal"/>
        <w:shd w:val="clear" w:color="FFFFFF" w:fill="FFFFFF" w:themeFill="background1"/>
        <w:rPr/>
      </w:pPr>
      <w:r>
        <w:rPr>
          <w:rFonts w:cs="Calibri Light" w:ascii="Calibri Light" w:hAnsi="Calibri Light"/>
          <w:color w:val="auto"/>
        </w:rPr>
        <w:t>FNA is another replacement for Microsoft’s XNS, just like Monogame, which is what Blotch3D sits upon.</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3"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 It has not been updated in a while.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4"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6" w:name="_Toc519659710"/>
      <w:r>
        <w:rPr>
          <w:color w:val="auto"/>
        </w:rPr>
        <w:t>Troubleshooting</w:t>
      </w:r>
      <w:bookmarkEnd w:id="36"/>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37" w:name="_Toc519659711"/>
      <w:bookmarkStart w:id="38" w:name="_Toc517334347"/>
      <w:bookmarkStart w:id="39" w:name="_Toc517055701"/>
      <w:r>
        <w:rPr>
          <w:color w:val="auto"/>
        </w:rPr>
        <w:t>Rights</w:t>
      </w:r>
      <w:bookmarkEnd w:id="37"/>
      <w:bookmarkEnd w:id="38"/>
      <w:bookmarkEnd w:id="39"/>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Reference"/>
    <w:rPr>
      <w:vertAlign w:val="superscript"/>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github.com/Blotch3D/Blotch3D/blob/master/doc/3D_linear_algebra_cheat_sheet.pdf" TargetMode="External"/><Relationship Id="rId13" Type="http://schemas.openxmlformats.org/officeDocument/2006/relationships/hyperlink" Target="https://www.monogameextended.net/" TargetMode="External"/><Relationship Id="rId14" Type="http://schemas.openxmlformats.org/officeDocument/2006/relationships/hyperlink" Target="https://docs.microsoft.com/en-us/windows/uwp/get-started/get-started-tutorial-game-js3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LibreOffice/7.5.5.2$Windows_X86_64 LibreOffice_project/ca8fe7424262805f223b9a2334bc7181abbcbf5e</Application>
  <AppVersion>15.0000</AppVersion>
  <Pages>20</Pages>
  <Words>8696</Words>
  <Characters>44873</Characters>
  <CharactersWithSpaces>53190</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2024-01-18T12:43:29Z</dcterms:modified>
  <cp:revision>632</cp:revision>
  <dc:subject/>
  <dc:title/>
</cp:coreProperties>
</file>

<file path=docProps/custom.xml><?xml version="1.0" encoding="utf-8"?>
<Properties xmlns="http://schemas.openxmlformats.org/officeDocument/2006/custom-properties" xmlns:vt="http://schemas.openxmlformats.org/officeDocument/2006/docPropsVTypes"/>
</file>