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w:t>
      </w:r>
      <w:r>
        <w:rPr>
          <w:rFonts w:cs="Calibri Light" w:ascii="Calibri Light" w:hAnsi="Calibri Light"/>
          <w:color w:val="auto"/>
        </w:rPr>
        <w:t xml:space="preserve">or download </w:t>
      </w:r>
      <w:r>
        <w:rPr>
          <w:rFonts w:cs="Calibri Light" w:ascii="Calibri Light" w:hAnsi="Calibri Light"/>
          <w:color w:val="auto"/>
        </w:rPr>
        <w:t xml:space="preserve">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 xml:space="preserve">for </w:t>
      </w:r>
      <w:r>
        <w:rPr>
          <w:rFonts w:cs="Calibri Light" w:ascii="Calibri Light" w:hAnsi="Calibri Light"/>
          <w:b w:val="false"/>
          <w:bCs w:val="false"/>
          <w:color w:val="auto"/>
        </w:rPr>
        <w:t>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the either identical </w:t>
      </w:r>
      <w:r>
        <w:rPr>
          <w:rFonts w:cs="Calibri Light" w:ascii="Calibri Light" w:hAnsi="Calibri Light"/>
          <w:color w:val="auto"/>
        </w:rPr>
        <w:t xml:space="preserve">to the NuGet package </w:t>
      </w:r>
      <w:r>
        <w:rPr>
          <w:rFonts w:cs="Calibri Light" w:ascii="Calibri Light" w:hAnsi="Calibri Light"/>
          <w:color w:val="auto"/>
        </w:rPr>
        <w:t xml:space="preserve">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t"/>
      <w:bookmarkStart w:id="20" w:name="_Developmen"/>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auto"/>
        </w:rPr>
        <w:t>from the same thread</w:t>
      </w:r>
      <w:r>
        <w:rPr>
          <w:rFonts w:cs="Calibri Light" w:ascii="Calibri Light" w:hAnsi="Calibri Light"/>
          <w:color w:val="auto"/>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All code that accesses the 3D hardware must be in BlWindow3D overridden methods </w:t>
      </w:r>
      <w:r>
        <w:rPr>
          <w:rFonts w:cs="Calibri Light" w:ascii="Calibri Light" w:hAnsi="Calibri Light"/>
          <w:color w:val="auto"/>
        </w:rPr>
        <w:t>or passed as a lambda to them (see BlWindow3D.EnqueueCommand or BlWindow3D.EnqueueCommandBlocking)</w:t>
      </w:r>
      <w:r>
        <w:rPr>
          <w:rFonts w:cs="Calibri Light" w:ascii="Calibri Light" w:hAnsi="Calibri Light"/>
          <w:color w:val="auto"/>
        </w:rPr>
        <w:t xml:space="preserve">. This is because 3D subsystems (OpenGL, DirectX, etc.) generally require that a single thread access all 3D hardware resources for a given 3D window. There are certain platform-specific exceptions to this rule, but </w:t>
      </w:r>
      <w:r>
        <w:rPr>
          <w:rFonts w:eastAsia="Calibri" w:cs="Calibri Light" w:ascii="Calibri Light" w:hAnsi="Calibri Light"/>
          <w:color w:val="auto"/>
          <w:kern w:val="0"/>
          <w:sz w:val="22"/>
          <w:szCs w:val="22"/>
          <w:lang w:val="en-US" w:eastAsia="en-US" w:bidi="ar-SA"/>
        </w:rPr>
        <w:t>they are not used</w:t>
      </w:r>
      <w:r>
        <w:rPr>
          <w:rFonts w:cs="Calibri Light" w:ascii="Calibri Light" w:hAnsi="Calibri Light"/>
          <w:color w:val="auto"/>
        </w:rPr>
        <w:t>.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color w:val="auto"/>
        </w:rPr>
      </w:pPr>
      <w:r>
        <w:rPr>
          <w:rFonts w:cs="Calibri Light" w:ascii="Calibri Light" w:hAnsi="Calibri Light"/>
          <w:color w:val="auto"/>
        </w:rPr>
        <w:t xml:space="preserve">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w:t>
      </w:r>
      <w:r>
        <w:rPr>
          <w:rFonts w:cs="Calibri Light" w:ascii="Calibri Light" w:hAnsi="Calibri Light"/>
          <w:color w:val="auto"/>
        </w:rPr>
        <w:t>lambda</w:t>
      </w:r>
      <w:r>
        <w:rPr>
          <w:rFonts w:cs="Calibri Light" w:ascii="Calibri Light" w:hAnsi="Calibri Light"/>
          <w:color w:val="auto"/>
        </w:rPr>
        <w:t xml:space="preserve">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9659708"/>
      <w:bookmarkStart w:id="37" w:name="_Toc517334345"/>
      <w:bookmarkStart w:id="38" w:name="_Toc517055699"/>
      <w:bookmarkStart w:id="39" w:name="_Toc516117029"/>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9659709"/>
      <w:bookmarkStart w:id="42" w:name="_Toc517334346"/>
      <w:bookmarkStart w:id="43" w:name="_Toc517055700"/>
      <w:bookmarkStart w:id="44" w:name="_Toc516117030"/>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9659711"/>
      <w:bookmarkStart w:id="47" w:name="_Toc517334347"/>
      <w:bookmarkStart w:id="48" w:name="_Toc51705570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view w:val="web"/>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2022-10-27T07:50:00Z</dcterms:modified>
  <cp:revision>609</cp:revision>
  <dc:subject/>
  <dc:title/>
</cp:coreProperties>
</file>

<file path=docProps/custom.xml><?xml version="1.0" encoding="utf-8"?>
<Properties xmlns="http://schemas.openxmlformats.org/officeDocument/2006/custom-properties" xmlns:vt="http://schemas.openxmlformats.org/officeDocument/2006/docPropsVTypes"/>
</file>