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 xml:space="preserve">create </w:t>
      </w:r>
      <w:r w:rsidR="00CC76BF">
        <w:rPr>
          <w:rFonts w:asciiTheme="majorHAnsi" w:hAnsiTheme="majorHAnsi" w:cstheme="majorHAnsi"/>
          <w:color w:val="FFFF00"/>
        </w:rPr>
        <w:t>the</w:t>
      </w:r>
      <w:r w:rsidR="00BF09CF">
        <w:rPr>
          <w:rFonts w:asciiTheme="majorHAnsi" w:hAnsiTheme="majorHAnsi" w:cstheme="majorHAnsi"/>
          <w:color w:val="FFFF00"/>
        </w:rPr>
        <w:t xml:space="preserve">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bookmarkStart w:id="21" w:name="_GoBack"/>
      <w:bookmarkEnd w:id="21"/>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44FC"/>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F08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5DA8A-69E9-454A-819D-66B5C7A84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11332</TotalTime>
  <Pages>1</Pages>
  <Words>6555</Words>
  <Characters>37365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419</cp:revision>
  <cp:lastPrinted>2018-07-15T21:48:00Z</cp:lastPrinted>
  <dcterms:created xsi:type="dcterms:W3CDTF">2018-07-18T11:52:00Z</dcterms:created>
  <dcterms:modified xsi:type="dcterms:W3CDTF">2018-09-23T23:31:00Z</dcterms:modified>
</cp:coreProperties>
</file>