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Clone</w:t>
      </w:r>
      <w:r>
        <w:rPr>
          <w:rFonts w:cs="Calibri Light" w:ascii="Calibri Light" w:hAnsi="Calibri Light"/>
          <w:color w:val="000000" w:themeColor="text1"/>
        </w:rPr>
        <w:t xml:space="preserve"> the Blotch3D repository. </w:t>
      </w:r>
      <w:r>
        <w:rPr>
          <w:rFonts w:cs="Calibri Light" w:ascii="Calibri Light" w:hAnsi="Calibri Light"/>
          <w:color w:val="000000" w:themeColor="text1"/>
        </w:rPr>
        <w:t>(</w:t>
      </w:r>
      <w:r>
        <w:rPr>
          <w:rFonts w:eastAsia="Calibri" w:cs="Calibri Light" w:ascii="Calibri Light" w:hAnsi="Calibri Light"/>
          <w:color w:val="000000" w:themeColor="text1"/>
          <w:kern w:val="0"/>
          <w:sz w:val="22"/>
          <w:szCs w:val="22"/>
          <w:lang w:val="en-US" w:eastAsia="en-US" w:bidi="ar-SA"/>
        </w:rPr>
        <w:t>I</w:t>
      </w:r>
      <w:r>
        <w:rPr>
          <w:rFonts w:cs="Calibri Light" w:ascii="Calibri Light" w:hAnsi="Calibri Light"/>
          <w:color w:val="000000" w:themeColor="text1"/>
        </w:rPr>
        <w:t xml:space="preserve">f you download it, instead, then GitHub tries to zip it for download but </w:t>
      </w:r>
      <w:r>
        <w:rPr>
          <w:rFonts w:eastAsia="Calibri" w:cs="Calibri Light" w:ascii="Calibri Light" w:hAnsi="Calibri Light"/>
          <w:color w:val="000000" w:themeColor="text1"/>
          <w:kern w:val="0"/>
          <w:sz w:val="22"/>
          <w:szCs w:val="22"/>
          <w:lang w:val="en-US" w:eastAsia="en-US" w:bidi="ar-SA"/>
        </w:rPr>
        <w:t xml:space="preserve">there is a GitHub </w:t>
      </w:r>
      <w:r>
        <w:rPr>
          <w:rFonts w:cs="Calibri Light" w:ascii="Calibri Light" w:hAnsi="Calibri Light"/>
          <w:color w:val="000000" w:themeColor="text1"/>
        </w:rPr>
        <w:t>bug that prevents the main help file from being properly zipped.</w:t>
      </w:r>
      <w:r>
        <w:rPr>
          <w:rFonts w:eastAsia="Calibri" w:cs="Calibri Light" w:ascii="Calibri Light" w:hAnsi="Calibri Light"/>
          <w:color w:val="000000" w:themeColor="text1"/>
          <w:kern w:val="0"/>
          <w:sz w:val="22"/>
          <w:szCs w:val="22"/>
          <w:lang w:val="en-US" w:eastAsia="en-US" w:bidi="ar-SA"/>
        </w:rPr>
        <w:t>)</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2021-06-20T08:03:10Z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file>