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r w:rsidRPr="004A3DFC">
        <w:rPr>
          <w:b/>
          <w:sz w:val="40"/>
          <w:szCs w:val="40"/>
        </w:rPr>
        <w:t>Blotch3D</w:t>
      </w:r>
      <w:r w:rsidR="00EC5AF8" w:rsidRPr="004A3DFC">
        <w:rPr>
          <w:b/>
          <w:sz w:val="40"/>
          <w:szCs w:val="40"/>
        </w:rPr>
        <w:t xml:space="preserve"> User Manual</w:t>
      </w:r>
      <w:bookmarkStart w:id="23" w:name="_Toc517055694"/>
      <w:bookmarkStart w:id="24"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D373A8" w:rsidRDefault="00D373A8" w:rsidP="00D373A8">
      <w:pPr>
        <w:rPr>
          <w:rFonts w:asciiTheme="majorHAnsi" w:hAnsiTheme="majorHAnsi" w:cstheme="majorHAnsi"/>
          <w:color w:val="FFFF00"/>
        </w:rPr>
      </w:pPr>
      <w:r>
        <w:rPr>
          <w:rFonts w:asciiTheme="majorHAnsi" w:hAnsiTheme="majorHAnsi" w:cstheme="majorHAnsi"/>
          <w:color w:val="FFFF00"/>
        </w:rPr>
        <w:t>Create 3D apps starting with a few lines of example code</w:t>
      </w:r>
    </w:p>
    <w:p w:rsidR="00D373A8" w:rsidRDefault="00D373A8" w:rsidP="00D373A8">
      <w:pPr>
        <w:rPr>
          <w:rFonts w:asciiTheme="majorHAnsi" w:hAnsiTheme="majorHAnsi" w:cstheme="majorHAnsi"/>
          <w:color w:val="FFFF00"/>
        </w:rPr>
      </w:pPr>
    </w:p>
    <w:bookmarkStart w:id="25" w:name="_GoBack"/>
    <w:bookmarkEnd w:id="25"/>
    <w:p w:rsidR="000D0B96"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186938" w:history="1">
        <w:r w:rsidR="000D0B96" w:rsidRPr="00A36911">
          <w:rPr>
            <w:rStyle w:val="Hyperlink"/>
            <w:noProof/>
          </w:rPr>
          <w:t>Quick start</w:t>
        </w:r>
      </w:hyperlink>
    </w:p>
    <w:p w:rsidR="000D0B96" w:rsidRDefault="000D0B96">
      <w:pPr>
        <w:pStyle w:val="TOC1"/>
        <w:tabs>
          <w:tab w:val="right" w:leader="dot" w:pos="9350"/>
        </w:tabs>
        <w:rPr>
          <w:rFonts w:eastAsiaTheme="minorEastAsia" w:cstheme="minorBidi"/>
          <w:b w:val="0"/>
          <w:bCs w:val="0"/>
          <w:caps w:val="0"/>
          <w:noProof/>
          <w:sz w:val="22"/>
          <w:szCs w:val="22"/>
        </w:rPr>
      </w:pPr>
      <w:hyperlink w:anchor="_Toc518186939" w:history="1">
        <w:r w:rsidRPr="00A36911">
          <w:rPr>
            <w:rStyle w:val="Hyperlink"/>
            <w:rFonts w:cstheme="majorHAnsi"/>
            <w:noProof/>
          </w:rPr>
          <w:t>Introduction</w:t>
        </w:r>
      </w:hyperlink>
    </w:p>
    <w:p w:rsidR="000D0B96" w:rsidRDefault="000D0B96">
      <w:pPr>
        <w:pStyle w:val="TOC1"/>
        <w:tabs>
          <w:tab w:val="right" w:leader="dot" w:pos="9350"/>
        </w:tabs>
        <w:rPr>
          <w:rFonts w:eastAsiaTheme="minorEastAsia" w:cstheme="minorBidi"/>
          <w:b w:val="0"/>
          <w:bCs w:val="0"/>
          <w:caps w:val="0"/>
          <w:noProof/>
          <w:sz w:val="22"/>
          <w:szCs w:val="22"/>
        </w:rPr>
      </w:pPr>
      <w:hyperlink w:anchor="_Toc518186940" w:history="1">
        <w:r w:rsidRPr="00A36911">
          <w:rPr>
            <w:rStyle w:val="Hyperlink"/>
            <w:rFonts w:cstheme="majorHAnsi"/>
            <w:noProof/>
          </w:rPr>
          <w:t>Developing with Blotch3D</w:t>
        </w:r>
      </w:hyperlink>
    </w:p>
    <w:p w:rsidR="000D0B96" w:rsidRDefault="000D0B96">
      <w:pPr>
        <w:pStyle w:val="TOC1"/>
        <w:tabs>
          <w:tab w:val="right" w:leader="dot" w:pos="9350"/>
        </w:tabs>
        <w:rPr>
          <w:rFonts w:eastAsiaTheme="minorEastAsia" w:cstheme="minorBidi"/>
          <w:b w:val="0"/>
          <w:bCs w:val="0"/>
          <w:caps w:val="0"/>
          <w:noProof/>
          <w:sz w:val="22"/>
          <w:szCs w:val="22"/>
        </w:rPr>
      </w:pPr>
      <w:hyperlink w:anchor="_Toc518186941" w:history="1">
        <w:r w:rsidRPr="00A36911">
          <w:rPr>
            <w:rStyle w:val="Hyperlink"/>
            <w:rFonts w:cstheme="majorHAnsi"/>
            <w:noProof/>
          </w:rPr>
          <w:t>Making 3D models</w:t>
        </w:r>
      </w:hyperlink>
    </w:p>
    <w:p w:rsidR="000D0B96" w:rsidRDefault="000D0B96">
      <w:pPr>
        <w:pStyle w:val="TOC1"/>
        <w:tabs>
          <w:tab w:val="right" w:leader="dot" w:pos="9350"/>
        </w:tabs>
        <w:rPr>
          <w:rFonts w:eastAsiaTheme="minorEastAsia" w:cstheme="minorBidi"/>
          <w:b w:val="0"/>
          <w:bCs w:val="0"/>
          <w:caps w:val="0"/>
          <w:noProof/>
          <w:sz w:val="22"/>
          <w:szCs w:val="22"/>
        </w:rPr>
      </w:pPr>
      <w:hyperlink w:anchor="_Toc518186942" w:history="1">
        <w:r w:rsidRPr="00A36911">
          <w:rPr>
            <w:rStyle w:val="Hyperlink"/>
            <w:rFonts w:cstheme="majorHAnsi"/>
            <w:noProof/>
          </w:rPr>
          <w:t>Dynamically changing a sprite’s orientation and position</w:t>
        </w:r>
      </w:hyperlink>
    </w:p>
    <w:p w:rsidR="000D0B96" w:rsidRDefault="000D0B96">
      <w:pPr>
        <w:pStyle w:val="TOC1"/>
        <w:tabs>
          <w:tab w:val="right" w:leader="dot" w:pos="9350"/>
        </w:tabs>
        <w:rPr>
          <w:rFonts w:eastAsiaTheme="minorEastAsia" w:cstheme="minorBidi"/>
          <w:b w:val="0"/>
          <w:bCs w:val="0"/>
          <w:caps w:val="0"/>
          <w:noProof/>
          <w:sz w:val="22"/>
          <w:szCs w:val="22"/>
        </w:rPr>
      </w:pPr>
      <w:hyperlink w:anchor="_Toc518186943" w:history="1">
        <w:r w:rsidRPr="00A36911">
          <w:rPr>
            <w:rStyle w:val="Hyperlink"/>
            <w:rFonts w:cstheme="majorHAnsi"/>
            <w:noProof/>
          </w:rPr>
          <w:t>Matrix internals</w:t>
        </w:r>
      </w:hyperlink>
    </w:p>
    <w:p w:rsidR="000D0B96" w:rsidRDefault="000D0B96">
      <w:pPr>
        <w:pStyle w:val="TOC1"/>
        <w:tabs>
          <w:tab w:val="right" w:leader="dot" w:pos="9350"/>
        </w:tabs>
        <w:rPr>
          <w:rFonts w:eastAsiaTheme="minorEastAsia" w:cstheme="minorBidi"/>
          <w:b w:val="0"/>
          <w:bCs w:val="0"/>
          <w:caps w:val="0"/>
          <w:noProof/>
          <w:sz w:val="22"/>
          <w:szCs w:val="22"/>
        </w:rPr>
      </w:pPr>
      <w:hyperlink w:anchor="_Toc518186944" w:history="1">
        <w:r w:rsidRPr="00A36911">
          <w:rPr>
            <w:rStyle w:val="Hyperlink"/>
            <w:rFonts w:cstheme="majorHAnsi"/>
            <w:noProof/>
          </w:rPr>
          <w:t>A Short Glossary of 3D Graphics Terms</w:t>
        </w:r>
      </w:hyperlink>
    </w:p>
    <w:p w:rsidR="000D0B96" w:rsidRDefault="000D0B96">
      <w:pPr>
        <w:pStyle w:val="TOC1"/>
        <w:tabs>
          <w:tab w:val="right" w:leader="dot" w:pos="9350"/>
        </w:tabs>
        <w:rPr>
          <w:rFonts w:eastAsiaTheme="minorEastAsia" w:cstheme="minorBidi"/>
          <w:b w:val="0"/>
          <w:bCs w:val="0"/>
          <w:caps w:val="0"/>
          <w:noProof/>
          <w:sz w:val="22"/>
          <w:szCs w:val="22"/>
        </w:rPr>
      </w:pPr>
      <w:hyperlink w:anchor="_Toc518186945" w:history="1">
        <w:r w:rsidRPr="00A36911">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6" w:name="_Toc517334340"/>
      <w:bookmarkStart w:id="27" w:name="_Toc518186938"/>
      <w:r w:rsidRPr="007C2B54">
        <w:rPr>
          <w:color w:val="FF0000"/>
        </w:rPr>
        <w:t>Quick start</w:t>
      </w:r>
      <w:bookmarkEnd w:id="23"/>
      <w:bookmarkEnd w:id="26"/>
      <w:bookmarkEnd w:id="27"/>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elaborate examples need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IntelliSense</w:t>
      </w:r>
      <w:r w:rsidR="00CE20E4">
        <w:rPr>
          <w:rFonts w:asciiTheme="majorHAnsi" w:hAnsiTheme="majorHAnsi" w:cstheme="majorHAnsi"/>
          <w:color w:val="FFFF00"/>
        </w:rPr>
        <w:t xml:space="preserv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describes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28" w:name="_Toc517055695"/>
      <w:bookmarkStart w:id="29" w:name="_Toc517334341"/>
      <w:bookmarkStart w:id="30" w:name="_Toc518186939"/>
      <w:r w:rsidRPr="003C0FBD">
        <w:rPr>
          <w:rFonts w:cstheme="majorHAnsi"/>
          <w:color w:val="FF0000"/>
        </w:rPr>
        <w:t>Introduction</w:t>
      </w:r>
      <w:bookmarkEnd w:id="24"/>
      <w:bookmarkEnd w:id="28"/>
      <w:bookmarkEnd w:id="29"/>
      <w:bookmarkEnd w:id="30"/>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327F6C">
        <w:rPr>
          <w:rFonts w:asciiTheme="majorHAnsi" w:hAnsiTheme="majorHAnsi" w:cstheme="majorHAnsi"/>
          <w:color w:val="FFFF00"/>
        </w:rPr>
        <w:t xml:space="preserve">multiple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1" w:name="_Creating_a_3D"/>
      <w:bookmarkStart w:id="32" w:name="_Creating_and_using"/>
      <w:bookmarkStart w:id="33" w:name="_Developing_with_Blotch3D"/>
      <w:bookmarkStart w:id="34" w:name="_Toc516117026"/>
      <w:bookmarkStart w:id="35" w:name="_Toc517055696"/>
      <w:bookmarkEnd w:id="31"/>
      <w:bookmarkEnd w:id="32"/>
      <w:bookmarkEnd w:id="33"/>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427DD" w:rsidP="00942B4C">
      <w:pPr>
        <w:pStyle w:val="Heading2"/>
        <w:rPr>
          <w:rFonts w:cstheme="majorHAnsi"/>
          <w:color w:val="FF0000"/>
        </w:rPr>
      </w:pPr>
      <w:bookmarkStart w:id="36" w:name="_Toc517334342"/>
      <w:bookmarkStart w:id="37" w:name="_Toc518186940"/>
      <w:r w:rsidRPr="003C0FBD">
        <w:rPr>
          <w:rFonts w:cstheme="majorHAnsi"/>
          <w:color w:val="FF0000"/>
        </w:rPr>
        <w:t>Developing with Blotch3D</w:t>
      </w:r>
      <w:bookmarkEnd w:id="34"/>
      <w:bookmarkEnd w:id="35"/>
      <w:bookmarkEnd w:id="36"/>
      <w:bookmarkEnd w:id="3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only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w:t>
      </w:r>
      <w:r w:rsidR="00414CBC">
        <w:rPr>
          <w:rFonts w:asciiTheme="majorHAnsi" w:hAnsiTheme="majorHAnsi" w:cstheme="majorHAnsi"/>
          <w:color w:val="FFFF00"/>
        </w:rPr>
        <w:t>Blotch3D.DLL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so you don’t have to include its source</w:t>
      </w:r>
      <w:r w:rsidR="00414CBC">
        <w:rPr>
          <w:rFonts w:asciiTheme="majorHAnsi" w:hAnsiTheme="majorHAnsi" w:cstheme="majorHAnsi"/>
          <w:color w:val="FFFF00"/>
        </w:rPr>
        <w:t xml:space="preserve"> code in a project</w:t>
      </w:r>
      <w:r>
        <w:rPr>
          <w:rFonts w:asciiTheme="majorHAnsi" w:hAnsiTheme="majorHAnsi" w:cstheme="majorHAnsi"/>
          <w:color w:val="FFFF00"/>
        </w:rPr>
        <w:t>, be sure to also copy Blotch3D.XML so you still get the IntelliSense comments.</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destination machine. Otherwise you should copy the entire 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You can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may save CPU when it is being exhausted because the FrameDraw is called less often in that case.</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w:t>
      </w:r>
      <w:r w:rsidR="00F333B8">
        <w:rPr>
          <w:rFonts w:asciiTheme="majorHAnsi" w:hAnsiTheme="majorHAnsi" w:cstheme="majorHAnsi"/>
          <w:color w:val="FFFF00"/>
        </w:rPr>
        <w:t xml:space="preserve">internally </w:t>
      </w:r>
      <w:r w:rsidR="009F3AF6">
        <w:rPr>
          <w:rFonts w:asciiTheme="majorHAnsi" w:hAnsiTheme="majorHAnsi" w:cstheme="majorHAnsi"/>
          <w:color w:val="FFFF00"/>
        </w:rPr>
        <w:t>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xml:space="preserve">, </w:t>
      </w:r>
      <w:r w:rsidR="000F24DB">
        <w:rPr>
          <w:rFonts w:asciiTheme="majorHAnsi" w:hAnsiTheme="majorHAnsi" w:cstheme="majorHAnsi"/>
          <w:color w:val="FFFF00"/>
        </w:rPr>
        <w:t xml:space="preserve">read-modify-writes, </w:t>
      </w:r>
      <w:r w:rsidR="00834148">
        <w:rPr>
          <w:rFonts w:asciiTheme="majorHAnsi" w:hAnsiTheme="majorHAnsi" w:cstheme="majorHAnsi"/>
          <w:color w:val="FFFF00"/>
        </w:rPr>
        <w:t>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w:t>
      </w:r>
      <w:r w:rsidR="00F333B8">
        <w:rPr>
          <w:rFonts w:asciiTheme="majorHAnsi" w:hAnsiTheme="majorHAnsi" w:cstheme="majorHAnsi"/>
          <w:color w:val="FFFF00"/>
        </w:rPr>
        <w:t xml:space="preserve">64-bit </w:t>
      </w:r>
      <w:r w:rsidR="00834148">
        <w:rPr>
          <w:rFonts w:asciiTheme="majorHAnsi" w:hAnsiTheme="majorHAnsi" w:cstheme="majorHAnsi"/>
          <w:color w:val="FFFF00"/>
        </w:rPr>
        <w:t>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8" w:name="_Toc516117027"/>
      <w:bookmarkStart w:id="39" w:name="_Toc517055697"/>
      <w:bookmarkStart w:id="40" w:name="_Toc517334343"/>
      <w:bookmarkStart w:id="41" w:name="_Toc518186941"/>
      <w:r w:rsidRPr="003C0FBD">
        <w:rPr>
          <w:rFonts w:cstheme="majorHAnsi"/>
          <w:color w:val="FF0000"/>
        </w:rPr>
        <w:t>Making 3D models</w:t>
      </w:r>
      <w:bookmarkEnd w:id="38"/>
      <w:bookmarkEnd w:id="39"/>
      <w:bookmarkEnd w:id="40"/>
      <w:bookmarkEnd w:id="4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2" w:name="_Introduction_to_Matrices"/>
      <w:bookmarkStart w:id="43" w:name="_Dynamically_changing_a"/>
      <w:bookmarkStart w:id="44" w:name="_Toc517055698"/>
      <w:bookmarkStart w:id="45" w:name="_Toc517334344"/>
      <w:bookmarkStart w:id="46" w:name="_Toc518186942"/>
      <w:bookmarkEnd w:id="42"/>
      <w:bookmarkEnd w:id="43"/>
      <w:r>
        <w:rPr>
          <w:rFonts w:cstheme="majorHAnsi"/>
          <w:color w:val="FF0000"/>
        </w:rPr>
        <w:t>Dynamically changing a sprite’s orientation and position</w:t>
      </w:r>
      <w:bookmarkEnd w:id="44"/>
      <w:bookmarkEnd w:id="45"/>
      <w:bookmarkEnd w:id="4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7" w:name="_Toc516117029"/>
      <w:bookmarkStart w:id="48" w:name="_Toc517055699"/>
      <w:bookmarkStart w:id="49" w:name="_Toc517334345"/>
      <w:bookmarkStart w:id="50" w:name="_Toc518186943"/>
      <w:r>
        <w:rPr>
          <w:rFonts w:cstheme="majorHAnsi"/>
          <w:color w:val="FF0000"/>
        </w:rPr>
        <w:t>Matrix i</w:t>
      </w:r>
      <w:r w:rsidR="006138B0" w:rsidRPr="003C0FBD">
        <w:rPr>
          <w:rFonts w:cstheme="majorHAnsi"/>
          <w:color w:val="FF0000"/>
        </w:rPr>
        <w:t>nternals</w:t>
      </w:r>
      <w:bookmarkEnd w:id="47"/>
      <w:bookmarkEnd w:id="48"/>
      <w:bookmarkEnd w:id="49"/>
      <w:bookmarkEnd w:id="5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1" w:name="_Toc516117030"/>
      <w:bookmarkStart w:id="52" w:name="_Toc517055700"/>
      <w:bookmarkStart w:id="53" w:name="_Toc517334346"/>
      <w:bookmarkStart w:id="54" w:name="_Toc518186944"/>
      <w:r w:rsidRPr="003C0FBD">
        <w:rPr>
          <w:rFonts w:cstheme="majorHAnsi"/>
          <w:color w:val="FF0000"/>
        </w:rPr>
        <w:t>A Short Glossary of 3D Graphics Terms</w:t>
      </w:r>
      <w:bookmarkEnd w:id="51"/>
      <w:bookmarkEnd w:id="52"/>
      <w:bookmarkEnd w:id="53"/>
      <w:bookmarkEnd w:id="54"/>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5" w:name="_Toc517055701"/>
      <w:bookmarkStart w:id="56" w:name="_Toc517334347"/>
      <w:bookmarkStart w:id="57" w:name="_Toc518186945"/>
      <w:r w:rsidRPr="003C0FBD">
        <w:rPr>
          <w:rFonts w:cstheme="majorHAnsi"/>
          <w:color w:val="FF0000"/>
        </w:rPr>
        <w:t>Rights</w:t>
      </w:r>
      <w:bookmarkEnd w:id="55"/>
      <w:bookmarkEnd w:id="56"/>
      <w:bookmarkEnd w:id="5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4BAF"/>
    <w:rsid w:val="00325FB4"/>
    <w:rsid w:val="00326179"/>
    <w:rsid w:val="00327F6C"/>
    <w:rsid w:val="00332370"/>
    <w:rsid w:val="00346167"/>
    <w:rsid w:val="00347DED"/>
    <w:rsid w:val="00351B34"/>
    <w:rsid w:val="00353109"/>
    <w:rsid w:val="00353D73"/>
    <w:rsid w:val="00355BFC"/>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1D97"/>
    <w:rsid w:val="00B4540D"/>
    <w:rsid w:val="00B52010"/>
    <w:rsid w:val="00B572CD"/>
    <w:rsid w:val="00B57BAF"/>
    <w:rsid w:val="00B64A3B"/>
    <w:rsid w:val="00B65849"/>
    <w:rsid w:val="00B67160"/>
    <w:rsid w:val="00B677DC"/>
    <w:rsid w:val="00B76DA8"/>
    <w:rsid w:val="00B76F43"/>
    <w:rsid w:val="00B8394A"/>
    <w:rsid w:val="00BA2F3C"/>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1E7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F9B15-781D-4AEC-873F-45F0480C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6518</TotalTime>
  <Pages>1</Pages>
  <Words>3906</Words>
  <Characters>22268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428</cp:revision>
  <cp:lastPrinted>2018-07-01T09:51:00Z</cp:lastPrinted>
  <dcterms:created xsi:type="dcterms:W3CDTF">2018-03-09T10:41:00Z</dcterms:created>
  <dcterms:modified xsi:type="dcterms:W3CDTF">2018-07-01T10:40:00Z</dcterms:modified>
</cp:coreProperties>
</file>