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200"/>
        <w:jc w:val="center"/>
      </w:pPr>
      <w:r>
        <w:rPr>
          <w:b/>
          <w:bCs/>
          <w:color w:val="1F4E79"/>
          <w:sz w:val="56"/>
          <w:szCs w:val="56"/>
        </w:rPr>
        <w:t xml:space="preserve">CAHIER DES CHARGES</w:t>
      </w:r>
    </w:p>
    <w:p>
      <w:pPr>
        <w:spacing w:after="100"/>
        <w:jc w:val="center"/>
      </w:pPr>
      <w:r>
        <w:rPr>
          <w:color w:val="595959"/>
          <w:sz w:val="32"/>
          <w:szCs w:val="32"/>
        </w:rPr>
        <w:t xml:space="preserve">Application web de gestion intégrée</w:t>
      </w:r>
    </w:p>
    <w:p>
      <w:pPr>
        <w:spacing w:after="1200"/>
        <w:jc w:val="center"/>
      </w:pPr>
      <w:r>
        <w:rPr>
          <w:i/>
          <w:iCs/>
          <w:color w:val="595959"/>
          <w:sz w:val="28"/>
          <w:szCs w:val="28"/>
        </w:rPr>
        <w:t xml:space="preserve">pour entreprise artisanale de production de boissons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BFBFBF" w:sz="4"/>
              <w:left w:val="single" w:color="BFBFBF" w:sz="4"/>
              <w:bottom w:val="single" w:color="BFBFBF" w:sz="4"/>
              <w:right w:val="single" w:color="BFBFBF" w:sz="4"/>
            </w:tcBorders>
            <w:shd w:fill="D9E2F3" w:val="clear"/>
            <w:tcMar>
              <w:top w:type="dxa" w:w="120"/>
              <w:left w:type="dxa" w:w="200"/>
              <w:bottom w:type="dxa" w:w="120"/>
              <w:right w:type="dxa" w:w="150"/>
            </w:tcMar>
          </w:tcPr>
          <w:p>
            <w:pPr>
              <w:spacing w:after="0"/>
            </w:pPr>
            <w:r>
              <w:rPr>
                <w:b/>
                <w:bCs/>
                <w:color w:val="1F4E79"/>
                <w:sz w:val="22"/>
                <w:szCs w:val="22"/>
              </w:rPr>
              <w:t xml:space="preserve">Client</w:t>
            </w:r>
          </w:p>
        </w:tc>
        <w:tc>
          <w:tcPr>
            <w:tcW w:type="dxa" w:w="4500"/>
            <w:tcBorders>
              <w:top w:val="single" w:color="BFBFBF" w:sz="4"/>
              <w:left w:val="single" w:color="BFBFBF" w:sz="4"/>
              <w:bottom w:val="single" w:color="BFBFBF" w:sz="4"/>
              <w:right w:val="single" w:color="BFBFBF" w:sz="4"/>
            </w:tcBorders>
            <w:tcMar>
              <w:top w:type="dxa" w:w="120"/>
              <w:left w:type="dxa" w:w="200"/>
              <w:bottom w:type="dxa" w:w="120"/>
              <w:right w:type="dxa" w:w="150"/>
            </w:tcMar>
          </w:tcPr>
          <w:p>
            <w:pPr>
              <w:spacing w:after="0"/>
            </w:pPr>
            <w:r>
              <w:rPr>
                <w:b/>
                <w:bCs/>
                <w:color w:val="C00000"/>
                <w:shd w:fill="FFF2CC" w:val="clear"/>
              </w:rPr>
              <w:t xml:space="preserve">[Raison sociale du client]</w:t>
            </w:r>
          </w:p>
        </w:tc>
      </w:tr>
      <w:tr>
        <w:tc>
          <w:tcPr>
            <w:tcW w:type="dxa" w:w="2500"/>
            <w:tcBorders>
              <w:top w:val="single" w:color="BFBFBF" w:sz="4"/>
              <w:left w:val="single" w:color="BFBFBF" w:sz="4"/>
              <w:bottom w:val="single" w:color="BFBFBF" w:sz="4"/>
              <w:right w:val="single" w:color="BFBFBF" w:sz="4"/>
            </w:tcBorders>
            <w:shd w:fill="D9E2F3" w:val="clear"/>
            <w:tcMar>
              <w:top w:type="dxa" w:w="120"/>
              <w:left w:type="dxa" w:w="200"/>
              <w:bottom w:type="dxa" w:w="120"/>
              <w:right w:type="dxa" w:w="150"/>
            </w:tcMar>
          </w:tcPr>
          <w:p>
            <w:pPr>
              <w:spacing w:after="0"/>
            </w:pPr>
            <w:r>
              <w:rPr>
                <w:b/>
                <w:bCs/>
                <w:color w:val="1F4E79"/>
                <w:sz w:val="22"/>
                <w:szCs w:val="22"/>
              </w:rPr>
              <w:t xml:space="preserve">Localisation</w:t>
            </w:r>
          </w:p>
        </w:tc>
        <w:tc>
          <w:tcPr>
            <w:tcW w:type="dxa" w:w="4500"/>
            <w:tcBorders>
              <w:top w:val="single" w:color="BFBFBF" w:sz="4"/>
              <w:left w:val="single" w:color="BFBFBF" w:sz="4"/>
              <w:bottom w:val="single" w:color="BFBFBF" w:sz="4"/>
              <w:right w:val="single" w:color="BFBFBF" w:sz="4"/>
            </w:tcBorders>
            <w:tcMar>
              <w:top w:type="dxa" w:w="120"/>
              <w:left w:type="dxa" w:w="200"/>
              <w:bottom w:type="dxa" w:w="120"/>
              <w:right w:type="dxa" w:w="150"/>
            </w:tcMar>
          </w:tcPr>
          <w:p>
            <w:pPr>
              <w:spacing w:after="0"/>
            </w:pPr>
            <w:r>
              <w:rPr>
                <w:b/>
                <w:bCs/>
                <w:color w:val="C00000"/>
                <w:shd w:fill="FFF2CC" w:val="clear"/>
              </w:rPr>
              <w:t xml:space="preserve">[Ville, La Réunion]</w:t>
            </w:r>
          </w:p>
        </w:tc>
      </w:tr>
      <w:tr>
        <w:tc>
          <w:tcPr>
            <w:tcW w:type="dxa" w:w="2500"/>
            <w:tcBorders>
              <w:top w:val="single" w:color="BFBFBF" w:sz="4"/>
              <w:left w:val="single" w:color="BFBFBF" w:sz="4"/>
              <w:bottom w:val="single" w:color="BFBFBF" w:sz="4"/>
              <w:right w:val="single" w:color="BFBFBF" w:sz="4"/>
            </w:tcBorders>
            <w:shd w:fill="D9E2F3" w:val="clear"/>
            <w:tcMar>
              <w:top w:type="dxa" w:w="120"/>
              <w:left w:type="dxa" w:w="200"/>
              <w:bottom w:type="dxa" w:w="120"/>
              <w:right w:type="dxa" w:w="150"/>
            </w:tcMar>
          </w:tcPr>
          <w:p>
            <w:pPr>
              <w:spacing w:after="0"/>
            </w:pPr>
            <w:r>
              <w:rPr>
                <w:b/>
                <w:bCs/>
                <w:color w:val="1F4E79"/>
                <w:sz w:val="22"/>
                <w:szCs w:val="22"/>
              </w:rPr>
              <w:t xml:space="preserve">Prestataire</w:t>
            </w:r>
          </w:p>
        </w:tc>
        <w:tc>
          <w:tcPr>
            <w:tcW w:type="dxa" w:w="4500"/>
            <w:tcBorders>
              <w:top w:val="single" w:color="BFBFBF" w:sz="4"/>
              <w:left w:val="single" w:color="BFBFBF" w:sz="4"/>
              <w:bottom w:val="single" w:color="BFBFBF" w:sz="4"/>
              <w:right w:val="single" w:color="BFBFBF" w:sz="4"/>
            </w:tcBorders>
            <w:tcMar>
              <w:top w:type="dxa" w:w="120"/>
              <w:left w:type="dxa" w:w="200"/>
              <w:bottom w:type="dxa" w:w="120"/>
              <w:right w:type="dxa" w:w="150"/>
            </w:tcMar>
          </w:tcPr>
          <w:p>
            <w:pPr>
              <w:spacing w:after="0"/>
            </w:pPr>
            <w:r>
              <w:rPr>
                <w:b/>
                <w:bCs/>
                <w:color w:val="C00000"/>
                <w:shd w:fill="FFF2CC" w:val="clear"/>
              </w:rPr>
              <w:t xml:space="preserve">[Votre nom / raison sociale]</w:t>
            </w:r>
          </w:p>
        </w:tc>
      </w:tr>
      <w:tr>
        <w:tc>
          <w:tcPr>
            <w:tcW w:type="dxa" w:w="2500"/>
            <w:tcBorders>
              <w:top w:val="single" w:color="BFBFBF" w:sz="4"/>
              <w:left w:val="single" w:color="BFBFBF" w:sz="4"/>
              <w:bottom w:val="single" w:color="BFBFBF" w:sz="4"/>
              <w:right w:val="single" w:color="BFBFBF" w:sz="4"/>
            </w:tcBorders>
            <w:shd w:fill="D9E2F3" w:val="clear"/>
            <w:tcMar>
              <w:top w:type="dxa" w:w="120"/>
              <w:left w:type="dxa" w:w="200"/>
              <w:bottom w:type="dxa" w:w="120"/>
              <w:right w:type="dxa" w:w="150"/>
            </w:tcMar>
          </w:tcPr>
          <w:p>
            <w:pPr>
              <w:spacing w:after="0"/>
            </w:pPr>
            <w:r>
              <w:rPr>
                <w:b/>
                <w:bCs/>
                <w:color w:val="1F4E79"/>
                <w:sz w:val="22"/>
                <w:szCs w:val="22"/>
              </w:rPr>
              <w:t xml:space="preserve">Référence</w:t>
            </w:r>
          </w:p>
        </w:tc>
        <w:tc>
          <w:tcPr>
            <w:tcW w:type="dxa" w:w="4500"/>
            <w:tcBorders>
              <w:top w:val="single" w:color="BFBFBF" w:sz="4"/>
              <w:left w:val="single" w:color="BFBFBF" w:sz="4"/>
              <w:bottom w:val="single" w:color="BFBFBF" w:sz="4"/>
              <w:right w:val="single" w:color="BFBFBF" w:sz="4"/>
            </w:tcBorders>
            <w:tcMar>
              <w:top w:type="dxa" w:w="120"/>
              <w:left w:type="dxa" w:w="200"/>
              <w:bottom w:type="dxa" w:w="120"/>
              <w:right w:type="dxa" w:w="150"/>
            </w:tcMar>
          </w:tcPr>
          <w:p>
            <w:pPr>
              <w:spacing w:after="0"/>
            </w:pPr>
            <w:r>
              <w:rPr>
                <w:b/>
                <w:bCs/>
                <w:color w:val="C00000"/>
                <w:shd w:fill="FFF2CC" w:val="clear"/>
              </w:rPr>
              <w:t xml:space="preserve">[CDC-2026-001]</w:t>
            </w:r>
          </w:p>
        </w:tc>
      </w:tr>
      <w:tr>
        <w:tc>
          <w:tcPr>
            <w:tcW w:type="dxa" w:w="2500"/>
            <w:tcBorders>
              <w:top w:val="single" w:color="BFBFBF" w:sz="4"/>
              <w:left w:val="single" w:color="BFBFBF" w:sz="4"/>
              <w:bottom w:val="single" w:color="BFBFBF" w:sz="4"/>
              <w:right w:val="single" w:color="BFBFBF" w:sz="4"/>
            </w:tcBorders>
            <w:shd w:fill="D9E2F3" w:val="clear"/>
            <w:tcMar>
              <w:top w:type="dxa" w:w="120"/>
              <w:left w:type="dxa" w:w="200"/>
              <w:bottom w:type="dxa" w:w="120"/>
              <w:right w:type="dxa" w:w="150"/>
            </w:tcMar>
          </w:tcPr>
          <w:p>
            <w:pPr>
              <w:spacing w:after="0"/>
            </w:pPr>
            <w:r>
              <w:rPr>
                <w:b/>
                <w:bCs/>
                <w:color w:val="1F4E79"/>
                <w:sz w:val="22"/>
                <w:szCs w:val="22"/>
              </w:rPr>
              <w:t xml:space="preserve">Version</w:t>
            </w:r>
          </w:p>
        </w:tc>
        <w:tc>
          <w:tcPr>
            <w:tcW w:type="dxa" w:w="4500"/>
            <w:tcBorders>
              <w:top w:val="single" w:color="BFBFBF" w:sz="4"/>
              <w:left w:val="single" w:color="BFBFBF" w:sz="4"/>
              <w:bottom w:val="single" w:color="BFBFBF" w:sz="4"/>
              <w:right w:val="single" w:color="BFBFBF" w:sz="4"/>
            </w:tcBorders>
            <w:tcMar>
              <w:top w:type="dxa" w:w="120"/>
              <w:left w:type="dxa" w:w="200"/>
              <w:bottom w:type="dxa" w:w="120"/>
              <w:right w:type="dxa" w:w="150"/>
            </w:tcMar>
          </w:tcPr>
          <w:p>
            <w:pPr>
              <w:spacing w:after="0"/>
            </w:pPr>
            <w:r>
              <w:rPr>
                <w:sz w:val="22"/>
                <w:szCs w:val="22"/>
              </w:rPr>
              <w:t xml:space="preserve">1.0 — version initiale</w:t>
            </w:r>
          </w:p>
        </w:tc>
      </w:tr>
      <w:tr>
        <w:tc>
          <w:tcPr>
            <w:tcW w:type="dxa" w:w="2500"/>
            <w:tcBorders>
              <w:top w:val="single" w:color="BFBFBF" w:sz="4"/>
              <w:left w:val="single" w:color="BFBFBF" w:sz="4"/>
              <w:bottom w:val="single" w:color="BFBFBF" w:sz="4"/>
              <w:right w:val="single" w:color="BFBFBF" w:sz="4"/>
            </w:tcBorders>
            <w:shd w:fill="D9E2F3" w:val="clear"/>
            <w:tcMar>
              <w:top w:type="dxa" w:w="120"/>
              <w:left w:type="dxa" w:w="200"/>
              <w:bottom w:type="dxa" w:w="120"/>
              <w:right w:type="dxa" w:w="150"/>
            </w:tcMar>
          </w:tcPr>
          <w:p>
            <w:pPr>
              <w:spacing w:after="0"/>
            </w:pPr>
            <w:r>
              <w:rPr>
                <w:b/>
                <w:bCs/>
                <w:color w:val="1F4E79"/>
                <w:sz w:val="22"/>
                <w:szCs w:val="22"/>
              </w:rPr>
              <w:t xml:space="preserve">Date</w:t>
            </w:r>
          </w:p>
        </w:tc>
        <w:tc>
          <w:tcPr>
            <w:tcW w:type="dxa" w:w="4500"/>
            <w:tcBorders>
              <w:top w:val="single" w:color="BFBFBF" w:sz="4"/>
              <w:left w:val="single" w:color="BFBFBF" w:sz="4"/>
              <w:bottom w:val="single" w:color="BFBFBF" w:sz="4"/>
              <w:right w:val="single" w:color="BFBFBF" w:sz="4"/>
            </w:tcBorders>
            <w:tcMar>
              <w:top w:type="dxa" w:w="120"/>
              <w:left w:type="dxa" w:w="200"/>
              <w:bottom w:type="dxa" w:w="120"/>
              <w:right w:type="dxa" w:w="150"/>
            </w:tcMar>
          </w:tcPr>
          <w:p>
            <w:pPr>
              <w:spacing w:after="0"/>
            </w:pPr>
            <w:r>
              <w:rPr>
                <w:b/>
                <w:bCs/>
                <w:color w:val="C00000"/>
                <w:shd w:fill="FFF2CC" w:val="clear"/>
              </w:rPr>
              <w:t xml:space="preserve">[JJ/MM/2026]</w:t>
            </w:r>
          </w:p>
        </w:tc>
      </w:tr>
    </w:tbl>
    <w:p>
      <w:r>
        <w:br w:type="page"/>
      </w:r>
    </w:p>
    <w:p>
      <w:pPr>
        <w:pStyle w:val="Heading1"/>
        <w:pBdr>
          <w:bottom w:val="single" w:color="1F4E79" w:sz="12" w:space="6"/>
        </w:pBdr>
        <w:spacing w:after="200" w:before="400"/>
      </w:pPr>
      <w:r>
        <w:rPr>
          <w:b/>
          <w:bCs/>
          <w:color w:val="1F4E79"/>
          <w:sz w:val="32"/>
          <w:szCs w:val="32"/>
        </w:rPr>
        <w:t xml:space="preserve">1. Présentation du projet</w:t>
      </w:r>
    </w:p>
    <w:p>
      <w:pPr>
        <w:pStyle w:val="Heading2"/>
        <w:spacing w:after="150" w:before="300"/>
      </w:pPr>
      <w:r>
        <w:rPr>
          <w:b/>
          <w:bCs/>
          <w:color w:val="2E75B6"/>
          <w:sz w:val="26"/>
          <w:szCs w:val="26"/>
        </w:rPr>
        <w:t xml:space="preserve">1.1 Contexte</w:t>
      </w:r>
    </w:p>
    <w:p>
      <w:pPr>
        <w:spacing w:after="120"/>
      </w:pPr>
      <w:r>
        <w:rPr>
          <w:sz w:val="22"/>
          <w:szCs w:val="22"/>
        </w:rPr>
        <w:t xml:space="preserve">Le client est un artisan producteur de boissons basé à La Réunion, fabriquant 8 parfums de boissons distribuées en B2B auprès de clients professionnels (restaurants, épiceries, marchés). Aujourd'hui, la gestion de l'activité (production, stock, livraisons, facturation, finances) repose sur des outils manuels (papier, tableurs ponctuels) ou n'est pas tracée du tout.</w:t>
      </w:r>
    </w:p>
    <w:p>
      <w:pPr>
        <w:spacing w:after="120"/>
      </w:pPr>
      <w:r>
        <w:rPr>
          <w:sz w:val="22"/>
          <w:szCs w:val="22"/>
        </w:rPr>
        <w:t xml:space="preserve">Cette absence d'outil structuré entraîne :</w:t>
      </w:r>
    </w:p>
    <w:p>
      <w:pPr>
        <w:pStyle w:val="ListParagraph"/>
        <w:numPr>
          <w:ilvl w:val="0"/>
          <w:numId w:val="2"/>
        </w:numPr>
        <w:spacing w:after="80"/>
      </w:pPr>
      <w:r>
        <w:rPr>
          <w:sz w:val="22"/>
          <w:szCs w:val="22"/>
        </w:rPr>
        <w:t xml:space="preserve">Manque de visibilité sur le chiffre d'affaires réel et les marges</w:t>
      </w:r>
    </w:p>
    <w:p>
      <w:pPr>
        <w:pStyle w:val="ListParagraph"/>
        <w:numPr>
          <w:ilvl w:val="0"/>
          <w:numId w:val="2"/>
        </w:numPr>
        <w:spacing w:after="80"/>
      </w:pPr>
      <w:r>
        <w:rPr>
          <w:sz w:val="22"/>
          <w:szCs w:val="22"/>
        </w:rPr>
        <w:t xml:space="preserve">Difficulté à suivre les impayés et à relancer les clients</w:t>
      </w:r>
    </w:p>
    <w:p>
      <w:pPr>
        <w:pStyle w:val="ListParagraph"/>
        <w:numPr>
          <w:ilvl w:val="0"/>
          <w:numId w:val="2"/>
        </w:numPr>
        <w:spacing w:after="80"/>
      </w:pPr>
      <w:r>
        <w:rPr>
          <w:sz w:val="22"/>
          <w:szCs w:val="22"/>
        </w:rPr>
        <w:t xml:space="preserve">Risque d'erreur sur les niveaux de stock et la traçabilité des lots</w:t>
      </w:r>
    </w:p>
    <w:p>
      <w:pPr>
        <w:pStyle w:val="ListParagraph"/>
        <w:numPr>
          <w:ilvl w:val="0"/>
          <w:numId w:val="2"/>
        </w:numPr>
        <w:spacing w:after="80"/>
      </w:pPr>
      <w:r>
        <w:rPr>
          <w:sz w:val="22"/>
          <w:szCs w:val="22"/>
        </w:rPr>
        <w:t xml:space="preserve">Aucune répartition structurée des revenus entre réinvestissement, charges et rémunération personnelle</w:t>
      </w:r>
    </w:p>
    <w:p>
      <w:pPr>
        <w:pStyle w:val="Heading2"/>
        <w:spacing w:after="150" w:before="300"/>
      </w:pPr>
      <w:r>
        <w:rPr>
          <w:b/>
          <w:bCs/>
          <w:color w:val="2E75B6"/>
          <w:sz w:val="26"/>
          <w:szCs w:val="26"/>
        </w:rPr>
        <w:t xml:space="preserve">1.2 Objectifs</w:t>
      </w:r>
    </w:p>
    <w:p>
      <w:pPr>
        <w:spacing w:after="120"/>
      </w:pPr>
      <w:r>
        <w:rPr>
          <w:sz w:val="22"/>
          <w:szCs w:val="22"/>
        </w:rPr>
        <w:t xml:space="preserve">Le présent projet vise à fournir une application web sur mesure permettant de centraliser l'ensemble de la gestion opérationnelle et financière de l'entreprise, avec les objectifs suivants :</w:t>
      </w:r>
    </w:p>
    <w:p>
      <w:pPr>
        <w:pStyle w:val="ListParagraph"/>
        <w:numPr>
          <w:ilvl w:val="0"/>
          <w:numId w:val="2"/>
        </w:numPr>
        <w:spacing w:after="80"/>
      </w:pPr>
      <w:r>
        <w:rPr>
          <w:b/>
          <w:bCs/>
          <w:color w:val="1F4E79"/>
          <w:sz w:val="22"/>
          <w:szCs w:val="22"/>
        </w:rPr>
        <w:t xml:space="preserve">Objectif 1</w:t>
      </w:r>
      <w:r>
        <w:rPr>
          <w:sz w:val="22"/>
          <w:szCs w:val="22"/>
        </w:rPr>
        <w:t xml:space="preserve"> — </w:t>
      </w:r>
      <w:r>
        <w:rPr>
          <w:sz w:val="22"/>
          <w:szCs w:val="22"/>
        </w:rPr>
        <w:t xml:space="preserve">Suivre en temps réel les niveaux de stock par parfum et par lot de production</w:t>
      </w:r>
    </w:p>
    <w:p>
      <w:pPr>
        <w:pStyle w:val="ListParagraph"/>
        <w:numPr>
          <w:ilvl w:val="0"/>
          <w:numId w:val="2"/>
        </w:numPr>
        <w:spacing w:after="80"/>
      </w:pPr>
      <w:r>
        <w:rPr>
          <w:b/>
          <w:bCs/>
          <w:color w:val="1F4E79"/>
          <w:sz w:val="22"/>
          <w:szCs w:val="22"/>
        </w:rPr>
        <w:t xml:space="preserve">Objectif 2</w:t>
      </w:r>
      <w:r>
        <w:rPr>
          <w:sz w:val="22"/>
          <w:szCs w:val="22"/>
        </w:rPr>
        <w:t xml:space="preserve"> — </w:t>
      </w:r>
      <w:r>
        <w:rPr>
          <w:sz w:val="22"/>
          <w:szCs w:val="22"/>
        </w:rPr>
        <w:t xml:space="preserve">Générer automatiquement les bons de livraison et factures B2B</w:t>
      </w:r>
    </w:p>
    <w:p>
      <w:pPr>
        <w:pStyle w:val="ListParagraph"/>
        <w:numPr>
          <w:ilvl w:val="0"/>
          <w:numId w:val="2"/>
        </w:numPr>
        <w:spacing w:after="80"/>
      </w:pPr>
      <w:r>
        <w:rPr>
          <w:b/>
          <w:bCs/>
          <w:color w:val="1F4E79"/>
          <w:sz w:val="22"/>
          <w:szCs w:val="22"/>
        </w:rPr>
        <w:t xml:space="preserve">Objectif 3</w:t>
      </w:r>
      <w:r>
        <w:rPr>
          <w:sz w:val="22"/>
          <w:szCs w:val="22"/>
        </w:rPr>
        <w:t xml:space="preserve"> — </w:t>
      </w:r>
      <w:r>
        <w:rPr>
          <w:sz w:val="22"/>
          <w:szCs w:val="22"/>
        </w:rPr>
        <w:t xml:space="preserve">Suivre l'état des paiements (payé / impayé / partiel) par client</w:t>
      </w:r>
    </w:p>
    <w:p>
      <w:pPr>
        <w:pStyle w:val="ListParagraph"/>
        <w:numPr>
          <w:ilvl w:val="0"/>
          <w:numId w:val="2"/>
        </w:numPr>
        <w:spacing w:after="80"/>
      </w:pPr>
      <w:r>
        <w:rPr>
          <w:b/>
          <w:bCs/>
          <w:color w:val="1F4E79"/>
          <w:sz w:val="22"/>
          <w:szCs w:val="22"/>
        </w:rPr>
        <w:t xml:space="preserve">Objectif 4</w:t>
      </w:r>
      <w:r>
        <w:rPr>
          <w:sz w:val="22"/>
          <w:szCs w:val="22"/>
        </w:rPr>
        <w:t xml:space="preserve"> — </w:t>
      </w:r>
      <w:r>
        <w:rPr>
          <w:sz w:val="22"/>
          <w:szCs w:val="22"/>
        </w:rPr>
        <w:t xml:space="preserve">Calculer automatiquement le chiffre d'affaires, les dépenses et la répartition 50/30/20 (réinvestissement / charges / personnel)</w:t>
      </w:r>
    </w:p>
    <w:p>
      <w:pPr>
        <w:pStyle w:val="ListParagraph"/>
        <w:numPr>
          <w:ilvl w:val="0"/>
          <w:numId w:val="2"/>
        </w:numPr>
        <w:spacing w:after="80"/>
      </w:pPr>
      <w:r>
        <w:rPr>
          <w:b/>
          <w:bCs/>
          <w:color w:val="1F4E79"/>
          <w:sz w:val="22"/>
          <w:szCs w:val="22"/>
        </w:rPr>
        <w:t xml:space="preserve">Objectif 5</w:t>
      </w:r>
      <w:r>
        <w:rPr>
          <w:sz w:val="22"/>
          <w:szCs w:val="22"/>
        </w:rPr>
        <w:t xml:space="preserve"> — </w:t>
      </w:r>
      <w:r>
        <w:rPr>
          <w:sz w:val="22"/>
          <w:szCs w:val="22"/>
        </w:rPr>
        <w:t xml:space="preserve">Permettre au livreur de valider ses livraisons sur le terrain, y compris hors connexion (option)</w:t>
      </w:r>
    </w:p>
    <w:p>
      <w:pPr>
        <w:pStyle w:val="ListParagraph"/>
        <w:numPr>
          <w:ilvl w:val="0"/>
          <w:numId w:val="2"/>
        </w:numPr>
        <w:spacing w:after="80"/>
      </w:pPr>
      <w:r>
        <w:rPr>
          <w:b/>
          <w:bCs/>
          <w:color w:val="1F4E79"/>
          <w:sz w:val="22"/>
          <w:szCs w:val="22"/>
        </w:rPr>
        <w:t xml:space="preserve">Objectif 6</w:t>
      </w:r>
      <w:r>
        <w:rPr>
          <w:sz w:val="22"/>
          <w:szCs w:val="22"/>
        </w:rPr>
        <w:t xml:space="preserve"> — </w:t>
      </w:r>
      <w:r>
        <w:rPr>
          <w:sz w:val="22"/>
          <w:szCs w:val="22"/>
        </w:rPr>
        <w:t xml:space="preserve">Garantir la traçabilité totale lot → livraison → facture → encaissement</w:t>
      </w:r>
    </w:p>
    <w:p>
      <w:pPr>
        <w:pStyle w:val="Heading2"/>
        <w:spacing w:after="150" w:before="300"/>
      </w:pPr>
      <w:r>
        <w:rPr>
          <w:b/>
          <w:bCs/>
          <w:color w:val="2E75B6"/>
          <w:sz w:val="26"/>
          <w:szCs w:val="26"/>
        </w:rPr>
        <w:t xml:space="preserve">1.3 Acteurs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Rôle</w:t>
            </w:r>
          </w:p>
        </w:tc>
        <w:tc>
          <w:tcPr>
            <w:tcW w:type="dxa" w:w="6826"/>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b/>
                <w:bCs/>
                <w:sz w:val="20"/>
                <w:szCs w:val="20"/>
              </w:rPr>
              <w:t xml:space="preserve">Patron</w:t>
            </w:r>
          </w:p>
        </w:tc>
        <w:tc>
          <w:tcPr>
            <w:tcW w:type="dxa" w:w="68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Dirigeant de l'entreprise. Accès complet à toutes les données et fonctionnalités. Pilote la stratégie depuis le tableau de bord financier.</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b/>
                <w:bCs/>
                <w:sz w:val="20"/>
                <w:szCs w:val="20"/>
              </w:rPr>
              <w:t xml:space="preserve">Fabrication</w:t>
            </w:r>
          </w:p>
        </w:tc>
        <w:tc>
          <w:tcPr>
            <w:tcW w:type="dxa" w:w="68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Personne en charge de la production. Saisit les lots produits, suit les niveaux de stock, déclare les pertes éventuelles.</w:t>
            </w:r>
          </w:p>
        </w:tc>
      </w:tr>
      <w:tr>
        <w:tc>
          <w:tcPr>
            <w:tcW w:type="dxa" w:w="22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b/>
                <w:bCs/>
                <w:sz w:val="20"/>
                <w:szCs w:val="20"/>
              </w:rPr>
              <w:t xml:space="preserve">Livreur</w:t>
            </w:r>
          </w:p>
        </w:tc>
        <w:tc>
          <w:tcPr>
            <w:tcW w:type="dxa" w:w="68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Personne en charge de la distribution. Consulte ses tournées, valide les livraisons, encaisse les paiements, met à jour les statuts payé/impayé.</w:t>
            </w:r>
          </w:p>
        </w:tc>
      </w:tr>
    </w:tbl>
    <w:p>
      <w:r>
        <w:br w:type="page"/>
      </w:r>
    </w:p>
    <w:p>
      <w:pPr>
        <w:pStyle w:val="Heading1"/>
        <w:pBdr>
          <w:bottom w:val="single" w:color="1F4E79" w:sz="12" w:space="6"/>
        </w:pBdr>
        <w:spacing w:after="200" w:before="400"/>
      </w:pPr>
      <w:r>
        <w:rPr>
          <w:b/>
          <w:bCs/>
          <w:color w:val="1F4E79"/>
          <w:sz w:val="32"/>
          <w:szCs w:val="32"/>
        </w:rPr>
        <w:t xml:space="preserve">2. Périmètre fonctionnel</w:t>
      </w:r>
    </w:p>
    <w:p>
      <w:pPr>
        <w:spacing w:after="120"/>
      </w:pPr>
      <w:r>
        <w:rPr>
          <w:sz w:val="22"/>
          <w:szCs w:val="22"/>
        </w:rPr>
        <w:t xml:space="preserve">Cette section détaille les fonctionnalités à développer, regroupées par module. Chaque exigence est référencée (ex : F-STK-01) pour faciliter la recette.</w:t>
      </w:r>
    </w:p>
    <w:p>
      <w:pPr>
        <w:pStyle w:val="Heading2"/>
        <w:spacing w:after="150" w:before="300"/>
      </w:pPr>
      <w:r>
        <w:rPr>
          <w:b/>
          <w:bCs/>
          <w:color w:val="2E75B6"/>
          <w:sz w:val="26"/>
          <w:szCs w:val="26"/>
        </w:rPr>
        <w:t xml:space="preserve">2.1 Module Authentification &amp; Gestion des 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726"/>
        <w:gridCol w:w="200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Réf.</w:t>
            </w:r>
          </w:p>
        </w:tc>
        <w:tc>
          <w:tcPr>
            <w:tcW w:type="dxa" w:w="5726"/>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Exigence</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Priorité</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F-AUT-01</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Connexion sécurisée par email + mot de passe</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F-AUT-02</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Trois rôles distincts : Patron, Fabrication, Livreur</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F-AUT-03</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Permissions différenciées par rôle (cf. tableau §2.7)</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F-AUT-04</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Réinitialisation du mot de passe par email</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sz w:val="20"/>
                <w:szCs w:val="20"/>
              </w:rPr>
              <w:t xml:space="preserve">Importante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F-AUT-05</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Le Patron peut créer/désactiver des comptes utilisateurs</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sz w:val="20"/>
                <w:szCs w:val="20"/>
              </w:rPr>
              <w:t xml:space="preserve">Importante</w:t>
            </w:r>
          </w:p>
        </w:tc>
      </w:tr>
    </w:tbl>
    <w:p>
      <w:pPr>
        <w:pStyle w:val="Heading2"/>
        <w:spacing w:after="150" w:before="300"/>
      </w:pPr>
      <w:r>
        <w:rPr>
          <w:b/>
          <w:bCs/>
          <w:color w:val="2E75B6"/>
          <w:sz w:val="26"/>
          <w:szCs w:val="26"/>
        </w:rPr>
        <w:t xml:space="preserve">2.2 Module Stock &amp; Production</w:t>
      </w:r>
    </w:p>
    <w:p>
      <w:pPr>
        <w:spacing w:after="120"/>
      </w:pPr>
      <w:r>
        <w:rPr>
          <w:sz w:val="22"/>
          <w:szCs w:val="22"/>
        </w:rPr>
        <w:t xml:space="preserve">Gestion des 8 parfums de boissons et de leurs lots de production avec traçabilité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726"/>
        <w:gridCol w:w="200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Réf.</w:t>
            </w:r>
          </w:p>
        </w:tc>
        <w:tc>
          <w:tcPr>
            <w:tcW w:type="dxa" w:w="5726"/>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Exigence</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Priorité</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F-STK-01</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Catalogue paramétrable des 8 parfums (création, modification, désactivation)</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F-STK-02</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Saisie d'un lot de production : parfum, date de production, quantité de bouteilles produites, DLUO</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F-STK-03</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Vue stock global temps réel par parfum (somme des lots actifs)</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F-STK-04</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Vue détaillée par lot : quantité produite, restante, livrée, perdue, DLUO</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F-STK-05</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Décrément automatique du stock lors d'une livraison validée (FIFO sur la DLUO)</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F-STK-06</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Saisie de pertes (casse, retour client, péremption) avec motif</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sz w:val="20"/>
                <w:szCs w:val="20"/>
              </w:rPr>
              <w:t xml:space="preserve">Importante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F-STK-07</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Alerte visuelle si stock d'un parfum &lt; seuil paramétrable</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sz w:val="20"/>
                <w:szCs w:val="20"/>
              </w:rPr>
              <w:t xml:space="preserve">Importante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F-STK-08</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Historique complet des mouvements de stock (production, livraison, perte)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sz w:val="20"/>
                <w:szCs w:val="20"/>
              </w:rPr>
              <w:t xml:space="preserve">Importante</w:t>
            </w:r>
          </w:p>
        </w:tc>
      </w:tr>
    </w:tbl>
    <w:p>
      <w:pPr>
        <w:pStyle w:val="Heading2"/>
        <w:spacing w:after="150" w:before="300"/>
      </w:pPr>
      <w:r>
        <w:rPr>
          <w:b/>
          <w:bCs/>
          <w:color w:val="2E75B6"/>
          <w:sz w:val="26"/>
          <w:szCs w:val="26"/>
        </w:rPr>
        <w:t xml:space="preserve">2.3 Module Clients B2B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726"/>
        <w:gridCol w:w="200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Réf.</w:t>
            </w:r>
          </w:p>
        </w:tc>
        <w:tc>
          <w:tcPr>
            <w:tcW w:type="dxa" w:w="5726"/>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Exigence</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Priorité</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F-CLI-01</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Création/modification fiche client : raison sociale, contact, adresse, téléphone, email, SIRET, conditions de paiement</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F-CLI-02</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Vue liste filtrable et recherche par nom/ville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sz w:val="20"/>
                <w:szCs w:val="20"/>
              </w:rPr>
              <w:t xml:space="preserve">Importante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F-CLI-03</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Fiche client détaillée : historique des livraisons, total facturé, encours impayé</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F-CLI-04</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Tarification personnalisable par client (prix négocié par parfum)</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sz w:val="20"/>
                <w:szCs w:val="20"/>
              </w:rPr>
              <w:t xml:space="preserve">Importante</w:t>
            </w:r>
          </w:p>
        </w:tc>
      </w:tr>
    </w:tbl>
    <w:p>
      <w:pPr>
        <w:pStyle w:val="Heading2"/>
        <w:spacing w:after="150" w:before="300"/>
      </w:pPr>
      <w:r>
        <w:rPr>
          <w:b/>
          <w:bCs/>
          <w:color w:val="2E75B6"/>
          <w:sz w:val="26"/>
          <w:szCs w:val="26"/>
        </w:rPr>
        <w:t xml:space="preserve">2.4 Module Livraisons &amp;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726"/>
        <w:gridCol w:w="200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Réf.</w:t>
            </w:r>
          </w:p>
        </w:tc>
        <w:tc>
          <w:tcPr>
            <w:tcW w:type="dxa" w:w="5726"/>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Exigence</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Priorité</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F-LIV-01</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Création d'une livraison : sélection client, date, ajout de lignes (parfum + quantité)</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F-LIV-02</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Calcul automatique du montant total à partir des prix client</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F-LIV-03</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Génération automatique du bon de livraison (PDF) à imprimer ou envoyer</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F-LIV-04</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Génération automatique de la facture (PDF) avec numérotation séquentielle conforme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F-LIV-05</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Statut de livraison : programmée / en cours / livrée / annulée</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F-LIV-06</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Statut de paiement : payé / impayé / partiel + mode (espèces, virement, chèque)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F-LIV-07</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Vue tournée du jour pour le livreur (liste ordonnée des livraisons)</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F-LIV-08</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Liste des impayés filtrable par ancienneté (&gt;30j, &gt;60j, &gt;90j)</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sz w:val="20"/>
                <w:szCs w:val="20"/>
              </w:rPr>
              <w:t xml:space="preserve">Importante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F-LIV-09</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Traçabilité : chaque livraison référence les lots de production utilisés</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sz w:val="20"/>
                <w:szCs w:val="20"/>
              </w:rPr>
              <w:t xml:space="preserve">Importante</w:t>
            </w:r>
          </w:p>
        </w:tc>
      </w:tr>
    </w:tbl>
    <w:p>
      <w:pPr>
        <w:pStyle w:val="Heading2"/>
        <w:spacing w:after="150" w:before="300"/>
      </w:pPr>
      <w:r>
        <w:rPr>
          <w:b/>
          <w:bCs/>
          <w:color w:val="2E75B6"/>
          <w:sz w:val="26"/>
          <w:szCs w:val="26"/>
        </w:rPr>
        <w:t xml:space="preserve">2.5 Module Finance &amp; Tableau de bord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726"/>
        <w:gridCol w:w="200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Réf.</w:t>
            </w:r>
          </w:p>
        </w:tc>
        <w:tc>
          <w:tcPr>
            <w:tcW w:type="dxa" w:w="5726"/>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Exigence</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Priorité</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F-FIN-01</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Saisie manuelle de dépenses : montant, catégorie, date, justificatif (photo)</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F-FIN-02</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Catégorisation des dépenses (matières premières, énergie, transport, marketing, etc.)</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sz w:val="20"/>
                <w:szCs w:val="20"/>
              </w:rPr>
              <w:t xml:space="preserve">Importante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F-FIN-03</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Calcul automatique du CA à partir des livraisons facturées et payées</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F-FIN-04</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Répartition automatique mensuelle 50% réinvestissement / 30% charges / 20% personnel</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F-FIN-05</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Tableau de bord patron : CA mois en cours, dépenses, marge, comparatif mois précédent</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F-FIN-06</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Graphiques : évolution du CA sur 12 mois, top clients, top parfums vendus</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sz w:val="20"/>
                <w:szCs w:val="20"/>
              </w:rPr>
              <w:t xml:space="preserve">Importante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F-FIN-07</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Export Excel/CSV des transactions pour transmission au comptable</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sz w:val="20"/>
                <w:szCs w:val="20"/>
              </w:rPr>
              <w:t xml:space="preserve">Importante</w:t>
            </w:r>
          </w:p>
        </w:tc>
      </w:tr>
    </w:tbl>
    <w:p>
      <w:pPr>
        <w:pStyle w:val="Heading2"/>
        <w:spacing w:after="150" w:before="300"/>
      </w:pPr>
      <w:r>
        <w:rPr>
          <w:b/>
          <w:bCs/>
          <w:color w:val="2E75B6"/>
          <w:sz w:val="26"/>
          <w:szCs w:val="26"/>
        </w:rPr>
        <w:t xml:space="preserve">2.6 Module Mode Tournée Offline (option)</w:t>
      </w:r>
    </w:p>
    <w:p>
      <w:pPr>
        <w:spacing w:after="100"/>
      </w:pPr>
      <w:r>
        <w:rPr>
          <w:i/>
          <w:iCs/>
          <w:color w:val="595959"/>
          <w:sz w:val="20"/>
          <w:szCs w:val="20"/>
        </w:rPr>
        <w:t xml:space="preserve">Cette section ne s'applique que si le client retient l'option Mode Offline.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726"/>
        <w:gridCol w:w="200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Réf.</w:t>
            </w:r>
          </w:p>
        </w:tc>
        <w:tc>
          <w:tcPr>
            <w:tcW w:type="dxa" w:w="5726"/>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Exigence</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Priorité</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F-OFF-01</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Application installable sur téléphone (PWA) sans passer par les stores</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F-OFF-02</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Téléchargement automatique de la tournée du jour à l'ouverture (avec connexion)</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F-OFF-03</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Validation des livraisons sans connexion (statut, encaissement, signature)</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F-OFF-04</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Synchronisation automatique au retour de la connexion (en arrière-plan)</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F-OFF-05</w:t>
            </w:r>
          </w:p>
        </w:tc>
        <w:tc>
          <w:tcPr>
            <w:tcW w:type="dxa" w:w="57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Indicateur visuel clair de l'état de connexion et du nombre de validations en attente de sync</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Critique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F-OFF-06</w:t>
            </w:r>
          </w:p>
        </w:tc>
        <w:tc>
          <w:tcPr>
            <w:tcW w:type="dxa" w:w="57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Capture de signature client à l'écran (livraison validée)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sz w:val="20"/>
                <w:szCs w:val="20"/>
              </w:rPr>
              <w:t xml:space="preserve">Importante</w:t>
            </w:r>
          </w:p>
        </w:tc>
      </w:tr>
    </w:tbl>
    <w:p>
      <w:pPr>
        <w:pStyle w:val="Heading2"/>
        <w:spacing w:after="150" w:before="300"/>
      </w:pPr>
      <w:r>
        <w:rPr>
          <w:b/>
          <w:bCs/>
          <w:color w:val="2E75B6"/>
          <w:sz w:val="26"/>
          <w:szCs w:val="26"/>
        </w:rPr>
        <w:t xml:space="preserve">2.7 Matrice des permissions par rôle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700"/>
        <w:gridCol w:w="1700"/>
        <w:gridCol w:w="1800"/>
      </w:tblGrid>
      <w:tr>
        <w:trPr>
          <w:tblHeader/>
        </w:trPr>
        <w:tc>
          <w:tcPr>
            <w:tcW w:type="dxa" w:w="3826"/>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Fonctionnalité</w:t>
            </w:r>
          </w:p>
        </w:tc>
        <w:tc>
          <w:tcPr>
            <w:tcW w:type="dxa" w:w="17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Patron</w:t>
            </w:r>
          </w:p>
        </w:tc>
        <w:tc>
          <w:tcPr>
            <w:tcW w:type="dxa" w:w="17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Fabrication</w:t>
            </w:r>
          </w:p>
        </w:tc>
        <w:tc>
          <w:tcPr>
            <w:tcW w:type="dxa" w:w="18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Livreur</w:t>
            </w:r>
          </w:p>
        </w:tc>
      </w:tr>
      <w:tr>
        <w:tc>
          <w:tcPr>
            <w:tcW w:type="dxa" w:w="38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Tableau de bord financier</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w:t>
            </w:r>
          </w:p>
        </w:tc>
      </w:tr>
      <w:tr>
        <w:tc>
          <w:tcPr>
            <w:tcW w:type="dxa" w:w="38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Saisie production / lots</w:t>
            </w:r>
          </w:p>
        </w:tc>
        <w:tc>
          <w:tcPr>
            <w:tcW w:type="dxa" w:w="17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w:t>
            </w:r>
          </w:p>
        </w:tc>
      </w:tr>
      <w:tr>
        <w:tc>
          <w:tcPr>
            <w:tcW w:type="dxa" w:w="38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Consultation stock</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548235"/>
                <w:sz w:val="20"/>
                <w:szCs w:val="20"/>
              </w:rPr>
              <w:t xml:space="preserve">✓ (lecture)</w:t>
            </w:r>
          </w:p>
        </w:tc>
      </w:tr>
      <w:tr>
        <w:tc>
          <w:tcPr>
            <w:tcW w:type="dxa" w:w="38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Création de livraison</w:t>
            </w:r>
          </w:p>
        </w:tc>
        <w:tc>
          <w:tcPr>
            <w:tcW w:type="dxa" w:w="17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w:t>
            </w:r>
          </w:p>
        </w:tc>
      </w:tr>
      <w:tr>
        <w:tc>
          <w:tcPr>
            <w:tcW w:type="dxa" w:w="38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Validation livraison sur le terrain</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548235"/>
                <w:sz w:val="20"/>
                <w:szCs w:val="20"/>
              </w:rPr>
              <w:t xml:space="preserve">✓</w:t>
            </w:r>
          </w:p>
        </w:tc>
      </w:tr>
      <w:tr>
        <w:tc>
          <w:tcPr>
            <w:tcW w:type="dxa" w:w="38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Encaissement et statut paiement</w:t>
            </w:r>
          </w:p>
        </w:tc>
        <w:tc>
          <w:tcPr>
            <w:tcW w:type="dxa" w:w="17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548235"/>
                <w:sz w:val="20"/>
                <w:szCs w:val="20"/>
              </w:rPr>
              <w:t xml:space="preserve">✓</w:t>
            </w:r>
          </w:p>
        </w:tc>
      </w:tr>
      <w:tr>
        <w:tc>
          <w:tcPr>
            <w:tcW w:type="dxa" w:w="38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Gestion des clients</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548235"/>
                <w:sz w:val="20"/>
                <w:szCs w:val="20"/>
              </w:rPr>
              <w:t xml:space="preserve">✓ (lecture)</w:t>
            </w:r>
          </w:p>
        </w:tc>
      </w:tr>
      <w:tr>
        <w:tc>
          <w:tcPr>
            <w:tcW w:type="dxa" w:w="38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Gestion des prix</w:t>
            </w:r>
          </w:p>
        </w:tc>
        <w:tc>
          <w:tcPr>
            <w:tcW w:type="dxa" w:w="17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w:t>
            </w:r>
          </w:p>
        </w:tc>
      </w:tr>
      <w:tr>
        <w:tc>
          <w:tcPr>
            <w:tcW w:type="dxa" w:w="38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Saisie des dépenses</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w:t>
            </w:r>
          </w:p>
        </w:tc>
      </w:tr>
      <w:tr>
        <w:tc>
          <w:tcPr>
            <w:tcW w:type="dxa" w:w="38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Export comptable</w:t>
            </w:r>
          </w:p>
        </w:tc>
        <w:tc>
          <w:tcPr>
            <w:tcW w:type="dxa" w:w="17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color w:val="C00000"/>
                <w:sz w:val="20"/>
                <w:szCs w:val="20"/>
              </w:rPr>
              <w:t xml:space="preserve">✗</w:t>
            </w:r>
          </w:p>
        </w:tc>
      </w:tr>
      <w:tr>
        <w:tc>
          <w:tcPr>
            <w:tcW w:type="dxa" w:w="38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Création/désactivation utilisateur</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548235"/>
                <w:sz w:val="20"/>
                <w:szCs w:val="20"/>
              </w:rPr>
              <w:t xml:space="preserve">✓</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color w:val="C00000"/>
                <w:sz w:val="20"/>
                <w:szCs w:val="20"/>
              </w:rPr>
              <w:t xml:space="preserve">✗</w:t>
            </w:r>
          </w:p>
        </w:tc>
      </w:tr>
    </w:tbl>
    <w:p>
      <w:r>
        <w:br w:type="page"/>
      </w:r>
    </w:p>
    <w:p>
      <w:pPr>
        <w:pStyle w:val="Heading1"/>
        <w:pBdr>
          <w:bottom w:val="single" w:color="1F4E79" w:sz="12" w:space="6"/>
        </w:pBdr>
        <w:spacing w:after="200" w:before="400"/>
      </w:pPr>
      <w:r>
        <w:rPr>
          <w:b/>
          <w:bCs/>
          <w:color w:val="1F4E79"/>
          <w:sz w:val="32"/>
          <w:szCs w:val="32"/>
        </w:rPr>
        <w:t xml:space="preserve">3. Architecture technique</w:t>
      </w:r>
    </w:p>
    <w:p>
      <w:pPr>
        <w:pStyle w:val="Heading2"/>
        <w:spacing w:after="150" w:before="300"/>
      </w:pPr>
      <w:r>
        <w:rPr>
          <w:b/>
          <w:bCs/>
          <w:color w:val="2E75B6"/>
          <w:sz w:val="26"/>
          <w:szCs w:val="26"/>
        </w:rPr>
        <w:t xml:space="preserve">3.1 Choix technologiques</w:t>
      </w:r>
    </w:p>
    <w:p>
      <w:pPr>
        <w:spacing w:after="120"/>
      </w:pPr>
      <w:r>
        <w:rPr>
          <w:sz w:val="22"/>
          <w:szCs w:val="22"/>
        </w:rPr>
        <w:t xml:space="preserve">Les choix techniques sont guidés par : la robustesse en production, la rapidité de développement, la simplicité de maintenance et un coût d'hébergement maîtrisé.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Composant</w:t>
            </w:r>
          </w:p>
        </w:tc>
        <w:tc>
          <w:tcPr>
            <w:tcW w:type="dxa" w:w="30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Technologie</w:t>
            </w:r>
          </w:p>
        </w:tc>
        <w:tc>
          <w:tcPr>
            <w:tcW w:type="dxa" w:w="4226"/>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Justification</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b/>
                <w:bCs/>
                <w:sz w:val="20"/>
                <w:szCs w:val="20"/>
              </w:rPr>
              <w:t xml:space="preserve">Frontend</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Next.js 15 + React + TypeScript</w:t>
            </w:r>
          </w:p>
        </w:tc>
        <w:tc>
          <w:tcPr>
            <w:tcW w:type="dxa" w:w="42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Framework moderne, performant, supporté nativement pour les PWA</w:t>
            </w:r>
          </w:p>
        </w:tc>
      </w:tr>
      <w:tr>
        <w:tc>
          <w:tcPr>
            <w:tcW w:type="dxa" w:w="18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b/>
                <w:bCs/>
                <w:sz w:val="20"/>
                <w:szCs w:val="20"/>
              </w:rPr>
              <w:t xml:space="preserve">Style UI</w:t>
            </w:r>
          </w:p>
        </w:tc>
        <w:tc>
          <w:tcPr>
            <w:tcW w:type="dxa" w:w="3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Tailwind CSS + shadcn/ui</w:t>
            </w:r>
          </w:p>
        </w:tc>
        <w:tc>
          <w:tcPr>
            <w:tcW w:type="dxa" w:w="42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Composants pro, design cohérent, mobile-first</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b/>
                <w:bCs/>
                <w:sz w:val="20"/>
                <w:szCs w:val="20"/>
              </w:rPr>
              <w:t xml:space="preserve">Backend &amp; BDD</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Supabase (PostgreSQL managé)</w:t>
            </w:r>
          </w:p>
        </w:tc>
        <w:tc>
          <w:tcPr>
            <w:tcW w:type="dxa" w:w="42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Base relationnelle, auth intégrée, sécurité au niveau base de données</w:t>
            </w:r>
          </w:p>
        </w:tc>
      </w:tr>
      <w:tr>
        <w:tc>
          <w:tcPr>
            <w:tcW w:type="dxa" w:w="18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b/>
                <w:bCs/>
                <w:sz w:val="20"/>
                <w:szCs w:val="20"/>
              </w:rPr>
              <w:t xml:space="preserve">Stockage fichiers</w:t>
            </w:r>
          </w:p>
        </w:tc>
        <w:tc>
          <w:tcPr>
            <w:tcW w:type="dxa" w:w="3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Supabase Storage</w:t>
            </w:r>
          </w:p>
        </w:tc>
        <w:tc>
          <w:tcPr>
            <w:tcW w:type="dxa" w:w="42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PDF de factures, signatures, photos de justificatifs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b/>
                <w:bCs/>
                <w:sz w:val="20"/>
                <w:szCs w:val="20"/>
              </w:rPr>
              <w:t xml:space="preserve">Génération PDF</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react-pdf</w:t>
            </w:r>
          </w:p>
        </w:tc>
        <w:tc>
          <w:tcPr>
            <w:tcW w:type="dxa" w:w="42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Factures et bons de livraison personnalisés</w:t>
            </w:r>
          </w:p>
        </w:tc>
      </w:tr>
      <w:tr>
        <w:tc>
          <w:tcPr>
            <w:tcW w:type="dxa" w:w="18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b/>
                <w:bCs/>
                <w:sz w:val="20"/>
                <w:szCs w:val="20"/>
              </w:rPr>
              <w:t xml:space="preserve">Mode offline</w:t>
            </w:r>
          </w:p>
        </w:tc>
        <w:tc>
          <w:tcPr>
            <w:tcW w:type="dxa" w:w="3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PWA + IndexedDB (Dexie.js)</w:t>
            </w:r>
          </w:p>
        </w:tc>
        <w:tc>
          <w:tcPr>
            <w:tcW w:type="dxa" w:w="42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Stockage local et synchronisation différée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b/>
                <w:bCs/>
                <w:sz w:val="20"/>
                <w:szCs w:val="20"/>
              </w:rPr>
              <w:t xml:space="preserve">Hébergement</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Vercel (frontend) + Supabase (backend)</w:t>
            </w:r>
          </w:p>
        </w:tc>
        <w:tc>
          <w:tcPr>
            <w:tcW w:type="dxa" w:w="42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Déploiement automatisé, sauvegardes quotidiennes</w:t>
            </w:r>
          </w:p>
        </w:tc>
      </w:tr>
    </w:tbl>
    <w:p>
      <w:pPr>
        <w:pStyle w:val="Heading2"/>
        <w:spacing w:after="150" w:before="300"/>
      </w:pPr>
      <w:r>
        <w:rPr>
          <w:b/>
          <w:bCs/>
          <w:color w:val="2E75B6"/>
          <w:sz w:val="26"/>
          <w:szCs w:val="26"/>
        </w:rPr>
        <w:t xml:space="preserve">3.2 Sécurité</w:t>
      </w:r>
    </w:p>
    <w:p>
      <w:pPr>
        <w:pStyle w:val="ListParagraph"/>
        <w:numPr>
          <w:ilvl w:val="0"/>
          <w:numId w:val="2"/>
        </w:numPr>
        <w:spacing w:after="80"/>
      </w:pPr>
      <w:r>
        <w:rPr>
          <w:b/>
          <w:bCs/>
          <w:color w:val="1F4E79"/>
          <w:sz w:val="22"/>
          <w:szCs w:val="22"/>
        </w:rPr>
        <w:t xml:space="preserve">Chiffrement</w:t>
      </w:r>
      <w:r>
        <w:rPr>
          <w:sz w:val="22"/>
          <w:szCs w:val="22"/>
        </w:rPr>
        <w:t xml:space="preserve"> — </w:t>
      </w:r>
      <w:r>
        <w:rPr>
          <w:sz w:val="22"/>
          <w:szCs w:val="22"/>
        </w:rPr>
        <w:t xml:space="preserve">Connexion HTTPS obligatoire sur l'ensemble de l'application</w:t>
      </w:r>
    </w:p>
    <w:p>
      <w:pPr>
        <w:pStyle w:val="ListParagraph"/>
        <w:numPr>
          <w:ilvl w:val="0"/>
          <w:numId w:val="2"/>
        </w:numPr>
        <w:spacing w:after="80"/>
      </w:pPr>
      <w:r>
        <w:rPr>
          <w:b/>
          <w:bCs/>
          <w:color w:val="1F4E79"/>
          <w:sz w:val="22"/>
          <w:szCs w:val="22"/>
        </w:rPr>
        <w:t xml:space="preserve">Authentification</w:t>
      </w:r>
      <w:r>
        <w:rPr>
          <w:sz w:val="22"/>
          <w:szCs w:val="22"/>
        </w:rPr>
        <w:t xml:space="preserve"> — </w:t>
      </w:r>
      <w:r>
        <w:rPr>
          <w:sz w:val="22"/>
          <w:szCs w:val="22"/>
        </w:rPr>
        <w:t xml:space="preserve">Mots de passe hachés (bcrypt), politique de complexité minimale (8 caractères, mixte)</w:t>
      </w:r>
    </w:p>
    <w:p>
      <w:pPr>
        <w:pStyle w:val="ListParagraph"/>
        <w:numPr>
          <w:ilvl w:val="0"/>
          <w:numId w:val="2"/>
        </w:numPr>
        <w:spacing w:after="80"/>
      </w:pPr>
      <w:r>
        <w:rPr>
          <w:b/>
          <w:bCs/>
          <w:color w:val="1F4E79"/>
          <w:sz w:val="22"/>
          <w:szCs w:val="22"/>
        </w:rPr>
        <w:t xml:space="preserve">Isolation des données</w:t>
      </w:r>
      <w:r>
        <w:rPr>
          <w:sz w:val="22"/>
          <w:szCs w:val="22"/>
        </w:rPr>
        <w:t xml:space="preserve"> — </w:t>
      </w:r>
      <w:r>
        <w:rPr>
          <w:sz w:val="22"/>
          <w:szCs w:val="22"/>
        </w:rPr>
        <w:t xml:space="preserve">Row Level Security PostgreSQL : chaque utilisateur ne peut accéder qu'aux données autorisées par son rôle, contrôle au niveau base de données</w:t>
      </w:r>
    </w:p>
    <w:p>
      <w:pPr>
        <w:pStyle w:val="ListParagraph"/>
        <w:numPr>
          <w:ilvl w:val="0"/>
          <w:numId w:val="2"/>
        </w:numPr>
        <w:spacing w:after="80"/>
      </w:pPr>
      <w:r>
        <w:rPr>
          <w:b/>
          <w:bCs/>
          <w:color w:val="1F4E79"/>
          <w:sz w:val="22"/>
          <w:szCs w:val="22"/>
        </w:rPr>
        <w:t xml:space="preserve">Sauvegardes</w:t>
      </w:r>
      <w:r>
        <w:rPr>
          <w:sz w:val="22"/>
          <w:szCs w:val="22"/>
        </w:rPr>
        <w:t xml:space="preserve"> — </w:t>
      </w:r>
      <w:r>
        <w:rPr>
          <w:sz w:val="22"/>
          <w:szCs w:val="22"/>
        </w:rPr>
        <w:t xml:space="preserve">Sauvegardes automatiques quotidiennes conservées 7 jours, plus une sauvegarde hebdomadaire conservée 4 semaines</w:t>
      </w:r>
    </w:p>
    <w:p>
      <w:pPr>
        <w:pStyle w:val="ListParagraph"/>
        <w:numPr>
          <w:ilvl w:val="0"/>
          <w:numId w:val="2"/>
        </w:numPr>
        <w:spacing w:after="80"/>
      </w:pPr>
      <w:r>
        <w:rPr>
          <w:b/>
          <w:bCs/>
          <w:color w:val="1F4E79"/>
          <w:sz w:val="22"/>
          <w:szCs w:val="22"/>
        </w:rPr>
        <w:t xml:space="preserve">Audit</w:t>
      </w:r>
      <w:r>
        <w:rPr>
          <w:sz w:val="22"/>
          <w:szCs w:val="22"/>
        </w:rPr>
        <w:t xml:space="preserve"> — </w:t>
      </w:r>
      <w:r>
        <w:rPr>
          <w:sz w:val="22"/>
          <w:szCs w:val="22"/>
        </w:rPr>
        <w:t xml:space="preserve">Journalisation des actions sensibles (modifications de prix, suppressions, accès aux données financières)</w:t>
      </w:r>
    </w:p>
    <w:p>
      <w:pPr>
        <w:pStyle w:val="ListParagraph"/>
        <w:numPr>
          <w:ilvl w:val="0"/>
          <w:numId w:val="2"/>
        </w:numPr>
        <w:spacing w:after="80"/>
      </w:pPr>
      <w:r>
        <w:rPr>
          <w:b/>
          <w:bCs/>
          <w:color w:val="1F4E79"/>
          <w:sz w:val="22"/>
          <w:szCs w:val="22"/>
        </w:rPr>
        <w:t xml:space="preserve">RGPD</w:t>
      </w:r>
      <w:r>
        <w:rPr>
          <w:sz w:val="22"/>
          <w:szCs w:val="22"/>
        </w:rPr>
        <w:t xml:space="preserve"> — </w:t>
      </w:r>
      <w:r>
        <w:rPr>
          <w:sz w:val="22"/>
          <w:szCs w:val="22"/>
        </w:rPr>
        <w:t xml:space="preserve">Conformité RGPD : aucune donnée personnelle hors UE, consentement utilisateur, droit à l'oubli implémenté</w:t>
      </w:r>
    </w:p>
    <w:p>
      <w:pPr>
        <w:pStyle w:val="Heading2"/>
        <w:spacing w:after="150" w:before="300"/>
      </w:pPr>
      <w:r>
        <w:rPr>
          <w:b/>
          <w:bCs/>
          <w:color w:val="2E75B6"/>
          <w:sz w:val="26"/>
          <w:szCs w:val="26"/>
        </w:rPr>
        <w:t xml:space="preserve">3.3 Compatibilité</w:t>
      </w:r>
    </w:p>
    <w:p>
      <w:pPr>
        <w:pStyle w:val="ListParagraph"/>
        <w:numPr>
          <w:ilvl w:val="0"/>
          <w:numId w:val="2"/>
        </w:numPr>
        <w:spacing w:after="80"/>
      </w:pPr>
      <w:r>
        <w:rPr>
          <w:sz w:val="22"/>
          <w:szCs w:val="22"/>
        </w:rPr>
        <w:t xml:space="preserve">Navigateurs supportés : Chrome, Edge, Firefox, Safari (versions des 2 dernières années)</w:t>
      </w:r>
    </w:p>
    <w:p>
      <w:pPr>
        <w:pStyle w:val="ListParagraph"/>
        <w:numPr>
          <w:ilvl w:val="0"/>
          <w:numId w:val="2"/>
        </w:numPr>
        <w:spacing w:after="80"/>
      </w:pPr>
      <w:r>
        <w:rPr>
          <w:sz w:val="22"/>
          <w:szCs w:val="22"/>
        </w:rPr>
        <w:t xml:space="preserve">Responsive : desktop (≥1280px), tablette (≥768px), smartphone (≥375px)</w:t>
      </w:r>
    </w:p>
    <w:p>
      <w:pPr>
        <w:pStyle w:val="ListParagraph"/>
        <w:numPr>
          <w:ilvl w:val="0"/>
          <w:numId w:val="2"/>
        </w:numPr>
        <w:spacing w:after="80"/>
      </w:pPr>
      <w:r>
        <w:rPr>
          <w:sz w:val="22"/>
          <w:szCs w:val="22"/>
        </w:rPr>
        <w:t xml:space="preserve">Système d'exploitation mobile : iOS 15+ et Android 10+</w:t>
      </w:r>
    </w:p>
    <w:p>
      <w:pPr>
        <w:pStyle w:val="Heading2"/>
        <w:spacing w:after="150" w:before="300"/>
      </w:pPr>
      <w:r>
        <w:rPr>
          <w:b/>
          <w:bCs/>
          <w:color w:val="2E75B6"/>
          <w:sz w:val="26"/>
          <w:szCs w:val="26"/>
        </w:rPr>
        <w:t xml:space="preserve">3.4 Performance</w:t>
      </w:r>
    </w:p>
    <w:p>
      <w:pPr>
        <w:pStyle w:val="ListParagraph"/>
        <w:numPr>
          <w:ilvl w:val="0"/>
          <w:numId w:val="2"/>
        </w:numPr>
        <w:spacing w:after="80"/>
      </w:pPr>
      <w:r>
        <w:rPr>
          <w:sz w:val="22"/>
          <w:szCs w:val="22"/>
        </w:rPr>
        <w:t xml:space="preserve">Temps de chargement initial &lt; 3 secondes en 4G</w:t>
      </w:r>
    </w:p>
    <w:p>
      <w:pPr>
        <w:pStyle w:val="ListParagraph"/>
        <w:numPr>
          <w:ilvl w:val="0"/>
          <w:numId w:val="2"/>
        </w:numPr>
        <w:spacing w:after="80"/>
      </w:pPr>
      <w:r>
        <w:rPr>
          <w:sz w:val="22"/>
          <w:szCs w:val="22"/>
        </w:rPr>
        <w:t xml:space="preserve">Temps de réponse &lt; 1 seconde sur les actions courantes (création livraison, consultation stock)</w:t>
      </w:r>
    </w:p>
    <w:p>
      <w:pPr>
        <w:pStyle w:val="ListParagraph"/>
        <w:numPr>
          <w:ilvl w:val="0"/>
          <w:numId w:val="2"/>
        </w:numPr>
        <w:spacing w:after="80"/>
      </w:pPr>
      <w:r>
        <w:rPr>
          <w:sz w:val="22"/>
          <w:szCs w:val="22"/>
        </w:rPr>
        <w:t xml:space="preserve">Application utilisable avec une connexion à 1 Mbps minimum (mode dégradé toléré en deçà)</w:t>
      </w:r>
    </w:p>
    <w:p>
      <w:r>
        <w:br w:type="page"/>
      </w:r>
    </w:p>
    <w:p>
      <w:pPr>
        <w:pStyle w:val="Heading1"/>
        <w:pBdr>
          <w:bottom w:val="single" w:color="1F4E79" w:sz="12" w:space="6"/>
        </w:pBdr>
        <w:spacing w:after="200" w:before="400"/>
      </w:pPr>
      <w:r>
        <w:rPr>
          <w:b/>
          <w:bCs/>
          <w:color w:val="1F4E79"/>
          <w:sz w:val="32"/>
          <w:szCs w:val="32"/>
        </w:rPr>
        <w:t xml:space="preserve">4. Hors périmètre</w:t>
      </w:r>
    </w:p>
    <w:p>
      <w:pPr>
        <w:spacing w:after="120"/>
      </w:pPr>
      <w:r>
        <w:rPr>
          <w:sz w:val="22"/>
          <w:szCs w:val="22"/>
        </w:rPr>
        <w:t xml:space="preserve">Les éléments suivants ne sont PAS inclus dans le présent projet. Ils pourront faire l'objet d'une évolution V2 chiffrée séparément :</w:t>
      </w:r>
    </w:p>
    <w:p>
      <w:pPr>
        <w:pStyle w:val="ListParagraph"/>
        <w:numPr>
          <w:ilvl w:val="0"/>
          <w:numId w:val="2"/>
        </w:numPr>
        <w:spacing w:after="80"/>
      </w:pPr>
      <w:r>
        <w:rPr>
          <w:sz w:val="22"/>
          <w:szCs w:val="22"/>
        </w:rPr>
        <w:t xml:space="preserve">Application mobile native iOS et Android (publication sur les stores)</w:t>
      </w:r>
    </w:p>
    <w:p>
      <w:pPr>
        <w:pStyle w:val="ListParagraph"/>
        <w:numPr>
          <w:ilvl w:val="0"/>
          <w:numId w:val="2"/>
        </w:numPr>
        <w:spacing w:after="80"/>
      </w:pPr>
      <w:r>
        <w:rPr>
          <w:sz w:val="22"/>
          <w:szCs w:val="22"/>
        </w:rPr>
        <w:t xml:space="preserve">Vente en ligne / boutique e-commerce destinée aux particuliers</w:t>
      </w:r>
    </w:p>
    <w:p>
      <w:pPr>
        <w:pStyle w:val="ListParagraph"/>
        <w:numPr>
          <w:ilvl w:val="0"/>
          <w:numId w:val="2"/>
        </w:numPr>
        <w:spacing w:after="80"/>
      </w:pPr>
      <w:r>
        <w:rPr>
          <w:sz w:val="22"/>
          <w:szCs w:val="22"/>
        </w:rPr>
        <w:t xml:space="preserve">Connexion à un logiciel comptable tiers (Sage, EBP, etc.) — un export Excel est fourni à la place</w:t>
      </w:r>
    </w:p>
    <w:p>
      <w:pPr>
        <w:pStyle w:val="ListParagraph"/>
        <w:numPr>
          <w:ilvl w:val="0"/>
          <w:numId w:val="2"/>
        </w:numPr>
        <w:spacing w:after="80"/>
      </w:pPr>
      <w:r>
        <w:rPr>
          <w:sz w:val="22"/>
          <w:szCs w:val="22"/>
        </w:rPr>
        <w:t xml:space="preserve">Connexion à une caisse enregistreuse ou TPE</w:t>
      </w:r>
    </w:p>
    <w:p>
      <w:pPr>
        <w:pStyle w:val="ListParagraph"/>
        <w:numPr>
          <w:ilvl w:val="0"/>
          <w:numId w:val="2"/>
        </w:numPr>
        <w:spacing w:after="80"/>
      </w:pPr>
      <w:r>
        <w:rPr>
          <w:sz w:val="22"/>
          <w:szCs w:val="22"/>
        </w:rPr>
        <w:t xml:space="preserve">Module CRM avancé (campagnes email automatiques, segmentation marketing)</w:t>
      </w:r>
    </w:p>
    <w:p>
      <w:pPr>
        <w:pStyle w:val="ListParagraph"/>
        <w:numPr>
          <w:ilvl w:val="0"/>
          <w:numId w:val="2"/>
        </w:numPr>
        <w:spacing w:after="80"/>
      </w:pPr>
      <w:r>
        <w:rPr>
          <w:sz w:val="22"/>
          <w:szCs w:val="22"/>
        </w:rPr>
        <w:t xml:space="preserve">Gestion multi-sociétés ou multi-établissements</w:t>
      </w:r>
    </w:p>
    <w:p>
      <w:pPr>
        <w:pStyle w:val="ListParagraph"/>
        <w:numPr>
          <w:ilvl w:val="0"/>
          <w:numId w:val="2"/>
        </w:numPr>
        <w:spacing w:after="80"/>
      </w:pPr>
      <w:r>
        <w:rPr>
          <w:sz w:val="22"/>
          <w:szCs w:val="22"/>
        </w:rPr>
        <w:t xml:space="preserve">Application multilingue (français uniquement)</w:t>
      </w:r>
    </w:p>
    <w:p>
      <w:pPr>
        <w:pStyle w:val="ListParagraph"/>
        <w:numPr>
          <w:ilvl w:val="0"/>
          <w:numId w:val="2"/>
        </w:numPr>
        <w:spacing w:after="80"/>
      </w:pPr>
      <w:r>
        <w:rPr>
          <w:sz w:val="22"/>
          <w:szCs w:val="22"/>
        </w:rPr>
        <w:t xml:space="preserve">Migration de données depuis un système existant (le client part de zéro)</w:t>
      </w:r>
    </w:p>
    <w:p>
      <w:pPr>
        <w:pStyle w:val="ListParagraph"/>
        <w:numPr>
          <w:ilvl w:val="0"/>
          <w:numId w:val="2"/>
        </w:numPr>
        <w:spacing w:after="80"/>
      </w:pPr>
      <w:r>
        <w:rPr>
          <w:sz w:val="22"/>
          <w:szCs w:val="22"/>
        </w:rPr>
        <w:t xml:space="preserve">Formation au-delà des 2 sessions prévues (une par profil utilisateur)</w:t>
      </w:r>
    </w:p>
    <w:p>
      <w:pPr>
        <w:pStyle w:val="ListParagraph"/>
        <w:numPr>
          <w:ilvl w:val="0"/>
          <w:numId w:val="2"/>
        </w:numPr>
        <w:spacing w:after="80"/>
      </w:pPr>
      <w:r>
        <w:rPr>
          <w:sz w:val="22"/>
          <w:szCs w:val="22"/>
        </w:rPr>
        <w:t xml:space="preserve">Relances automatiques par SMS ou par email aux clients impayés (relance manuelle uniquement)</w:t>
      </w:r>
    </w:p>
    <w:p>
      <w:pPr>
        <w:pStyle w:val="Heading1"/>
        <w:pBdr>
          <w:bottom w:val="single" w:color="1F4E79" w:sz="12" w:space="6"/>
        </w:pBdr>
        <w:spacing w:after="200" w:before="400"/>
      </w:pPr>
      <w:r>
        <w:rPr>
          <w:b/>
          <w:bCs/>
          <w:color w:val="1F4E79"/>
          <w:sz w:val="32"/>
          <w:szCs w:val="32"/>
        </w:rPr>
        <w:t xml:space="preserve">5. Recette et livrables</w:t>
      </w:r>
    </w:p>
    <w:p>
      <w:pPr>
        <w:pStyle w:val="Heading2"/>
        <w:spacing w:after="150" w:before="300"/>
      </w:pPr>
      <w:r>
        <w:rPr>
          <w:b/>
          <w:bCs/>
          <w:color w:val="2E75B6"/>
          <w:sz w:val="26"/>
          <w:szCs w:val="26"/>
        </w:rPr>
        <w:t xml:space="preserve">5.1 Critères d'acceptation</w:t>
      </w:r>
    </w:p>
    <w:p>
      <w:pPr>
        <w:spacing w:after="120"/>
      </w:pPr>
      <w:r>
        <w:rPr>
          <w:sz w:val="22"/>
          <w:szCs w:val="22"/>
        </w:rPr>
        <w:t xml:space="preserve">La recette se déroule en deux temps :</w:t>
      </w:r>
    </w:p>
    <w:p>
      <w:pPr>
        <w:pStyle w:val="ListParagraph"/>
        <w:numPr>
          <w:ilvl w:val="0"/>
          <w:numId w:val="2"/>
        </w:numPr>
        <w:spacing w:after="80"/>
      </w:pPr>
      <w:r>
        <w:rPr>
          <w:b/>
          <w:bCs/>
          <w:color w:val="1F4E79"/>
          <w:sz w:val="22"/>
          <w:szCs w:val="22"/>
        </w:rPr>
        <w:t xml:space="preserve">Recette interne</w:t>
      </w:r>
      <w:r>
        <w:rPr>
          <w:sz w:val="22"/>
          <w:szCs w:val="22"/>
        </w:rPr>
        <w:t xml:space="preserve"> — </w:t>
      </w:r>
      <w:r>
        <w:rPr>
          <w:sz w:val="22"/>
          <w:szCs w:val="22"/>
        </w:rPr>
        <w:t xml:space="preserve">Le prestataire valide chaque exigence du présent cahier des charges sur un environnement de pré-production</w:t>
      </w:r>
    </w:p>
    <w:p>
      <w:pPr>
        <w:pStyle w:val="ListParagraph"/>
        <w:numPr>
          <w:ilvl w:val="0"/>
          <w:numId w:val="2"/>
        </w:numPr>
        <w:spacing w:after="80"/>
      </w:pPr>
      <w:r>
        <w:rPr>
          <w:b/>
          <w:bCs/>
          <w:color w:val="1F4E79"/>
          <w:sz w:val="22"/>
          <w:szCs w:val="22"/>
        </w:rPr>
        <w:t xml:space="preserve">Recette client</w:t>
      </w:r>
      <w:r>
        <w:rPr>
          <w:sz w:val="22"/>
          <w:szCs w:val="22"/>
        </w:rPr>
        <w:t xml:space="preserve"> — </w:t>
      </w:r>
      <w:r>
        <w:rPr>
          <w:sz w:val="22"/>
          <w:szCs w:val="22"/>
        </w:rPr>
        <w:t xml:space="preserve">Le client teste l'application sur des cas réels sur une période de 5 jours ouvrés. Les anomalies remontées sont qualifiées (bloquantes / majeures / mineures) et corrigées selon les SLA ci-dessous</w:t>
      </w:r>
    </w:p>
    <w:p>
      <w:pPr>
        <w:pStyle w:val="Heading2"/>
        <w:spacing w:after="150" w:before="300"/>
      </w:pPr>
      <w:r>
        <w:rPr>
          <w:b/>
          <w:bCs/>
          <w:color w:val="2E75B6"/>
          <w:sz w:val="26"/>
          <w:szCs w:val="26"/>
        </w:rPr>
        <w:t xml:space="preserve">5.2 Niveaux d'anomalie et délais de correction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26"/>
        <w:gridCol w:w="26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Niveau</w:t>
            </w:r>
          </w:p>
        </w:tc>
        <w:tc>
          <w:tcPr>
            <w:tcW w:type="dxa" w:w="4426"/>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Définition</w:t>
            </w:r>
          </w:p>
        </w:tc>
        <w:tc>
          <w:tcPr>
            <w:tcW w:type="dxa" w:w="2600"/>
            <w:tcBorders>
              <w:top w:val="single" w:color="BFBFBF" w:sz="4"/>
              <w:left w:val="single" w:color="BFBFBF" w:sz="4"/>
              <w:bottom w:val="single" w:color="BFBFBF" w:sz="4"/>
              <w:right w:val="single" w:color="BFBFBF" w:sz="4"/>
            </w:tcBorders>
            <w:shd w:fill="1F4E79" w:val="clear"/>
            <w:tcMar>
              <w:top w:type="dxa" w:w="120"/>
              <w:left w:type="dxa" w:w="150"/>
              <w:bottom w:type="dxa" w:w="120"/>
              <w:right w:type="dxa" w:w="150"/>
            </w:tcMar>
            <w:vAlign w:val="center"/>
          </w:tcPr>
          <w:p>
            <w:pPr>
              <w:spacing w:after="0"/>
            </w:pPr>
            <w:r>
              <w:rPr>
                <w:b/>
                <w:bCs/>
                <w:color w:val="FFFFFF"/>
                <w:sz w:val="20"/>
                <w:szCs w:val="20"/>
              </w:rPr>
              <w:t xml:space="preserve">Délai de correction</w:t>
            </w:r>
          </w:p>
        </w:tc>
      </w:tr>
      <w:tr>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b/>
                <w:bCs/>
                <w:color w:val="C00000"/>
                <w:sz w:val="20"/>
                <w:szCs w:val="20"/>
              </w:rPr>
              <w:t xml:space="preserve">Bloquante</w:t>
            </w:r>
          </w:p>
        </w:tc>
        <w:tc>
          <w:tcPr>
            <w:tcW w:type="dxa" w:w="44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L'application ne peut pas être utilisée. Une fonction critique est inopérante.</w:t>
            </w:r>
          </w:p>
        </w:tc>
        <w:tc>
          <w:tcPr>
            <w:tcW w:type="dxa" w:w="26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Sous 48h ouvrées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b/>
                <w:bCs/>
                <w:color w:val="C77B00"/>
                <w:sz w:val="20"/>
                <w:szCs w:val="20"/>
              </w:rPr>
              <w:t xml:space="preserve">Majeure</w:t>
            </w:r>
          </w:p>
        </w:tc>
        <w:tc>
          <w:tcPr>
            <w:tcW w:type="dxa" w:w="4426"/>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pPr>
            <w:r>
              <w:rPr>
                <w:sz w:val="20"/>
                <w:szCs w:val="20"/>
              </w:rPr>
              <w:t xml:space="preserve">Une fonction est dégradée mais un contournement existe.</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vAlign w:val="center"/>
          </w:tcPr>
          <w:p>
            <w:pPr>
              <w:spacing w:after="0"/>
              <w:jc w:val="center"/>
            </w:pPr>
            <w:r>
              <w:rPr>
                <w:b/>
                <w:bCs/>
                <w:sz w:val="20"/>
                <w:szCs w:val="20"/>
              </w:rPr>
              <w:t xml:space="preserve">Sous 5 jours ouvrés</w:t>
            </w:r>
          </w:p>
        </w:tc>
      </w:tr>
      <w:tr>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b/>
                <w:bCs/>
                <w:color w:val="548235"/>
                <w:sz w:val="20"/>
                <w:szCs w:val="20"/>
              </w:rPr>
              <w:t xml:space="preserve">Mineure</w:t>
            </w:r>
          </w:p>
        </w:tc>
        <w:tc>
          <w:tcPr>
            <w:tcW w:type="dxa" w:w="4426"/>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pPr>
            <w:r>
              <w:rPr>
                <w:sz w:val="20"/>
                <w:szCs w:val="20"/>
              </w:rPr>
              <w:t xml:space="preserve">Défaut visuel ou ergonomique sans impact sur l'usage.</w:t>
            </w:r>
          </w:p>
        </w:tc>
        <w:tc>
          <w:tcPr>
            <w:tcW w:type="dxa" w:w="2600"/>
            <w:tcBorders>
              <w:top w:val="single" w:color="BFBFBF" w:sz="4"/>
              <w:left w:val="single" w:color="BFBFBF" w:sz="4"/>
              <w:bottom w:val="single" w:color="BFBFBF" w:sz="4"/>
              <w:right w:val="single" w:color="BFBFBF" w:sz="4"/>
            </w:tcBorders>
            <w:tcMar>
              <w:top w:type="dxa" w:w="100"/>
              <w:left w:type="dxa" w:w="150"/>
              <w:bottom w:type="dxa" w:w="100"/>
              <w:right w:type="dxa" w:w="150"/>
            </w:tcMar>
            <w:vAlign w:val="center"/>
          </w:tcPr>
          <w:p>
            <w:pPr>
              <w:spacing w:after="0"/>
              <w:jc w:val="center"/>
            </w:pPr>
            <w:r>
              <w:rPr>
                <w:b/>
                <w:bCs/>
                <w:sz w:val="20"/>
                <w:szCs w:val="20"/>
              </w:rPr>
              <w:t xml:space="preserve">Sous 15 jours ouvrés</w:t>
            </w:r>
          </w:p>
        </w:tc>
      </w:tr>
    </w:tbl>
    <w:p>
      <w:pPr>
        <w:pStyle w:val="Heading2"/>
        <w:spacing w:after="150" w:before="300"/>
      </w:pPr>
      <w:r>
        <w:rPr>
          <w:b/>
          <w:bCs/>
          <w:color w:val="2E75B6"/>
          <w:sz w:val="26"/>
          <w:szCs w:val="26"/>
        </w:rPr>
        <w:t xml:space="preserve">5.3 Livrables attendus</w:t>
      </w:r>
    </w:p>
    <w:p>
      <w:pPr>
        <w:pStyle w:val="ListParagraph"/>
        <w:numPr>
          <w:ilvl w:val="0"/>
          <w:numId w:val="2"/>
        </w:numPr>
        <w:spacing w:after="80"/>
      </w:pPr>
      <w:r>
        <w:rPr>
          <w:sz w:val="22"/>
          <w:szCs w:val="22"/>
        </w:rPr>
        <w:t xml:space="preserve">Code source complet versionné sur Git (transmis sous forme d'archive ou via accès au dépôt)</w:t>
      </w:r>
    </w:p>
    <w:p>
      <w:pPr>
        <w:pStyle w:val="ListParagraph"/>
        <w:numPr>
          <w:ilvl w:val="0"/>
          <w:numId w:val="2"/>
        </w:numPr>
        <w:spacing w:after="80"/>
      </w:pPr>
      <w:r>
        <w:rPr>
          <w:sz w:val="22"/>
          <w:szCs w:val="22"/>
        </w:rPr>
        <w:t xml:space="preserve">Application déployée et accessible via une URL HTTPS dédiée</w:t>
      </w:r>
    </w:p>
    <w:p>
      <w:pPr>
        <w:pStyle w:val="ListParagraph"/>
        <w:numPr>
          <w:ilvl w:val="0"/>
          <w:numId w:val="2"/>
        </w:numPr>
        <w:spacing w:after="80"/>
      </w:pPr>
      <w:r>
        <w:rPr>
          <w:sz w:val="22"/>
          <w:szCs w:val="22"/>
        </w:rPr>
        <w:t xml:space="preserve">Documentation utilisateur en PDF, illustrée, ~15 pages, en français</w:t>
      </w:r>
    </w:p>
    <w:p>
      <w:pPr>
        <w:pStyle w:val="ListParagraph"/>
        <w:numPr>
          <w:ilvl w:val="0"/>
          <w:numId w:val="2"/>
        </w:numPr>
        <w:spacing w:after="80"/>
      </w:pPr>
      <w:r>
        <w:rPr>
          <w:sz w:val="22"/>
          <w:szCs w:val="22"/>
        </w:rPr>
        <w:t xml:space="preserve">Procès-verbal de recette signé par les deux parties</w:t>
      </w:r>
    </w:p>
    <w:p>
      <w:pPr>
        <w:pStyle w:val="ListParagraph"/>
        <w:numPr>
          <w:ilvl w:val="0"/>
          <w:numId w:val="2"/>
        </w:numPr>
        <w:spacing w:after="80"/>
      </w:pPr>
      <w:r>
        <w:rPr>
          <w:sz w:val="22"/>
          <w:szCs w:val="22"/>
        </w:rPr>
        <w:t xml:space="preserve">Identifiants administrateurs et accès aux services (hébergement, base de données)</w:t>
      </w:r>
    </w:p>
    <w:p>
      <w:pPr>
        <w:pStyle w:val="ListParagraph"/>
        <w:numPr>
          <w:ilvl w:val="0"/>
          <w:numId w:val="2"/>
        </w:numPr>
        <w:spacing w:after="80"/>
      </w:pPr>
      <w:r>
        <w:rPr>
          <w:sz w:val="22"/>
          <w:szCs w:val="22"/>
        </w:rPr>
        <w:t xml:space="preserve">2 sessions de formation de 2h (Patron et Fabrication ; Livreur)</w:t>
      </w:r>
    </w:p>
    <w:p>
      <w:r>
        <w:br w:type="page"/>
      </w:r>
    </w:p>
    <w:p>
      <w:pPr>
        <w:pStyle w:val="Heading1"/>
        <w:pBdr>
          <w:bottom w:val="single" w:color="1F4E79" w:sz="12" w:space="6"/>
        </w:pBdr>
        <w:spacing w:after="200" w:before="400"/>
      </w:pPr>
      <w:r>
        <w:rPr>
          <w:b/>
          <w:bCs/>
          <w:color w:val="1F4E79"/>
          <w:sz w:val="32"/>
          <w:szCs w:val="32"/>
        </w:rPr>
        <w:t xml:space="preserve">6. Engagements réciproques</w:t>
      </w:r>
    </w:p>
    <w:p>
      <w:pPr>
        <w:pStyle w:val="Heading2"/>
        <w:spacing w:after="150" w:before="300"/>
      </w:pPr>
      <w:r>
        <w:rPr>
          <w:b/>
          <w:bCs/>
          <w:color w:val="2E75B6"/>
          <w:sz w:val="26"/>
          <w:szCs w:val="26"/>
        </w:rPr>
        <w:t xml:space="preserve">6.1 Engagements du prestataire</w:t>
      </w:r>
    </w:p>
    <w:p>
      <w:pPr>
        <w:pStyle w:val="ListParagraph"/>
        <w:numPr>
          <w:ilvl w:val="0"/>
          <w:numId w:val="2"/>
        </w:numPr>
        <w:spacing w:after="80"/>
      </w:pPr>
      <w:r>
        <w:rPr>
          <w:sz w:val="22"/>
          <w:szCs w:val="22"/>
        </w:rPr>
        <w:t xml:space="preserve">Respecter le périmètre fonctionnel et les délais convenus</w:t>
      </w:r>
    </w:p>
    <w:p>
      <w:pPr>
        <w:pStyle w:val="ListParagraph"/>
        <w:numPr>
          <w:ilvl w:val="0"/>
          <w:numId w:val="2"/>
        </w:numPr>
        <w:spacing w:after="80"/>
      </w:pPr>
      <w:r>
        <w:rPr>
          <w:sz w:val="22"/>
          <w:szCs w:val="22"/>
        </w:rPr>
        <w:t xml:space="preserve">Garantir le bon fonctionnement de l'application pendant 3 mois après la mise en production</w:t>
      </w:r>
    </w:p>
    <w:p>
      <w:pPr>
        <w:pStyle w:val="ListParagraph"/>
        <w:numPr>
          <w:ilvl w:val="0"/>
          <w:numId w:val="2"/>
        </w:numPr>
        <w:spacing w:after="80"/>
      </w:pPr>
      <w:r>
        <w:rPr>
          <w:sz w:val="22"/>
          <w:szCs w:val="22"/>
        </w:rPr>
        <w:t xml:space="preserve">Assurer la confidentialité de toutes les données et informations métier transmises</w:t>
      </w:r>
    </w:p>
    <w:p>
      <w:pPr>
        <w:pStyle w:val="ListParagraph"/>
        <w:numPr>
          <w:ilvl w:val="0"/>
          <w:numId w:val="2"/>
        </w:numPr>
        <w:spacing w:after="80"/>
      </w:pPr>
      <w:r>
        <w:rPr>
          <w:sz w:val="22"/>
          <w:szCs w:val="22"/>
        </w:rPr>
        <w:t xml:space="preserve">Fournir un point d'avancement hebdomadaire (par email ou visio)</w:t>
      </w:r>
    </w:p>
    <w:p>
      <w:pPr>
        <w:pStyle w:val="ListParagraph"/>
        <w:numPr>
          <w:ilvl w:val="0"/>
          <w:numId w:val="2"/>
        </w:numPr>
        <w:spacing w:after="80"/>
      </w:pPr>
      <w:r>
        <w:rPr>
          <w:sz w:val="22"/>
          <w:szCs w:val="22"/>
        </w:rPr>
        <w:t xml:space="preserve">Documenter le code et les choix techniques significatifs</w:t>
      </w:r>
    </w:p>
    <w:p>
      <w:pPr>
        <w:pStyle w:val="Heading2"/>
        <w:spacing w:after="150" w:before="300"/>
      </w:pPr>
      <w:r>
        <w:rPr>
          <w:b/>
          <w:bCs/>
          <w:color w:val="2E75B6"/>
          <w:sz w:val="26"/>
          <w:szCs w:val="26"/>
        </w:rPr>
        <w:t xml:space="preserve">6.2 Engagements du client</w:t>
      </w:r>
    </w:p>
    <w:p>
      <w:pPr>
        <w:pStyle w:val="ListParagraph"/>
        <w:numPr>
          <w:ilvl w:val="0"/>
          <w:numId w:val="2"/>
        </w:numPr>
        <w:spacing w:after="80"/>
      </w:pPr>
      <w:r>
        <w:rPr>
          <w:sz w:val="22"/>
          <w:szCs w:val="22"/>
        </w:rPr>
        <w:t xml:space="preserve">Désigner un interlocuteur unique disponible pour validation des étapes intermédiaires</w:t>
      </w:r>
    </w:p>
    <w:p>
      <w:pPr>
        <w:pStyle w:val="ListParagraph"/>
        <w:numPr>
          <w:ilvl w:val="0"/>
          <w:numId w:val="2"/>
        </w:numPr>
        <w:spacing w:after="80"/>
      </w:pPr>
      <w:r>
        <w:rPr>
          <w:sz w:val="22"/>
          <w:szCs w:val="22"/>
        </w:rPr>
        <w:t xml:space="preserve">Répondre aux demandes de précision sous 3 jours ouvrés maximum</w:t>
      </w:r>
    </w:p>
    <w:p>
      <w:pPr>
        <w:pStyle w:val="ListParagraph"/>
        <w:numPr>
          <w:ilvl w:val="0"/>
          <w:numId w:val="2"/>
        </w:numPr>
        <w:spacing w:after="80"/>
      </w:pPr>
      <w:r>
        <w:rPr>
          <w:sz w:val="22"/>
          <w:szCs w:val="22"/>
        </w:rPr>
        <w:t xml:space="preserve">Participer activement à la phase de recette dans les délais impartis</w:t>
      </w:r>
    </w:p>
    <w:p>
      <w:pPr>
        <w:pStyle w:val="ListParagraph"/>
        <w:numPr>
          <w:ilvl w:val="0"/>
          <w:numId w:val="2"/>
        </w:numPr>
        <w:spacing w:after="80"/>
      </w:pPr>
      <w:r>
        <w:rPr>
          <w:sz w:val="22"/>
          <w:szCs w:val="22"/>
        </w:rPr>
        <w:t xml:space="preserve">Régler les échéances aux dates convenues dans le devis</w:t>
      </w:r>
    </w:p>
    <w:p>
      <w:pPr>
        <w:pStyle w:val="ListParagraph"/>
        <w:numPr>
          <w:ilvl w:val="0"/>
          <w:numId w:val="2"/>
        </w:numPr>
        <w:spacing w:after="80"/>
      </w:pPr>
      <w:r>
        <w:rPr>
          <w:sz w:val="22"/>
          <w:szCs w:val="22"/>
        </w:rPr>
        <w:t xml:space="preserve">Fournir les éléments graphiques nécessaires (logo, couleurs si charte existante)</w:t>
      </w:r>
    </w:p>
    <w:p>
      <w:pPr>
        <w:pStyle w:val="Heading2"/>
        <w:spacing w:after="150" w:before="300"/>
      </w:pPr>
      <w:r>
        <w:rPr>
          <w:b/>
          <w:bCs/>
          <w:color w:val="2E75B6"/>
          <w:sz w:val="26"/>
          <w:szCs w:val="26"/>
        </w:rPr>
        <w:t xml:space="preserve">6.3 Gestion des évolutions hors périmètre</w:t>
      </w:r>
    </w:p>
    <w:p>
      <w:pPr>
        <w:spacing w:after="120"/>
      </w:pPr>
      <w:r>
        <w:rPr>
          <w:sz w:val="22"/>
          <w:szCs w:val="22"/>
        </w:rPr>
        <w:t xml:space="preserve">Toute demande hors du périmètre défini dans le présent cahier des charges fera l'objet :</w:t>
      </w:r>
    </w:p>
    <w:p>
      <w:pPr>
        <w:pStyle w:val="ListParagraph"/>
        <w:numPr>
          <w:ilvl w:val="0"/>
          <w:numId w:val="2"/>
        </w:numPr>
        <w:spacing w:after="80"/>
      </w:pPr>
      <w:r>
        <w:rPr>
          <w:sz w:val="22"/>
          <w:szCs w:val="22"/>
        </w:rPr>
        <w:t xml:space="preserve">D'une évaluation chiffrée en jours-homme</w:t>
      </w:r>
    </w:p>
    <w:p>
      <w:pPr>
        <w:pStyle w:val="ListParagraph"/>
        <w:numPr>
          <w:ilvl w:val="0"/>
          <w:numId w:val="2"/>
        </w:numPr>
        <w:spacing w:after="80"/>
      </w:pPr>
      <w:r>
        <w:rPr>
          <w:sz w:val="22"/>
          <w:szCs w:val="22"/>
        </w:rPr>
        <w:t xml:space="preserve">D'un avenant écrit signé par les deux parties avant tout démarrage des travaux</w:t>
      </w:r>
    </w:p>
    <w:p>
      <w:pPr>
        <w:pStyle w:val="ListParagraph"/>
        <w:numPr>
          <w:ilvl w:val="0"/>
          <w:numId w:val="2"/>
        </w:numPr>
        <w:spacing w:after="80"/>
      </w:pPr>
      <w:r>
        <w:rPr>
          <w:sz w:val="22"/>
          <w:szCs w:val="22"/>
        </w:rPr>
        <w:t xml:space="preserve">D'une facturation séparée selon le tarif convenu</w:t>
      </w:r>
    </w:p>
    <w:p>
      <w:pPr>
        <w:spacing w:after="120"/>
      </w:pPr>
      <w:r>
        <w:rPr>
          <w:i/>
          <w:iCs/>
          <w:color w:val="595959"/>
          <w:sz w:val="20"/>
          <w:szCs w:val="20"/>
        </w:rPr>
        <w:t xml:space="preserve">Le prestataire conserve le droit de refuser une évolution qui mettrait en péril la stabilité de l'application existante.</w:t>
      </w:r>
    </w:p>
    <w:p>
      <w:pPr>
        <w:pBdr>
          <w:bottom w:val="single" w:color="1F4E79" w:sz="12" w:space="6"/>
        </w:pBdr>
        <w:spacing w:after="200" w:before="600"/>
      </w:pPr>
      <w:r>
        <w:rPr>
          <w:b/>
          <w:bCs/>
          <w:color w:val="1F4E79"/>
          <w:sz w:val="32"/>
          <w:szCs w:val="32"/>
        </w:rPr>
        <w:t xml:space="preserve">7. Validation du cahier des charges</w:t>
      </w:r>
    </w:p>
    <w:p>
      <w:pPr>
        <w:spacing w:after="400"/>
      </w:pPr>
      <w:r>
        <w:rPr>
          <w:sz w:val="22"/>
          <w:szCs w:val="22"/>
        </w:rPr>
        <w:t xml:space="preserve">Les soussignés reconnaissent avoir pris connaissance de l'intégralité du présent cahier des charges et en acceptent les termes. Ce document constitue la référence contractuelle pour la réalisation du projet et toute modification ultérieure devra faire l'objet d'un avenant écrit.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200"/>
            </w:pPr>
            <w:r>
              <w:rPr>
                <w:b/>
                <w:bCs/>
                <w:color w:val="1F4E79"/>
                <w:sz w:val="24"/>
                <w:szCs w:val="24"/>
              </w:rPr>
              <w:t xml:space="preserve">Pour le client</w:t>
            </w:r>
          </w:p>
          <w:p>
            <w:pPr>
              <w:spacing w:after="150"/>
            </w:pPr>
            <w:r>
              <w:rPr>
                <w:sz w:val="22"/>
                <w:szCs w:val="22"/>
              </w:rPr>
              <w:t xml:space="preserve">Nom : ___________________________</w:t>
            </w:r>
          </w:p>
          <w:p>
            <w:pPr>
              <w:spacing w:after="150"/>
            </w:pPr>
            <w:r>
              <w:rPr>
                <w:sz w:val="22"/>
                <w:szCs w:val="22"/>
              </w:rPr>
              <w:t xml:space="preserve">Qualité : _________________________</w:t>
            </w:r>
          </w:p>
          <w:p>
            <w:pPr>
              <w:spacing w:after="150"/>
            </w:pPr>
            <w:r>
              <w:rPr>
                <w:sz w:val="22"/>
                <w:szCs w:val="22"/>
              </w:rPr>
              <w:t xml:space="preserve">Date : ___________________________</w:t>
            </w:r>
          </w:p>
          <w:p>
            <w:pPr>
              <w:spacing w:after="100"/>
            </w:pPr>
            <w:r>
              <w:rPr>
                <w:i/>
                <w:iCs/>
                <w:color w:val="595959"/>
                <w:sz w:val="20"/>
                <w:szCs w:val="20"/>
              </w:rPr>
              <w:t xml:space="preserve">Mention « Lu et approuvé » + signature :</w:t>
            </w:r>
          </w:p>
          <w:p>
            <w:pPr>
              <w:spacing w:after="1000"/>
            </w:pPr>
            <w:r>
              <w:t xml:space="preserve"/>
            </w:r>
          </w:p>
        </w:tc>
        <w:tc>
          <w:tcPr>
            <w:tcW w:type="dxa" w:w="4513"/>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200"/>
            </w:pPr>
            <w:r>
              <w:rPr>
                <w:b/>
                <w:bCs/>
                <w:color w:val="1F4E79"/>
                <w:sz w:val="24"/>
                <w:szCs w:val="24"/>
              </w:rPr>
              <w:t xml:space="preserve">Pour le prestataire</w:t>
            </w:r>
          </w:p>
          <w:p>
            <w:pPr>
              <w:spacing w:after="150"/>
            </w:pPr>
            <w:r>
              <w:rPr>
                <w:sz w:val="22"/>
                <w:szCs w:val="22"/>
              </w:rPr>
              <w:t xml:space="preserve">Nom : ___________________________</w:t>
            </w:r>
          </w:p>
          <w:p>
            <w:pPr>
              <w:spacing w:after="150"/>
            </w:pPr>
            <w:r>
              <w:rPr>
                <w:sz w:val="22"/>
                <w:szCs w:val="22"/>
              </w:rPr>
              <w:t xml:space="preserve">Qualité : _________________________</w:t>
            </w:r>
          </w:p>
          <w:p>
            <w:pPr>
              <w:spacing w:after="150"/>
            </w:pPr>
            <w:r>
              <w:rPr>
                <w:sz w:val="22"/>
                <w:szCs w:val="22"/>
              </w:rPr>
              <w:t xml:space="preserve">Date : ___________________________</w:t>
            </w:r>
          </w:p>
          <w:p>
            <w:pPr>
              <w:spacing w:after="100"/>
            </w:pPr>
            <w:r>
              <w:rPr>
                <w:i/>
                <w:iCs/>
                <w:color w:val="595959"/>
                <w:sz w:val="20"/>
                <w:szCs w:val="20"/>
              </w:rPr>
              <w:t xml:space="preserve">Signature :</w:t>
            </w:r>
          </w:p>
          <w:p>
            <w:pPr>
              <w:spacing w:after="1000"/>
            </w:pPr>
            <w: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r>
      <w:rPr>
        <w:color w:val="595959"/>
        <w:sz w:val="16"/>
        <w:szCs w:val="16"/>
      </w:rPr>
      <w:t xml:space="preserve">    •    Document confidentiel — diffusion restreinte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8"/>
        <w:szCs w:val="18"/>
      </w:rPr>
      <w:t xml:space="preserve">Cahier des charges — Application de gestion artisanat boissons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de gestion artisanat boissons</dc:title>
  <dc:creator>Cahier des charges - Application Gestion Boissons</dc:creator>
  <cp:lastModifiedBy>Un-named</cp:lastModifiedBy>
  <cp:revision>1</cp:revision>
  <dcterms:created xsi:type="dcterms:W3CDTF">2026-05-05T10:47:31.015Z</dcterms:created>
  <dcterms:modified xsi:type="dcterms:W3CDTF">2026-05-05T10:47:31.015Z</dcterms:modified>
</cp:coreProperties>
</file>

<file path=docProps/custom.xml><?xml version="1.0" encoding="utf-8"?>
<Properties xmlns="http://schemas.openxmlformats.org/officeDocument/2006/custom-properties" xmlns:vt="http://schemas.openxmlformats.org/officeDocument/2006/docPropsVTypes"/>
</file>