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935CA5" w14:textId="169EEB2C" w:rsidR="007C3C55" w:rsidRPr="006E16F2" w:rsidRDefault="007C3C55" w:rsidP="007C3C55">
      <w:pPr>
        <w:jc w:val="right"/>
      </w:pPr>
      <w:bookmarkStart w:id="0" w:name="_GoBack"/>
      <w:bookmarkEnd w:id="0"/>
      <w:r w:rsidRPr="006E16F2">
        <w:rPr>
          <w:noProof/>
        </w:rPr>
        <w:drawing>
          <wp:inline distT="0" distB="0" distL="0" distR="0" wp14:anchorId="2D935DF3" wp14:editId="2D935DF4">
            <wp:extent cx="2596515" cy="1449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6515" cy="1449070"/>
                    </a:xfrm>
                    <a:prstGeom prst="rect">
                      <a:avLst/>
                    </a:prstGeom>
                    <a:noFill/>
                    <a:ln>
                      <a:noFill/>
                    </a:ln>
                  </pic:spPr>
                </pic:pic>
              </a:graphicData>
            </a:graphic>
          </wp:inline>
        </w:drawing>
      </w:r>
    </w:p>
    <w:p w14:paraId="2D935CA6" w14:textId="77777777" w:rsidR="007C3C55" w:rsidRDefault="007C3C55" w:rsidP="007C3C55">
      <w:bookmarkStart w:id="1" w:name="_Toc503797464"/>
    </w:p>
    <w:p w14:paraId="30CD38D3" w14:textId="77777777" w:rsidR="00E1593D" w:rsidRDefault="00E1593D" w:rsidP="007C3C55">
      <w:pPr>
        <w:rPr>
          <w:color w:val="003366"/>
          <w:sz w:val="72"/>
          <w:szCs w:val="72"/>
        </w:rPr>
      </w:pPr>
    </w:p>
    <w:p w14:paraId="2D935CA8" w14:textId="0DCDEEC2" w:rsidR="007C3C55" w:rsidRPr="006E16F2" w:rsidRDefault="00F51193" w:rsidP="007C3C55">
      <w:pPr>
        <w:rPr>
          <w:color w:val="003366"/>
          <w:sz w:val="72"/>
          <w:szCs w:val="72"/>
        </w:rPr>
      </w:pPr>
      <w:r>
        <w:rPr>
          <w:color w:val="003366"/>
          <w:sz w:val="72"/>
          <w:szCs w:val="72"/>
        </w:rPr>
        <w:t>Data p</w:t>
      </w:r>
      <w:r w:rsidR="007C3C55" w:rsidRPr="006E16F2">
        <w:rPr>
          <w:color w:val="003366"/>
          <w:sz w:val="72"/>
          <w:szCs w:val="72"/>
        </w:rPr>
        <w:t xml:space="preserve">rotection </w:t>
      </w:r>
      <w:bookmarkEnd w:id="1"/>
      <w:r>
        <w:rPr>
          <w:color w:val="003366"/>
          <w:sz w:val="72"/>
          <w:szCs w:val="72"/>
        </w:rPr>
        <w:t>resource for Electoral Registration Officers and Returning Officers</w:t>
      </w:r>
    </w:p>
    <w:p w14:paraId="2D935CA9" w14:textId="77777777" w:rsidR="007C3C55" w:rsidRPr="006E16F2" w:rsidRDefault="007C3C55" w:rsidP="007C3C55"/>
    <w:p w14:paraId="2D935CAA" w14:textId="77777777" w:rsidR="007C3C55" w:rsidRPr="006E16F2" w:rsidRDefault="007C3C55" w:rsidP="007C3C55"/>
    <w:p w14:paraId="2D935CAB" w14:textId="1F39403D" w:rsidR="007C3C55" w:rsidRPr="006E16F2" w:rsidRDefault="00F51193" w:rsidP="007C3C55">
      <w:pPr>
        <w:rPr>
          <w:color w:val="003366"/>
          <w:sz w:val="48"/>
          <w:szCs w:val="48"/>
        </w:rPr>
      </w:pPr>
      <w:bookmarkStart w:id="2" w:name="_Toc503797465"/>
      <w:bookmarkEnd w:id="2"/>
      <w:r>
        <w:rPr>
          <w:color w:val="003366"/>
          <w:sz w:val="48"/>
          <w:szCs w:val="48"/>
        </w:rPr>
        <w:t>General Data Protection (GDPR) and Data Protection Act 2018</w:t>
      </w:r>
    </w:p>
    <w:p w14:paraId="2D935CAC" w14:textId="77777777" w:rsidR="007C3C55" w:rsidRPr="006E16F2" w:rsidRDefault="007C3C55" w:rsidP="007C3C55">
      <w:pPr>
        <w:rPr>
          <w:lang w:val="en-US"/>
        </w:rPr>
      </w:pPr>
    </w:p>
    <w:p w14:paraId="2D935CAD" w14:textId="77777777" w:rsidR="007C3C55" w:rsidRPr="006E16F2" w:rsidRDefault="007C3C55" w:rsidP="007C3C55">
      <w:pPr>
        <w:rPr>
          <w:lang w:val="en-US"/>
        </w:rPr>
      </w:pPr>
    </w:p>
    <w:p w14:paraId="2D935CB1" w14:textId="7FD264D8" w:rsidR="007C3C55" w:rsidRPr="006E16F2" w:rsidRDefault="007C3C55" w:rsidP="007C3C55">
      <w:pPr>
        <w:rPr>
          <w:lang w:val="en-US"/>
        </w:rPr>
      </w:pPr>
      <w:r w:rsidRPr="006E16F2">
        <w:rPr>
          <w:lang w:val="en-US"/>
        </w:rPr>
        <w:t>February 2018</w:t>
      </w:r>
      <w:r w:rsidR="00622E5F">
        <w:rPr>
          <w:lang w:val="en-US"/>
        </w:rPr>
        <w:t xml:space="preserve"> (updated </w:t>
      </w:r>
      <w:r w:rsidR="0022761E">
        <w:rPr>
          <w:lang w:val="en-US"/>
        </w:rPr>
        <w:t>May</w:t>
      </w:r>
      <w:r w:rsidR="008A3574">
        <w:rPr>
          <w:lang w:val="en-US"/>
        </w:rPr>
        <w:t>2021</w:t>
      </w:r>
      <w:r w:rsidR="00622E5F">
        <w:rPr>
          <w:lang w:val="en-US"/>
        </w:rPr>
        <w:t>)</w:t>
      </w:r>
    </w:p>
    <w:p w14:paraId="2D935CB2" w14:textId="77777777" w:rsidR="007C3C55" w:rsidRPr="006E16F2" w:rsidRDefault="007C3C55" w:rsidP="007C3C55">
      <w:pPr>
        <w:rPr>
          <w:lang w:val="en-US"/>
        </w:rPr>
      </w:pPr>
    </w:p>
    <w:p w14:paraId="2D935CB3" w14:textId="2935586D" w:rsidR="007C3C55" w:rsidRDefault="00E1593D" w:rsidP="007C3C55">
      <w:pPr>
        <w:rPr>
          <w:lang w:val="en-US"/>
        </w:rPr>
      </w:pPr>
      <w:r>
        <w:rPr>
          <w:noProof/>
        </w:rPr>
        <w:drawing>
          <wp:inline distT="0" distB="0" distL="0" distR="0" wp14:anchorId="0EEE6721" wp14:editId="219EA9A8">
            <wp:extent cx="2524478" cy="134321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ACE.png"/>
                    <pic:cNvPicPr/>
                  </pic:nvPicPr>
                  <pic:blipFill>
                    <a:blip r:embed="rId14">
                      <a:extLst>
                        <a:ext uri="{28A0092B-C50C-407E-A947-70E740481C1C}">
                          <a14:useLocalDpi xmlns:a14="http://schemas.microsoft.com/office/drawing/2010/main" val="0"/>
                        </a:ext>
                      </a:extLst>
                    </a:blip>
                    <a:stretch>
                      <a:fillRect/>
                    </a:stretch>
                  </pic:blipFill>
                  <pic:spPr>
                    <a:xfrm>
                      <a:off x="0" y="0"/>
                      <a:ext cx="2524478" cy="1343213"/>
                    </a:xfrm>
                    <a:prstGeom prst="rect">
                      <a:avLst/>
                    </a:prstGeom>
                  </pic:spPr>
                </pic:pic>
              </a:graphicData>
            </a:graphic>
          </wp:inline>
        </w:drawing>
      </w:r>
      <w:r>
        <w:rPr>
          <w:lang w:val="en-US"/>
        </w:rPr>
        <w:t xml:space="preserve"> </w:t>
      </w:r>
      <w:r w:rsidR="00730DB9">
        <w:rPr>
          <w:noProof/>
        </w:rPr>
        <w:drawing>
          <wp:inline distT="0" distB="0" distL="0" distR="0" wp14:anchorId="7E8E038B" wp14:editId="37610157">
            <wp:extent cx="1440000" cy="1440000"/>
            <wp:effectExtent l="0" t="0" r="825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A.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00383C43" w14:textId="77777777" w:rsidR="00E1593D" w:rsidRDefault="00E1593D" w:rsidP="007C3C55">
      <w:pPr>
        <w:rPr>
          <w:lang w:val="en-US"/>
        </w:rPr>
      </w:pPr>
    </w:p>
    <w:p w14:paraId="1E18C7A9" w14:textId="69D34FC9" w:rsidR="00E1593D" w:rsidRPr="006E16F2" w:rsidRDefault="00E1593D" w:rsidP="007C3C55">
      <w:pPr>
        <w:rPr>
          <w:lang w:val="en-US"/>
        </w:rPr>
      </w:pPr>
      <w:r>
        <w:rPr>
          <w:noProof/>
        </w:rPr>
        <w:drawing>
          <wp:inline distT="0" distB="0" distL="0" distR="0" wp14:anchorId="6AA8C8A1" wp14:editId="09E7BEA0">
            <wp:extent cx="1924396" cy="951807"/>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A.jpg"/>
                    <pic:cNvPicPr/>
                  </pic:nvPicPr>
                  <pic:blipFill>
                    <a:blip r:embed="rId16">
                      <a:extLst>
                        <a:ext uri="{28A0092B-C50C-407E-A947-70E740481C1C}">
                          <a14:useLocalDpi xmlns:a14="http://schemas.microsoft.com/office/drawing/2010/main" val="0"/>
                        </a:ext>
                      </a:extLst>
                    </a:blip>
                    <a:stretch>
                      <a:fillRect/>
                    </a:stretch>
                  </pic:blipFill>
                  <pic:spPr>
                    <a:xfrm>
                      <a:off x="0" y="0"/>
                      <a:ext cx="1924396" cy="951807"/>
                    </a:xfrm>
                    <a:prstGeom prst="rect">
                      <a:avLst/>
                    </a:prstGeom>
                  </pic:spPr>
                </pic:pic>
              </a:graphicData>
            </a:graphic>
          </wp:inline>
        </w:drawing>
      </w:r>
    </w:p>
    <w:p w14:paraId="2D935CB4" w14:textId="77777777" w:rsidR="007C3C55" w:rsidRPr="006E16F2" w:rsidRDefault="007C3C55" w:rsidP="007C3C55">
      <w:pPr>
        <w:rPr>
          <w:lang w:val="en-US"/>
        </w:rPr>
      </w:pPr>
    </w:p>
    <w:p w14:paraId="2D935CB6" w14:textId="7E50C8A7" w:rsidR="007C3C55" w:rsidRPr="006E16F2" w:rsidRDefault="007C3C55" w:rsidP="007C3C55">
      <w:pPr>
        <w:rPr>
          <w:color w:val="003366"/>
          <w:sz w:val="48"/>
          <w:szCs w:val="48"/>
        </w:rPr>
      </w:pPr>
      <w:r w:rsidRPr="006E16F2">
        <w:rPr>
          <w:color w:val="003366"/>
          <w:sz w:val="48"/>
          <w:szCs w:val="48"/>
        </w:rPr>
        <w:br w:type="page"/>
      </w:r>
      <w:r w:rsidRPr="006E16F2">
        <w:rPr>
          <w:color w:val="003366"/>
          <w:sz w:val="48"/>
          <w:szCs w:val="48"/>
        </w:rPr>
        <w:lastRenderedPageBreak/>
        <w:t>Contents</w:t>
      </w:r>
    </w:p>
    <w:p w14:paraId="2D935CB7" w14:textId="77777777" w:rsidR="007C3C55" w:rsidRPr="006E16F2" w:rsidRDefault="007C3C55" w:rsidP="007C3C55"/>
    <w:p w14:paraId="04BC6EDE" w14:textId="5772855D" w:rsidR="00960882" w:rsidRDefault="007C3C55">
      <w:pPr>
        <w:pStyle w:val="TOC1"/>
        <w:rPr>
          <w:rFonts w:asciiTheme="minorHAnsi" w:eastAsiaTheme="minorEastAsia" w:hAnsiTheme="minorHAnsi" w:cstheme="minorBidi"/>
          <w:b w:val="0"/>
          <w:noProof/>
          <w:sz w:val="22"/>
          <w:szCs w:val="22"/>
        </w:rPr>
      </w:pPr>
      <w:r w:rsidRPr="006E16F2">
        <w:fldChar w:fldCharType="begin"/>
      </w:r>
      <w:r w:rsidRPr="006E16F2">
        <w:instrText xml:space="preserve"> TOC \o "1-1" \h \z \t "Heading 2,2,Heading 3,3,A-head,1,B-head,2,C-head,3" </w:instrText>
      </w:r>
      <w:r w:rsidRPr="006E16F2">
        <w:fldChar w:fldCharType="separate"/>
      </w:r>
      <w:hyperlink w:anchor="_Toc71537482" w:history="1">
        <w:r w:rsidR="00960882" w:rsidRPr="00B53526">
          <w:rPr>
            <w:rStyle w:val="Hyperlink"/>
            <w:noProof/>
          </w:rPr>
          <w:t>1</w:t>
        </w:r>
        <w:r w:rsidR="00960882">
          <w:rPr>
            <w:rFonts w:asciiTheme="minorHAnsi" w:eastAsiaTheme="minorEastAsia" w:hAnsiTheme="minorHAnsi" w:cstheme="minorBidi"/>
            <w:b w:val="0"/>
            <w:noProof/>
            <w:sz w:val="22"/>
            <w:szCs w:val="22"/>
          </w:rPr>
          <w:tab/>
        </w:r>
        <w:r w:rsidR="00960882" w:rsidRPr="00B53526">
          <w:rPr>
            <w:rStyle w:val="Hyperlink"/>
            <w:noProof/>
          </w:rPr>
          <w:t>Purpose</w:t>
        </w:r>
        <w:r w:rsidR="00960882">
          <w:rPr>
            <w:noProof/>
            <w:webHidden/>
          </w:rPr>
          <w:tab/>
        </w:r>
        <w:r w:rsidR="00960882">
          <w:rPr>
            <w:noProof/>
            <w:webHidden/>
          </w:rPr>
          <w:fldChar w:fldCharType="begin"/>
        </w:r>
        <w:r w:rsidR="00960882">
          <w:rPr>
            <w:noProof/>
            <w:webHidden/>
          </w:rPr>
          <w:instrText xml:space="preserve"> PAGEREF _Toc71537482 \h </w:instrText>
        </w:r>
        <w:r w:rsidR="00960882">
          <w:rPr>
            <w:noProof/>
            <w:webHidden/>
          </w:rPr>
        </w:r>
        <w:r w:rsidR="00960882">
          <w:rPr>
            <w:noProof/>
            <w:webHidden/>
          </w:rPr>
          <w:fldChar w:fldCharType="separate"/>
        </w:r>
        <w:r w:rsidR="00780CE1">
          <w:rPr>
            <w:noProof/>
            <w:webHidden/>
          </w:rPr>
          <w:t>3</w:t>
        </w:r>
        <w:r w:rsidR="00960882">
          <w:rPr>
            <w:noProof/>
            <w:webHidden/>
          </w:rPr>
          <w:fldChar w:fldCharType="end"/>
        </w:r>
      </w:hyperlink>
    </w:p>
    <w:p w14:paraId="4BF5E8F4" w14:textId="2101A00C" w:rsidR="00960882" w:rsidRDefault="00C35856">
      <w:pPr>
        <w:pStyle w:val="TOC1"/>
        <w:rPr>
          <w:rFonts w:asciiTheme="minorHAnsi" w:eastAsiaTheme="minorEastAsia" w:hAnsiTheme="minorHAnsi" w:cstheme="minorBidi"/>
          <w:b w:val="0"/>
          <w:noProof/>
          <w:sz w:val="22"/>
          <w:szCs w:val="22"/>
        </w:rPr>
      </w:pPr>
      <w:hyperlink w:anchor="_Toc71537483" w:history="1">
        <w:r w:rsidR="00960882" w:rsidRPr="00B53526">
          <w:rPr>
            <w:rStyle w:val="Hyperlink"/>
            <w:noProof/>
          </w:rPr>
          <w:t>2</w:t>
        </w:r>
        <w:r w:rsidR="00960882">
          <w:rPr>
            <w:rFonts w:asciiTheme="minorHAnsi" w:eastAsiaTheme="minorEastAsia" w:hAnsiTheme="minorHAnsi" w:cstheme="minorBidi"/>
            <w:b w:val="0"/>
            <w:noProof/>
            <w:sz w:val="22"/>
            <w:szCs w:val="22"/>
          </w:rPr>
          <w:tab/>
        </w:r>
        <w:r w:rsidR="00960882" w:rsidRPr="00B53526">
          <w:rPr>
            <w:rStyle w:val="Hyperlink"/>
            <w:noProof/>
          </w:rPr>
          <w:t>Data controllers</w:t>
        </w:r>
        <w:r w:rsidR="00960882">
          <w:rPr>
            <w:noProof/>
            <w:webHidden/>
          </w:rPr>
          <w:tab/>
        </w:r>
        <w:r w:rsidR="00960882">
          <w:rPr>
            <w:noProof/>
            <w:webHidden/>
          </w:rPr>
          <w:fldChar w:fldCharType="begin"/>
        </w:r>
        <w:r w:rsidR="00960882">
          <w:rPr>
            <w:noProof/>
            <w:webHidden/>
          </w:rPr>
          <w:instrText xml:space="preserve"> PAGEREF _Toc71537483 \h </w:instrText>
        </w:r>
        <w:r w:rsidR="00960882">
          <w:rPr>
            <w:noProof/>
            <w:webHidden/>
          </w:rPr>
        </w:r>
        <w:r w:rsidR="00960882">
          <w:rPr>
            <w:noProof/>
            <w:webHidden/>
          </w:rPr>
          <w:fldChar w:fldCharType="separate"/>
        </w:r>
        <w:r w:rsidR="00780CE1">
          <w:rPr>
            <w:noProof/>
            <w:webHidden/>
          </w:rPr>
          <w:t>4</w:t>
        </w:r>
        <w:r w:rsidR="00960882">
          <w:rPr>
            <w:noProof/>
            <w:webHidden/>
          </w:rPr>
          <w:fldChar w:fldCharType="end"/>
        </w:r>
      </w:hyperlink>
    </w:p>
    <w:p w14:paraId="33F6BC39" w14:textId="1F05CE84" w:rsidR="00960882" w:rsidRDefault="00C35856">
      <w:pPr>
        <w:pStyle w:val="TOC2"/>
        <w:rPr>
          <w:rFonts w:asciiTheme="minorHAnsi" w:eastAsiaTheme="minorEastAsia" w:hAnsiTheme="minorHAnsi" w:cstheme="minorBidi"/>
          <w:noProof/>
          <w:sz w:val="22"/>
          <w:szCs w:val="22"/>
        </w:rPr>
      </w:pPr>
      <w:hyperlink w:anchor="_Toc71537484" w:history="1">
        <w:r w:rsidR="00960882" w:rsidRPr="00B53526">
          <w:rPr>
            <w:rStyle w:val="Hyperlink"/>
            <w:noProof/>
          </w:rPr>
          <w:t>Registering as a data controller</w:t>
        </w:r>
        <w:r w:rsidR="00960882">
          <w:rPr>
            <w:noProof/>
            <w:webHidden/>
          </w:rPr>
          <w:tab/>
        </w:r>
        <w:r w:rsidR="00960882">
          <w:rPr>
            <w:noProof/>
            <w:webHidden/>
          </w:rPr>
          <w:fldChar w:fldCharType="begin"/>
        </w:r>
        <w:r w:rsidR="00960882">
          <w:rPr>
            <w:noProof/>
            <w:webHidden/>
          </w:rPr>
          <w:instrText xml:space="preserve"> PAGEREF _Toc71537484 \h </w:instrText>
        </w:r>
        <w:r w:rsidR="00960882">
          <w:rPr>
            <w:noProof/>
            <w:webHidden/>
          </w:rPr>
        </w:r>
        <w:r w:rsidR="00960882">
          <w:rPr>
            <w:noProof/>
            <w:webHidden/>
          </w:rPr>
          <w:fldChar w:fldCharType="separate"/>
        </w:r>
        <w:r w:rsidR="00780CE1">
          <w:rPr>
            <w:noProof/>
            <w:webHidden/>
          </w:rPr>
          <w:t>4</w:t>
        </w:r>
        <w:r w:rsidR="00960882">
          <w:rPr>
            <w:noProof/>
            <w:webHidden/>
          </w:rPr>
          <w:fldChar w:fldCharType="end"/>
        </w:r>
      </w:hyperlink>
    </w:p>
    <w:p w14:paraId="1B9F998C" w14:textId="6BC9A43E" w:rsidR="00960882" w:rsidRDefault="00C35856">
      <w:pPr>
        <w:pStyle w:val="TOC2"/>
        <w:rPr>
          <w:rFonts w:asciiTheme="minorHAnsi" w:eastAsiaTheme="minorEastAsia" w:hAnsiTheme="minorHAnsi" w:cstheme="minorBidi"/>
          <w:noProof/>
          <w:sz w:val="22"/>
          <w:szCs w:val="22"/>
        </w:rPr>
      </w:pPr>
      <w:hyperlink w:anchor="_Toc71537485" w:history="1">
        <w:r w:rsidR="00960882" w:rsidRPr="00B53526">
          <w:rPr>
            <w:rStyle w:val="Hyperlink"/>
            <w:noProof/>
          </w:rPr>
          <w:t>Appointing a data protection officer</w:t>
        </w:r>
        <w:r w:rsidR="00960882">
          <w:rPr>
            <w:noProof/>
            <w:webHidden/>
          </w:rPr>
          <w:tab/>
        </w:r>
        <w:r w:rsidR="00960882">
          <w:rPr>
            <w:noProof/>
            <w:webHidden/>
          </w:rPr>
          <w:fldChar w:fldCharType="begin"/>
        </w:r>
        <w:r w:rsidR="00960882">
          <w:rPr>
            <w:noProof/>
            <w:webHidden/>
          </w:rPr>
          <w:instrText xml:space="preserve"> PAGEREF _Toc71537485 \h </w:instrText>
        </w:r>
        <w:r w:rsidR="00960882">
          <w:rPr>
            <w:noProof/>
            <w:webHidden/>
          </w:rPr>
        </w:r>
        <w:r w:rsidR="00960882">
          <w:rPr>
            <w:noProof/>
            <w:webHidden/>
          </w:rPr>
          <w:fldChar w:fldCharType="separate"/>
        </w:r>
        <w:r w:rsidR="00780CE1">
          <w:rPr>
            <w:noProof/>
            <w:webHidden/>
          </w:rPr>
          <w:t>4</w:t>
        </w:r>
        <w:r w:rsidR="00960882">
          <w:rPr>
            <w:noProof/>
            <w:webHidden/>
          </w:rPr>
          <w:fldChar w:fldCharType="end"/>
        </w:r>
      </w:hyperlink>
    </w:p>
    <w:p w14:paraId="54D2443C" w14:textId="1FE993DE" w:rsidR="00960882" w:rsidRDefault="00C35856">
      <w:pPr>
        <w:pStyle w:val="TOC2"/>
        <w:rPr>
          <w:rFonts w:asciiTheme="minorHAnsi" w:eastAsiaTheme="minorEastAsia" w:hAnsiTheme="minorHAnsi" w:cstheme="minorBidi"/>
          <w:noProof/>
          <w:sz w:val="22"/>
          <w:szCs w:val="22"/>
        </w:rPr>
      </w:pPr>
      <w:hyperlink w:anchor="_Toc71537486" w:history="1">
        <w:r w:rsidR="00960882" w:rsidRPr="00B53526">
          <w:rPr>
            <w:rStyle w:val="Hyperlink"/>
            <w:noProof/>
          </w:rPr>
          <w:t>Accountability and transparency</w:t>
        </w:r>
        <w:r w:rsidR="00960882">
          <w:rPr>
            <w:noProof/>
            <w:webHidden/>
          </w:rPr>
          <w:tab/>
        </w:r>
        <w:r w:rsidR="00960882">
          <w:rPr>
            <w:noProof/>
            <w:webHidden/>
          </w:rPr>
          <w:fldChar w:fldCharType="begin"/>
        </w:r>
        <w:r w:rsidR="00960882">
          <w:rPr>
            <w:noProof/>
            <w:webHidden/>
          </w:rPr>
          <w:instrText xml:space="preserve"> PAGEREF _Toc71537486 \h </w:instrText>
        </w:r>
        <w:r w:rsidR="00960882">
          <w:rPr>
            <w:noProof/>
            <w:webHidden/>
          </w:rPr>
        </w:r>
        <w:r w:rsidR="00960882">
          <w:rPr>
            <w:noProof/>
            <w:webHidden/>
          </w:rPr>
          <w:fldChar w:fldCharType="separate"/>
        </w:r>
        <w:r w:rsidR="00780CE1">
          <w:rPr>
            <w:noProof/>
            <w:webHidden/>
          </w:rPr>
          <w:t>5</w:t>
        </w:r>
        <w:r w:rsidR="00960882">
          <w:rPr>
            <w:noProof/>
            <w:webHidden/>
          </w:rPr>
          <w:fldChar w:fldCharType="end"/>
        </w:r>
      </w:hyperlink>
    </w:p>
    <w:p w14:paraId="21908A5D" w14:textId="4173B0BA" w:rsidR="00960882" w:rsidRDefault="00C35856">
      <w:pPr>
        <w:pStyle w:val="TOC1"/>
        <w:rPr>
          <w:rFonts w:asciiTheme="minorHAnsi" w:eastAsiaTheme="minorEastAsia" w:hAnsiTheme="minorHAnsi" w:cstheme="minorBidi"/>
          <w:b w:val="0"/>
          <w:noProof/>
          <w:sz w:val="22"/>
          <w:szCs w:val="22"/>
        </w:rPr>
      </w:pPr>
      <w:hyperlink w:anchor="_Toc71537487" w:history="1">
        <w:r w:rsidR="00960882" w:rsidRPr="00B53526">
          <w:rPr>
            <w:rStyle w:val="Hyperlink"/>
            <w:noProof/>
          </w:rPr>
          <w:t>3</w:t>
        </w:r>
        <w:r w:rsidR="00960882">
          <w:rPr>
            <w:rFonts w:asciiTheme="minorHAnsi" w:eastAsiaTheme="minorEastAsia" w:hAnsiTheme="minorHAnsi" w:cstheme="minorBidi"/>
            <w:b w:val="0"/>
            <w:noProof/>
            <w:sz w:val="22"/>
            <w:szCs w:val="22"/>
          </w:rPr>
          <w:tab/>
        </w:r>
        <w:r w:rsidR="00960882" w:rsidRPr="00B53526">
          <w:rPr>
            <w:rStyle w:val="Hyperlink"/>
            <w:noProof/>
          </w:rPr>
          <w:t>Lawful basis for processing</w:t>
        </w:r>
        <w:r w:rsidR="00960882">
          <w:rPr>
            <w:noProof/>
            <w:webHidden/>
          </w:rPr>
          <w:tab/>
        </w:r>
        <w:r w:rsidR="00960882">
          <w:rPr>
            <w:noProof/>
            <w:webHidden/>
          </w:rPr>
          <w:fldChar w:fldCharType="begin"/>
        </w:r>
        <w:r w:rsidR="00960882">
          <w:rPr>
            <w:noProof/>
            <w:webHidden/>
          </w:rPr>
          <w:instrText xml:space="preserve"> PAGEREF _Toc71537487 \h </w:instrText>
        </w:r>
        <w:r w:rsidR="00960882">
          <w:rPr>
            <w:noProof/>
            <w:webHidden/>
          </w:rPr>
        </w:r>
        <w:r w:rsidR="00960882">
          <w:rPr>
            <w:noProof/>
            <w:webHidden/>
          </w:rPr>
          <w:fldChar w:fldCharType="separate"/>
        </w:r>
        <w:r w:rsidR="00780CE1">
          <w:rPr>
            <w:noProof/>
            <w:webHidden/>
          </w:rPr>
          <w:t>6</w:t>
        </w:r>
        <w:r w:rsidR="00960882">
          <w:rPr>
            <w:noProof/>
            <w:webHidden/>
          </w:rPr>
          <w:fldChar w:fldCharType="end"/>
        </w:r>
      </w:hyperlink>
    </w:p>
    <w:p w14:paraId="4118E016" w14:textId="0A15F4C1" w:rsidR="00960882" w:rsidRDefault="00C35856">
      <w:pPr>
        <w:pStyle w:val="TOC2"/>
        <w:rPr>
          <w:rFonts w:asciiTheme="minorHAnsi" w:eastAsiaTheme="minorEastAsia" w:hAnsiTheme="minorHAnsi" w:cstheme="minorBidi"/>
          <w:noProof/>
          <w:sz w:val="22"/>
          <w:szCs w:val="22"/>
        </w:rPr>
      </w:pPr>
      <w:hyperlink w:anchor="_Toc71537488" w:history="1">
        <w:r w:rsidR="00960882" w:rsidRPr="00B53526">
          <w:rPr>
            <w:rStyle w:val="Hyperlink"/>
            <w:noProof/>
          </w:rPr>
          <w:t>Processing for the performance of a public task</w:t>
        </w:r>
        <w:r w:rsidR="00960882">
          <w:rPr>
            <w:noProof/>
            <w:webHidden/>
          </w:rPr>
          <w:tab/>
        </w:r>
        <w:r w:rsidR="00960882">
          <w:rPr>
            <w:noProof/>
            <w:webHidden/>
          </w:rPr>
          <w:fldChar w:fldCharType="begin"/>
        </w:r>
        <w:r w:rsidR="00960882">
          <w:rPr>
            <w:noProof/>
            <w:webHidden/>
          </w:rPr>
          <w:instrText xml:space="preserve"> PAGEREF _Toc71537488 \h </w:instrText>
        </w:r>
        <w:r w:rsidR="00960882">
          <w:rPr>
            <w:noProof/>
            <w:webHidden/>
          </w:rPr>
        </w:r>
        <w:r w:rsidR="00960882">
          <w:rPr>
            <w:noProof/>
            <w:webHidden/>
          </w:rPr>
          <w:fldChar w:fldCharType="separate"/>
        </w:r>
        <w:r w:rsidR="00780CE1">
          <w:rPr>
            <w:noProof/>
            <w:webHidden/>
          </w:rPr>
          <w:t>6</w:t>
        </w:r>
        <w:r w:rsidR="00960882">
          <w:rPr>
            <w:noProof/>
            <w:webHidden/>
          </w:rPr>
          <w:fldChar w:fldCharType="end"/>
        </w:r>
      </w:hyperlink>
    </w:p>
    <w:p w14:paraId="72597EB6" w14:textId="30B92193" w:rsidR="00960882" w:rsidRDefault="00C35856">
      <w:pPr>
        <w:pStyle w:val="TOC2"/>
        <w:rPr>
          <w:rFonts w:asciiTheme="minorHAnsi" w:eastAsiaTheme="minorEastAsia" w:hAnsiTheme="minorHAnsi" w:cstheme="minorBidi"/>
          <w:noProof/>
          <w:sz w:val="22"/>
          <w:szCs w:val="22"/>
        </w:rPr>
      </w:pPr>
      <w:hyperlink w:anchor="_Toc71537489" w:history="1">
        <w:r w:rsidR="00960882" w:rsidRPr="00B53526">
          <w:rPr>
            <w:rStyle w:val="Hyperlink"/>
            <w:noProof/>
          </w:rPr>
          <w:t>The edited register</w:t>
        </w:r>
        <w:r w:rsidR="00960882">
          <w:rPr>
            <w:noProof/>
            <w:webHidden/>
          </w:rPr>
          <w:tab/>
        </w:r>
        <w:r w:rsidR="00960882">
          <w:rPr>
            <w:noProof/>
            <w:webHidden/>
          </w:rPr>
          <w:fldChar w:fldCharType="begin"/>
        </w:r>
        <w:r w:rsidR="00960882">
          <w:rPr>
            <w:noProof/>
            <w:webHidden/>
          </w:rPr>
          <w:instrText xml:space="preserve"> PAGEREF _Toc71537489 \h </w:instrText>
        </w:r>
        <w:r w:rsidR="00960882">
          <w:rPr>
            <w:noProof/>
            <w:webHidden/>
          </w:rPr>
        </w:r>
        <w:r w:rsidR="00960882">
          <w:rPr>
            <w:noProof/>
            <w:webHidden/>
          </w:rPr>
          <w:fldChar w:fldCharType="separate"/>
        </w:r>
        <w:r w:rsidR="00780CE1">
          <w:rPr>
            <w:noProof/>
            <w:webHidden/>
          </w:rPr>
          <w:t>7</w:t>
        </w:r>
        <w:r w:rsidR="00960882">
          <w:rPr>
            <w:noProof/>
            <w:webHidden/>
          </w:rPr>
          <w:fldChar w:fldCharType="end"/>
        </w:r>
      </w:hyperlink>
    </w:p>
    <w:p w14:paraId="6E5EFA56" w14:textId="48E8DD35" w:rsidR="00960882" w:rsidRDefault="00C35856">
      <w:pPr>
        <w:pStyle w:val="TOC2"/>
        <w:rPr>
          <w:rFonts w:asciiTheme="minorHAnsi" w:eastAsiaTheme="minorEastAsia" w:hAnsiTheme="minorHAnsi" w:cstheme="minorBidi"/>
          <w:noProof/>
          <w:sz w:val="22"/>
          <w:szCs w:val="22"/>
        </w:rPr>
      </w:pPr>
      <w:hyperlink w:anchor="_Toc71537490" w:history="1">
        <w:r w:rsidR="00960882" w:rsidRPr="00B53526">
          <w:rPr>
            <w:rStyle w:val="Hyperlink"/>
            <w:noProof/>
          </w:rPr>
          <w:t>Right to object</w:t>
        </w:r>
        <w:r w:rsidR="00960882">
          <w:rPr>
            <w:noProof/>
            <w:webHidden/>
          </w:rPr>
          <w:tab/>
        </w:r>
        <w:r w:rsidR="00960882">
          <w:rPr>
            <w:noProof/>
            <w:webHidden/>
          </w:rPr>
          <w:fldChar w:fldCharType="begin"/>
        </w:r>
        <w:r w:rsidR="00960882">
          <w:rPr>
            <w:noProof/>
            <w:webHidden/>
          </w:rPr>
          <w:instrText xml:space="preserve"> PAGEREF _Toc71537490 \h </w:instrText>
        </w:r>
        <w:r w:rsidR="00960882">
          <w:rPr>
            <w:noProof/>
            <w:webHidden/>
          </w:rPr>
        </w:r>
        <w:r w:rsidR="00960882">
          <w:rPr>
            <w:noProof/>
            <w:webHidden/>
          </w:rPr>
          <w:fldChar w:fldCharType="separate"/>
        </w:r>
        <w:r w:rsidR="00780CE1">
          <w:rPr>
            <w:noProof/>
            <w:webHidden/>
          </w:rPr>
          <w:t>7</w:t>
        </w:r>
        <w:r w:rsidR="00960882">
          <w:rPr>
            <w:noProof/>
            <w:webHidden/>
          </w:rPr>
          <w:fldChar w:fldCharType="end"/>
        </w:r>
      </w:hyperlink>
    </w:p>
    <w:p w14:paraId="4CB69693" w14:textId="7621F0F3" w:rsidR="00960882" w:rsidRDefault="00C35856">
      <w:pPr>
        <w:pStyle w:val="TOC2"/>
        <w:rPr>
          <w:rFonts w:asciiTheme="minorHAnsi" w:eastAsiaTheme="minorEastAsia" w:hAnsiTheme="minorHAnsi" w:cstheme="minorBidi"/>
          <w:noProof/>
          <w:sz w:val="22"/>
          <w:szCs w:val="22"/>
        </w:rPr>
      </w:pPr>
      <w:hyperlink w:anchor="_Toc71537491" w:history="1">
        <w:r w:rsidR="00960882" w:rsidRPr="00B53526">
          <w:rPr>
            <w:rStyle w:val="Hyperlink"/>
            <w:noProof/>
          </w:rPr>
          <w:t>Right to be forgotten</w:t>
        </w:r>
        <w:r w:rsidR="00960882">
          <w:rPr>
            <w:noProof/>
            <w:webHidden/>
          </w:rPr>
          <w:tab/>
        </w:r>
        <w:r w:rsidR="00960882">
          <w:rPr>
            <w:noProof/>
            <w:webHidden/>
          </w:rPr>
          <w:fldChar w:fldCharType="begin"/>
        </w:r>
        <w:r w:rsidR="00960882">
          <w:rPr>
            <w:noProof/>
            <w:webHidden/>
          </w:rPr>
          <w:instrText xml:space="preserve"> PAGEREF _Toc71537491 \h </w:instrText>
        </w:r>
        <w:r w:rsidR="00960882">
          <w:rPr>
            <w:noProof/>
            <w:webHidden/>
          </w:rPr>
        </w:r>
        <w:r w:rsidR="00960882">
          <w:rPr>
            <w:noProof/>
            <w:webHidden/>
          </w:rPr>
          <w:fldChar w:fldCharType="separate"/>
        </w:r>
        <w:r w:rsidR="00780CE1">
          <w:rPr>
            <w:noProof/>
            <w:webHidden/>
          </w:rPr>
          <w:t>8</w:t>
        </w:r>
        <w:r w:rsidR="00960882">
          <w:rPr>
            <w:noProof/>
            <w:webHidden/>
          </w:rPr>
          <w:fldChar w:fldCharType="end"/>
        </w:r>
      </w:hyperlink>
    </w:p>
    <w:p w14:paraId="13BB5D72" w14:textId="752DE370" w:rsidR="00960882" w:rsidRDefault="00C35856">
      <w:pPr>
        <w:pStyle w:val="TOC1"/>
        <w:rPr>
          <w:rFonts w:asciiTheme="minorHAnsi" w:eastAsiaTheme="minorEastAsia" w:hAnsiTheme="minorHAnsi" w:cstheme="minorBidi"/>
          <w:b w:val="0"/>
          <w:noProof/>
          <w:sz w:val="22"/>
          <w:szCs w:val="22"/>
        </w:rPr>
      </w:pPr>
      <w:hyperlink w:anchor="_Toc71537492" w:history="1">
        <w:r w:rsidR="00960882" w:rsidRPr="00B53526">
          <w:rPr>
            <w:rStyle w:val="Hyperlink"/>
            <w:noProof/>
          </w:rPr>
          <w:t>4</w:t>
        </w:r>
        <w:r w:rsidR="00960882">
          <w:rPr>
            <w:rFonts w:asciiTheme="minorHAnsi" w:eastAsiaTheme="minorEastAsia" w:hAnsiTheme="minorHAnsi" w:cstheme="minorBidi"/>
            <w:b w:val="0"/>
            <w:noProof/>
            <w:sz w:val="22"/>
            <w:szCs w:val="22"/>
          </w:rPr>
          <w:tab/>
        </w:r>
        <w:r w:rsidR="00960882" w:rsidRPr="00B53526">
          <w:rPr>
            <w:rStyle w:val="Hyperlink"/>
            <w:noProof/>
          </w:rPr>
          <w:t>Privacy notices: the right to be informed</w:t>
        </w:r>
        <w:r w:rsidR="00960882">
          <w:rPr>
            <w:noProof/>
            <w:webHidden/>
          </w:rPr>
          <w:tab/>
        </w:r>
        <w:r w:rsidR="00960882">
          <w:rPr>
            <w:noProof/>
            <w:webHidden/>
          </w:rPr>
          <w:fldChar w:fldCharType="begin"/>
        </w:r>
        <w:r w:rsidR="00960882">
          <w:rPr>
            <w:noProof/>
            <w:webHidden/>
          </w:rPr>
          <w:instrText xml:space="preserve"> PAGEREF _Toc71537492 \h </w:instrText>
        </w:r>
        <w:r w:rsidR="00960882">
          <w:rPr>
            <w:noProof/>
            <w:webHidden/>
          </w:rPr>
        </w:r>
        <w:r w:rsidR="00960882">
          <w:rPr>
            <w:noProof/>
            <w:webHidden/>
          </w:rPr>
          <w:fldChar w:fldCharType="separate"/>
        </w:r>
        <w:r w:rsidR="00780CE1">
          <w:rPr>
            <w:noProof/>
            <w:webHidden/>
          </w:rPr>
          <w:t>10</w:t>
        </w:r>
        <w:r w:rsidR="00960882">
          <w:rPr>
            <w:noProof/>
            <w:webHidden/>
          </w:rPr>
          <w:fldChar w:fldCharType="end"/>
        </w:r>
      </w:hyperlink>
    </w:p>
    <w:p w14:paraId="15FCA24D" w14:textId="51ECA76B" w:rsidR="00960882" w:rsidRDefault="00C35856">
      <w:pPr>
        <w:pStyle w:val="TOC1"/>
        <w:rPr>
          <w:rFonts w:asciiTheme="minorHAnsi" w:eastAsiaTheme="minorEastAsia" w:hAnsiTheme="minorHAnsi" w:cstheme="minorBidi"/>
          <w:b w:val="0"/>
          <w:noProof/>
          <w:sz w:val="22"/>
          <w:szCs w:val="22"/>
        </w:rPr>
      </w:pPr>
      <w:hyperlink w:anchor="_Toc71537493" w:history="1">
        <w:r w:rsidR="00960882" w:rsidRPr="00B53526">
          <w:rPr>
            <w:rStyle w:val="Hyperlink"/>
            <w:noProof/>
          </w:rPr>
          <w:t>5</w:t>
        </w:r>
        <w:r w:rsidR="00960882">
          <w:rPr>
            <w:rFonts w:asciiTheme="minorHAnsi" w:eastAsiaTheme="minorEastAsia" w:hAnsiTheme="minorHAnsi" w:cstheme="minorBidi"/>
            <w:b w:val="0"/>
            <w:noProof/>
            <w:sz w:val="22"/>
            <w:szCs w:val="22"/>
          </w:rPr>
          <w:tab/>
        </w:r>
        <w:r w:rsidR="00960882" w:rsidRPr="00B53526">
          <w:rPr>
            <w:rStyle w:val="Hyperlink"/>
            <w:noProof/>
          </w:rPr>
          <w:t>Document retention</w:t>
        </w:r>
        <w:r w:rsidR="00960882">
          <w:rPr>
            <w:noProof/>
            <w:webHidden/>
          </w:rPr>
          <w:tab/>
        </w:r>
        <w:r w:rsidR="00960882">
          <w:rPr>
            <w:noProof/>
            <w:webHidden/>
          </w:rPr>
          <w:fldChar w:fldCharType="begin"/>
        </w:r>
        <w:r w:rsidR="00960882">
          <w:rPr>
            <w:noProof/>
            <w:webHidden/>
          </w:rPr>
          <w:instrText xml:space="preserve"> PAGEREF _Toc71537493 \h </w:instrText>
        </w:r>
        <w:r w:rsidR="00960882">
          <w:rPr>
            <w:noProof/>
            <w:webHidden/>
          </w:rPr>
        </w:r>
        <w:r w:rsidR="00960882">
          <w:rPr>
            <w:noProof/>
            <w:webHidden/>
          </w:rPr>
          <w:fldChar w:fldCharType="separate"/>
        </w:r>
        <w:r w:rsidR="00780CE1">
          <w:rPr>
            <w:noProof/>
            <w:webHidden/>
          </w:rPr>
          <w:t>12</w:t>
        </w:r>
        <w:r w:rsidR="00960882">
          <w:rPr>
            <w:noProof/>
            <w:webHidden/>
          </w:rPr>
          <w:fldChar w:fldCharType="end"/>
        </w:r>
      </w:hyperlink>
    </w:p>
    <w:p w14:paraId="17EB2D2E" w14:textId="323CD09C" w:rsidR="00960882" w:rsidRDefault="00C35856">
      <w:pPr>
        <w:pStyle w:val="TOC2"/>
        <w:rPr>
          <w:rFonts w:asciiTheme="minorHAnsi" w:eastAsiaTheme="minorEastAsia" w:hAnsiTheme="minorHAnsi" w:cstheme="minorBidi"/>
          <w:noProof/>
          <w:sz w:val="22"/>
          <w:szCs w:val="22"/>
        </w:rPr>
      </w:pPr>
      <w:hyperlink w:anchor="_Toc71537494" w:history="1">
        <w:r w:rsidR="00960882" w:rsidRPr="00B53526">
          <w:rPr>
            <w:rStyle w:val="Hyperlink"/>
            <w:noProof/>
          </w:rPr>
          <w:t>Document retention policy</w:t>
        </w:r>
        <w:r w:rsidR="00960882">
          <w:rPr>
            <w:noProof/>
            <w:webHidden/>
          </w:rPr>
          <w:tab/>
        </w:r>
        <w:r w:rsidR="00960882">
          <w:rPr>
            <w:noProof/>
            <w:webHidden/>
          </w:rPr>
          <w:fldChar w:fldCharType="begin"/>
        </w:r>
        <w:r w:rsidR="00960882">
          <w:rPr>
            <w:noProof/>
            <w:webHidden/>
          </w:rPr>
          <w:instrText xml:space="preserve"> PAGEREF _Toc71537494 \h </w:instrText>
        </w:r>
        <w:r w:rsidR="00960882">
          <w:rPr>
            <w:noProof/>
            <w:webHidden/>
          </w:rPr>
        </w:r>
        <w:r w:rsidR="00960882">
          <w:rPr>
            <w:noProof/>
            <w:webHidden/>
          </w:rPr>
          <w:fldChar w:fldCharType="separate"/>
        </w:r>
        <w:r w:rsidR="00780CE1">
          <w:rPr>
            <w:noProof/>
            <w:webHidden/>
          </w:rPr>
          <w:t>12</w:t>
        </w:r>
        <w:r w:rsidR="00960882">
          <w:rPr>
            <w:noProof/>
            <w:webHidden/>
          </w:rPr>
          <w:fldChar w:fldCharType="end"/>
        </w:r>
      </w:hyperlink>
    </w:p>
    <w:p w14:paraId="343102F2" w14:textId="75079057" w:rsidR="00960882" w:rsidRDefault="00C35856">
      <w:pPr>
        <w:pStyle w:val="TOC2"/>
        <w:rPr>
          <w:rFonts w:asciiTheme="minorHAnsi" w:eastAsiaTheme="minorEastAsia" w:hAnsiTheme="minorHAnsi" w:cstheme="minorBidi"/>
          <w:noProof/>
          <w:sz w:val="22"/>
          <w:szCs w:val="22"/>
        </w:rPr>
      </w:pPr>
      <w:hyperlink w:anchor="_Toc71537495" w:history="1">
        <w:r w:rsidR="00960882" w:rsidRPr="00B53526">
          <w:rPr>
            <w:rStyle w:val="Hyperlink"/>
            <w:noProof/>
          </w:rPr>
          <w:t>Election notices published on your website</w:t>
        </w:r>
        <w:r w:rsidR="00960882">
          <w:rPr>
            <w:noProof/>
            <w:webHidden/>
          </w:rPr>
          <w:tab/>
        </w:r>
        <w:r w:rsidR="00960882">
          <w:rPr>
            <w:noProof/>
            <w:webHidden/>
          </w:rPr>
          <w:fldChar w:fldCharType="begin"/>
        </w:r>
        <w:r w:rsidR="00960882">
          <w:rPr>
            <w:noProof/>
            <w:webHidden/>
          </w:rPr>
          <w:instrText xml:space="preserve"> PAGEREF _Toc71537495 \h </w:instrText>
        </w:r>
        <w:r w:rsidR="00960882">
          <w:rPr>
            <w:noProof/>
            <w:webHidden/>
          </w:rPr>
        </w:r>
        <w:r w:rsidR="00960882">
          <w:rPr>
            <w:noProof/>
            <w:webHidden/>
          </w:rPr>
          <w:fldChar w:fldCharType="separate"/>
        </w:r>
        <w:r w:rsidR="00780CE1">
          <w:rPr>
            <w:noProof/>
            <w:webHidden/>
          </w:rPr>
          <w:t>13</w:t>
        </w:r>
        <w:r w:rsidR="00960882">
          <w:rPr>
            <w:noProof/>
            <w:webHidden/>
          </w:rPr>
          <w:fldChar w:fldCharType="end"/>
        </w:r>
      </w:hyperlink>
    </w:p>
    <w:p w14:paraId="574AD175" w14:textId="5FCE5843" w:rsidR="00960882" w:rsidRDefault="00C35856">
      <w:pPr>
        <w:pStyle w:val="TOC1"/>
        <w:rPr>
          <w:rFonts w:asciiTheme="minorHAnsi" w:eastAsiaTheme="minorEastAsia" w:hAnsiTheme="minorHAnsi" w:cstheme="minorBidi"/>
          <w:b w:val="0"/>
          <w:noProof/>
          <w:sz w:val="22"/>
          <w:szCs w:val="22"/>
        </w:rPr>
      </w:pPr>
      <w:hyperlink w:anchor="_Toc71537496" w:history="1">
        <w:r w:rsidR="00960882" w:rsidRPr="00B53526">
          <w:rPr>
            <w:rStyle w:val="Hyperlink"/>
            <w:noProof/>
          </w:rPr>
          <w:t>6</w:t>
        </w:r>
        <w:r w:rsidR="00960882">
          <w:rPr>
            <w:rFonts w:asciiTheme="minorHAnsi" w:eastAsiaTheme="minorEastAsia" w:hAnsiTheme="minorHAnsi" w:cstheme="minorBidi"/>
            <w:b w:val="0"/>
            <w:noProof/>
            <w:sz w:val="22"/>
            <w:szCs w:val="22"/>
          </w:rPr>
          <w:tab/>
        </w:r>
        <w:r w:rsidR="00960882" w:rsidRPr="00B53526">
          <w:rPr>
            <w:rStyle w:val="Hyperlink"/>
            <w:noProof/>
          </w:rPr>
          <w:t>Data storage</w:t>
        </w:r>
        <w:r w:rsidR="00960882">
          <w:rPr>
            <w:noProof/>
            <w:webHidden/>
          </w:rPr>
          <w:tab/>
        </w:r>
        <w:r w:rsidR="00960882">
          <w:rPr>
            <w:noProof/>
            <w:webHidden/>
          </w:rPr>
          <w:fldChar w:fldCharType="begin"/>
        </w:r>
        <w:r w:rsidR="00960882">
          <w:rPr>
            <w:noProof/>
            <w:webHidden/>
          </w:rPr>
          <w:instrText xml:space="preserve"> PAGEREF _Toc71537496 \h </w:instrText>
        </w:r>
        <w:r w:rsidR="00960882">
          <w:rPr>
            <w:noProof/>
            <w:webHidden/>
          </w:rPr>
        </w:r>
        <w:r w:rsidR="00960882">
          <w:rPr>
            <w:noProof/>
            <w:webHidden/>
          </w:rPr>
          <w:fldChar w:fldCharType="separate"/>
        </w:r>
        <w:r w:rsidR="00780CE1">
          <w:rPr>
            <w:noProof/>
            <w:webHidden/>
          </w:rPr>
          <w:t>14</w:t>
        </w:r>
        <w:r w:rsidR="00960882">
          <w:rPr>
            <w:noProof/>
            <w:webHidden/>
          </w:rPr>
          <w:fldChar w:fldCharType="end"/>
        </w:r>
      </w:hyperlink>
    </w:p>
    <w:p w14:paraId="6C5263A5" w14:textId="6A08C6F9" w:rsidR="00960882" w:rsidRDefault="00C35856">
      <w:pPr>
        <w:pStyle w:val="TOC1"/>
        <w:rPr>
          <w:rFonts w:asciiTheme="minorHAnsi" w:eastAsiaTheme="minorEastAsia" w:hAnsiTheme="minorHAnsi" w:cstheme="minorBidi"/>
          <w:b w:val="0"/>
          <w:noProof/>
          <w:sz w:val="22"/>
          <w:szCs w:val="22"/>
        </w:rPr>
      </w:pPr>
      <w:hyperlink w:anchor="_Toc71537497" w:history="1">
        <w:r w:rsidR="00960882" w:rsidRPr="00B53526">
          <w:rPr>
            <w:rStyle w:val="Hyperlink"/>
            <w:noProof/>
          </w:rPr>
          <w:t>7</w:t>
        </w:r>
        <w:r w:rsidR="00960882">
          <w:rPr>
            <w:rFonts w:asciiTheme="minorHAnsi" w:eastAsiaTheme="minorEastAsia" w:hAnsiTheme="minorHAnsi" w:cstheme="minorBidi"/>
            <w:b w:val="0"/>
            <w:noProof/>
            <w:sz w:val="22"/>
            <w:szCs w:val="22"/>
          </w:rPr>
          <w:tab/>
        </w:r>
        <w:r w:rsidR="00960882" w:rsidRPr="00B53526">
          <w:rPr>
            <w:rStyle w:val="Hyperlink"/>
            <w:noProof/>
          </w:rPr>
          <w:t>Using contractors and suppliers</w:t>
        </w:r>
        <w:r w:rsidR="00960882">
          <w:rPr>
            <w:noProof/>
            <w:webHidden/>
          </w:rPr>
          <w:tab/>
        </w:r>
        <w:r w:rsidR="00960882">
          <w:rPr>
            <w:noProof/>
            <w:webHidden/>
          </w:rPr>
          <w:fldChar w:fldCharType="begin"/>
        </w:r>
        <w:r w:rsidR="00960882">
          <w:rPr>
            <w:noProof/>
            <w:webHidden/>
          </w:rPr>
          <w:instrText xml:space="preserve"> PAGEREF _Toc71537497 \h </w:instrText>
        </w:r>
        <w:r w:rsidR="00960882">
          <w:rPr>
            <w:noProof/>
            <w:webHidden/>
          </w:rPr>
        </w:r>
        <w:r w:rsidR="00960882">
          <w:rPr>
            <w:noProof/>
            <w:webHidden/>
          </w:rPr>
          <w:fldChar w:fldCharType="separate"/>
        </w:r>
        <w:r w:rsidR="00780CE1">
          <w:rPr>
            <w:noProof/>
            <w:webHidden/>
          </w:rPr>
          <w:t>15</w:t>
        </w:r>
        <w:r w:rsidR="00960882">
          <w:rPr>
            <w:noProof/>
            <w:webHidden/>
          </w:rPr>
          <w:fldChar w:fldCharType="end"/>
        </w:r>
      </w:hyperlink>
    </w:p>
    <w:p w14:paraId="2FC5B198" w14:textId="433D3B6C" w:rsidR="00960882" w:rsidRDefault="00C35856">
      <w:pPr>
        <w:pStyle w:val="TOC2"/>
        <w:rPr>
          <w:rFonts w:asciiTheme="minorHAnsi" w:eastAsiaTheme="minorEastAsia" w:hAnsiTheme="minorHAnsi" w:cstheme="minorBidi"/>
          <w:noProof/>
          <w:sz w:val="22"/>
          <w:szCs w:val="22"/>
        </w:rPr>
      </w:pPr>
      <w:hyperlink w:anchor="_Toc71537498" w:history="1">
        <w:r w:rsidR="00960882" w:rsidRPr="00B53526">
          <w:rPr>
            <w:rStyle w:val="Hyperlink"/>
            <w:noProof/>
          </w:rPr>
          <w:t>Requirement for a written contract</w:t>
        </w:r>
        <w:r w:rsidR="00960882">
          <w:rPr>
            <w:noProof/>
            <w:webHidden/>
          </w:rPr>
          <w:tab/>
        </w:r>
        <w:r w:rsidR="00960882">
          <w:rPr>
            <w:noProof/>
            <w:webHidden/>
          </w:rPr>
          <w:fldChar w:fldCharType="begin"/>
        </w:r>
        <w:r w:rsidR="00960882">
          <w:rPr>
            <w:noProof/>
            <w:webHidden/>
          </w:rPr>
          <w:instrText xml:space="preserve"> PAGEREF _Toc71537498 \h </w:instrText>
        </w:r>
        <w:r w:rsidR="00960882">
          <w:rPr>
            <w:noProof/>
            <w:webHidden/>
          </w:rPr>
        </w:r>
        <w:r w:rsidR="00960882">
          <w:rPr>
            <w:noProof/>
            <w:webHidden/>
          </w:rPr>
          <w:fldChar w:fldCharType="separate"/>
        </w:r>
        <w:r w:rsidR="00780CE1">
          <w:rPr>
            <w:noProof/>
            <w:webHidden/>
          </w:rPr>
          <w:t>15</w:t>
        </w:r>
        <w:r w:rsidR="00960882">
          <w:rPr>
            <w:noProof/>
            <w:webHidden/>
          </w:rPr>
          <w:fldChar w:fldCharType="end"/>
        </w:r>
      </w:hyperlink>
    </w:p>
    <w:p w14:paraId="4E3AE969" w14:textId="1A12E791" w:rsidR="00960882" w:rsidRDefault="00C35856">
      <w:pPr>
        <w:pStyle w:val="TOC2"/>
        <w:rPr>
          <w:rFonts w:asciiTheme="minorHAnsi" w:eastAsiaTheme="minorEastAsia" w:hAnsiTheme="minorHAnsi" w:cstheme="minorBidi"/>
          <w:noProof/>
          <w:sz w:val="22"/>
          <w:szCs w:val="22"/>
        </w:rPr>
      </w:pPr>
      <w:hyperlink w:anchor="_Toc71537499" w:history="1">
        <w:r w:rsidR="00960882" w:rsidRPr="00B53526">
          <w:rPr>
            <w:rStyle w:val="Hyperlink"/>
            <w:noProof/>
          </w:rPr>
          <w:t>Appointing processors</w:t>
        </w:r>
        <w:r w:rsidR="00960882">
          <w:rPr>
            <w:noProof/>
            <w:webHidden/>
          </w:rPr>
          <w:tab/>
        </w:r>
        <w:r w:rsidR="00960882">
          <w:rPr>
            <w:noProof/>
            <w:webHidden/>
          </w:rPr>
          <w:fldChar w:fldCharType="begin"/>
        </w:r>
        <w:r w:rsidR="00960882">
          <w:rPr>
            <w:noProof/>
            <w:webHidden/>
          </w:rPr>
          <w:instrText xml:space="preserve"> PAGEREF _Toc71537499 \h </w:instrText>
        </w:r>
        <w:r w:rsidR="00960882">
          <w:rPr>
            <w:noProof/>
            <w:webHidden/>
          </w:rPr>
        </w:r>
        <w:r w:rsidR="00960882">
          <w:rPr>
            <w:noProof/>
            <w:webHidden/>
          </w:rPr>
          <w:fldChar w:fldCharType="separate"/>
        </w:r>
        <w:r w:rsidR="00780CE1">
          <w:rPr>
            <w:noProof/>
            <w:webHidden/>
          </w:rPr>
          <w:t>15</w:t>
        </w:r>
        <w:r w:rsidR="00960882">
          <w:rPr>
            <w:noProof/>
            <w:webHidden/>
          </w:rPr>
          <w:fldChar w:fldCharType="end"/>
        </w:r>
      </w:hyperlink>
    </w:p>
    <w:p w14:paraId="45194F24" w14:textId="7811B245" w:rsidR="00960882" w:rsidRDefault="00C35856">
      <w:pPr>
        <w:pStyle w:val="TOC1"/>
        <w:rPr>
          <w:rFonts w:asciiTheme="minorHAnsi" w:eastAsiaTheme="minorEastAsia" w:hAnsiTheme="minorHAnsi" w:cstheme="minorBidi"/>
          <w:b w:val="0"/>
          <w:noProof/>
          <w:sz w:val="22"/>
          <w:szCs w:val="22"/>
        </w:rPr>
      </w:pPr>
      <w:hyperlink w:anchor="_Toc71537500" w:history="1">
        <w:r w:rsidR="00960882" w:rsidRPr="00B53526">
          <w:rPr>
            <w:rStyle w:val="Hyperlink"/>
            <w:noProof/>
          </w:rPr>
          <w:t>8</w:t>
        </w:r>
        <w:r w:rsidR="00960882">
          <w:rPr>
            <w:rFonts w:asciiTheme="minorHAnsi" w:eastAsiaTheme="minorEastAsia" w:hAnsiTheme="minorHAnsi" w:cstheme="minorBidi"/>
            <w:b w:val="0"/>
            <w:noProof/>
            <w:sz w:val="22"/>
            <w:szCs w:val="22"/>
          </w:rPr>
          <w:tab/>
        </w:r>
        <w:r w:rsidR="00960882" w:rsidRPr="00B53526">
          <w:rPr>
            <w:rStyle w:val="Hyperlink"/>
            <w:noProof/>
          </w:rPr>
          <w:t>Data sharing agreements with external organisations</w:t>
        </w:r>
        <w:r w:rsidR="00960882">
          <w:rPr>
            <w:noProof/>
            <w:webHidden/>
          </w:rPr>
          <w:tab/>
        </w:r>
        <w:r w:rsidR="00960882">
          <w:rPr>
            <w:noProof/>
            <w:webHidden/>
          </w:rPr>
          <w:fldChar w:fldCharType="begin"/>
        </w:r>
        <w:r w:rsidR="00960882">
          <w:rPr>
            <w:noProof/>
            <w:webHidden/>
          </w:rPr>
          <w:instrText xml:space="preserve"> PAGEREF _Toc71537500 \h </w:instrText>
        </w:r>
        <w:r w:rsidR="00960882">
          <w:rPr>
            <w:noProof/>
            <w:webHidden/>
          </w:rPr>
        </w:r>
        <w:r w:rsidR="00960882">
          <w:rPr>
            <w:noProof/>
            <w:webHidden/>
          </w:rPr>
          <w:fldChar w:fldCharType="separate"/>
        </w:r>
        <w:r w:rsidR="00780CE1">
          <w:rPr>
            <w:noProof/>
            <w:webHidden/>
          </w:rPr>
          <w:t>17</w:t>
        </w:r>
        <w:r w:rsidR="00960882">
          <w:rPr>
            <w:noProof/>
            <w:webHidden/>
          </w:rPr>
          <w:fldChar w:fldCharType="end"/>
        </w:r>
      </w:hyperlink>
    </w:p>
    <w:p w14:paraId="76FDE46D" w14:textId="6C6CADA6" w:rsidR="00960882" w:rsidRDefault="00C35856">
      <w:pPr>
        <w:pStyle w:val="TOC2"/>
        <w:rPr>
          <w:rFonts w:asciiTheme="minorHAnsi" w:eastAsiaTheme="minorEastAsia" w:hAnsiTheme="minorHAnsi" w:cstheme="minorBidi"/>
          <w:noProof/>
          <w:sz w:val="22"/>
          <w:szCs w:val="22"/>
        </w:rPr>
      </w:pPr>
      <w:hyperlink w:anchor="_Toc71537501" w:history="1">
        <w:r w:rsidR="00960882" w:rsidRPr="00B53526">
          <w:rPr>
            <w:rStyle w:val="Hyperlink"/>
            <w:noProof/>
          </w:rPr>
          <w:t>Supply of the register</w:t>
        </w:r>
        <w:r w:rsidR="00960882">
          <w:rPr>
            <w:noProof/>
            <w:webHidden/>
          </w:rPr>
          <w:tab/>
        </w:r>
        <w:r w:rsidR="00960882">
          <w:rPr>
            <w:noProof/>
            <w:webHidden/>
          </w:rPr>
          <w:fldChar w:fldCharType="begin"/>
        </w:r>
        <w:r w:rsidR="00960882">
          <w:rPr>
            <w:noProof/>
            <w:webHidden/>
          </w:rPr>
          <w:instrText xml:space="preserve"> PAGEREF _Toc71537501 \h </w:instrText>
        </w:r>
        <w:r w:rsidR="00960882">
          <w:rPr>
            <w:noProof/>
            <w:webHidden/>
          </w:rPr>
        </w:r>
        <w:r w:rsidR="00960882">
          <w:rPr>
            <w:noProof/>
            <w:webHidden/>
          </w:rPr>
          <w:fldChar w:fldCharType="separate"/>
        </w:r>
        <w:r w:rsidR="00780CE1">
          <w:rPr>
            <w:noProof/>
            <w:webHidden/>
          </w:rPr>
          <w:t>17</w:t>
        </w:r>
        <w:r w:rsidR="00960882">
          <w:rPr>
            <w:noProof/>
            <w:webHidden/>
          </w:rPr>
          <w:fldChar w:fldCharType="end"/>
        </w:r>
      </w:hyperlink>
    </w:p>
    <w:p w14:paraId="05312D53" w14:textId="5859A518" w:rsidR="00960882" w:rsidRDefault="00C35856">
      <w:pPr>
        <w:pStyle w:val="TOC1"/>
        <w:rPr>
          <w:rFonts w:asciiTheme="minorHAnsi" w:eastAsiaTheme="minorEastAsia" w:hAnsiTheme="minorHAnsi" w:cstheme="minorBidi"/>
          <w:b w:val="0"/>
          <w:noProof/>
          <w:sz w:val="22"/>
          <w:szCs w:val="22"/>
        </w:rPr>
      </w:pPr>
      <w:hyperlink w:anchor="_Toc71537502" w:history="1">
        <w:r w:rsidR="00960882" w:rsidRPr="00B53526">
          <w:rPr>
            <w:rStyle w:val="Hyperlink"/>
            <w:noProof/>
          </w:rPr>
          <w:t>9</w:t>
        </w:r>
        <w:r w:rsidR="00960882">
          <w:rPr>
            <w:rFonts w:asciiTheme="minorHAnsi" w:eastAsiaTheme="minorEastAsia" w:hAnsiTheme="minorHAnsi" w:cstheme="minorBidi"/>
            <w:b w:val="0"/>
            <w:noProof/>
            <w:sz w:val="22"/>
            <w:szCs w:val="22"/>
          </w:rPr>
          <w:tab/>
        </w:r>
        <w:r w:rsidR="00960882" w:rsidRPr="00B53526">
          <w:rPr>
            <w:rStyle w:val="Hyperlink"/>
            <w:noProof/>
          </w:rPr>
          <w:t>Special categories of personal data</w:t>
        </w:r>
        <w:r w:rsidR="00960882">
          <w:rPr>
            <w:noProof/>
            <w:webHidden/>
          </w:rPr>
          <w:tab/>
        </w:r>
        <w:r w:rsidR="00960882">
          <w:rPr>
            <w:noProof/>
            <w:webHidden/>
          </w:rPr>
          <w:fldChar w:fldCharType="begin"/>
        </w:r>
        <w:r w:rsidR="00960882">
          <w:rPr>
            <w:noProof/>
            <w:webHidden/>
          </w:rPr>
          <w:instrText xml:space="preserve"> PAGEREF _Toc71537502 \h </w:instrText>
        </w:r>
        <w:r w:rsidR="00960882">
          <w:rPr>
            <w:noProof/>
            <w:webHidden/>
          </w:rPr>
        </w:r>
        <w:r w:rsidR="00960882">
          <w:rPr>
            <w:noProof/>
            <w:webHidden/>
          </w:rPr>
          <w:fldChar w:fldCharType="separate"/>
        </w:r>
        <w:r w:rsidR="00780CE1">
          <w:rPr>
            <w:noProof/>
            <w:webHidden/>
          </w:rPr>
          <w:t>18</w:t>
        </w:r>
        <w:r w:rsidR="00960882">
          <w:rPr>
            <w:noProof/>
            <w:webHidden/>
          </w:rPr>
          <w:fldChar w:fldCharType="end"/>
        </w:r>
      </w:hyperlink>
    </w:p>
    <w:p w14:paraId="4AA48937" w14:textId="397A2A89" w:rsidR="00960882" w:rsidRDefault="00C35856">
      <w:pPr>
        <w:pStyle w:val="TOC1"/>
        <w:rPr>
          <w:rFonts w:asciiTheme="minorHAnsi" w:eastAsiaTheme="minorEastAsia" w:hAnsiTheme="minorHAnsi" w:cstheme="minorBidi"/>
          <w:b w:val="0"/>
          <w:noProof/>
          <w:sz w:val="22"/>
          <w:szCs w:val="22"/>
        </w:rPr>
      </w:pPr>
      <w:hyperlink w:anchor="_Toc71537503" w:history="1">
        <w:r w:rsidR="00960882" w:rsidRPr="00B53526">
          <w:rPr>
            <w:rStyle w:val="Hyperlink"/>
            <w:noProof/>
          </w:rPr>
          <w:t>10</w:t>
        </w:r>
        <w:r w:rsidR="00960882">
          <w:rPr>
            <w:rFonts w:asciiTheme="minorHAnsi" w:eastAsiaTheme="minorEastAsia" w:hAnsiTheme="minorHAnsi" w:cstheme="minorBidi"/>
            <w:b w:val="0"/>
            <w:noProof/>
            <w:sz w:val="22"/>
            <w:szCs w:val="22"/>
          </w:rPr>
          <w:tab/>
        </w:r>
        <w:r w:rsidR="00960882" w:rsidRPr="00B53526">
          <w:rPr>
            <w:rStyle w:val="Hyperlink"/>
            <w:noProof/>
          </w:rPr>
          <w:t>Data protection impact assessments (DPIAs)</w:t>
        </w:r>
        <w:r w:rsidR="00960882">
          <w:rPr>
            <w:noProof/>
            <w:webHidden/>
          </w:rPr>
          <w:tab/>
        </w:r>
        <w:r w:rsidR="00960882">
          <w:rPr>
            <w:noProof/>
            <w:webHidden/>
          </w:rPr>
          <w:fldChar w:fldCharType="begin"/>
        </w:r>
        <w:r w:rsidR="00960882">
          <w:rPr>
            <w:noProof/>
            <w:webHidden/>
          </w:rPr>
          <w:instrText xml:space="preserve"> PAGEREF _Toc71537503 \h </w:instrText>
        </w:r>
        <w:r w:rsidR="00960882">
          <w:rPr>
            <w:noProof/>
            <w:webHidden/>
          </w:rPr>
        </w:r>
        <w:r w:rsidR="00960882">
          <w:rPr>
            <w:noProof/>
            <w:webHidden/>
          </w:rPr>
          <w:fldChar w:fldCharType="separate"/>
        </w:r>
        <w:r w:rsidR="00780CE1">
          <w:rPr>
            <w:noProof/>
            <w:webHidden/>
          </w:rPr>
          <w:t>19</w:t>
        </w:r>
        <w:r w:rsidR="00960882">
          <w:rPr>
            <w:noProof/>
            <w:webHidden/>
          </w:rPr>
          <w:fldChar w:fldCharType="end"/>
        </w:r>
      </w:hyperlink>
    </w:p>
    <w:p w14:paraId="2530E86F" w14:textId="0918F96B" w:rsidR="00960882" w:rsidRDefault="00C35856">
      <w:pPr>
        <w:pStyle w:val="TOC2"/>
        <w:rPr>
          <w:rFonts w:asciiTheme="minorHAnsi" w:eastAsiaTheme="minorEastAsia" w:hAnsiTheme="minorHAnsi" w:cstheme="minorBidi"/>
          <w:noProof/>
          <w:sz w:val="22"/>
          <w:szCs w:val="22"/>
        </w:rPr>
      </w:pPr>
      <w:hyperlink w:anchor="_Toc71537504" w:history="1">
        <w:r w:rsidR="00960882" w:rsidRPr="00B53526">
          <w:rPr>
            <w:rStyle w:val="Hyperlink"/>
            <w:noProof/>
          </w:rPr>
          <w:t>Requirements of a DPIA</w:t>
        </w:r>
        <w:r w:rsidR="00960882">
          <w:rPr>
            <w:noProof/>
            <w:webHidden/>
          </w:rPr>
          <w:tab/>
        </w:r>
        <w:r w:rsidR="00960882">
          <w:rPr>
            <w:noProof/>
            <w:webHidden/>
          </w:rPr>
          <w:fldChar w:fldCharType="begin"/>
        </w:r>
        <w:r w:rsidR="00960882">
          <w:rPr>
            <w:noProof/>
            <w:webHidden/>
          </w:rPr>
          <w:instrText xml:space="preserve"> PAGEREF _Toc71537504 \h </w:instrText>
        </w:r>
        <w:r w:rsidR="00960882">
          <w:rPr>
            <w:noProof/>
            <w:webHidden/>
          </w:rPr>
        </w:r>
        <w:r w:rsidR="00960882">
          <w:rPr>
            <w:noProof/>
            <w:webHidden/>
          </w:rPr>
          <w:fldChar w:fldCharType="separate"/>
        </w:r>
        <w:r w:rsidR="00780CE1">
          <w:rPr>
            <w:noProof/>
            <w:webHidden/>
          </w:rPr>
          <w:t>19</w:t>
        </w:r>
        <w:r w:rsidR="00960882">
          <w:rPr>
            <w:noProof/>
            <w:webHidden/>
          </w:rPr>
          <w:fldChar w:fldCharType="end"/>
        </w:r>
      </w:hyperlink>
    </w:p>
    <w:p w14:paraId="6051C1EA" w14:textId="2BC19DC8" w:rsidR="00960882" w:rsidRDefault="00C35856">
      <w:pPr>
        <w:pStyle w:val="TOC1"/>
        <w:rPr>
          <w:rFonts w:asciiTheme="minorHAnsi" w:eastAsiaTheme="minorEastAsia" w:hAnsiTheme="minorHAnsi" w:cstheme="minorBidi"/>
          <w:b w:val="0"/>
          <w:noProof/>
          <w:sz w:val="22"/>
          <w:szCs w:val="22"/>
        </w:rPr>
      </w:pPr>
      <w:hyperlink w:anchor="_Toc71537505" w:history="1">
        <w:r w:rsidR="00960882" w:rsidRPr="00B53526">
          <w:rPr>
            <w:rStyle w:val="Hyperlink"/>
            <w:noProof/>
          </w:rPr>
          <w:t>11</w:t>
        </w:r>
        <w:r w:rsidR="00960882">
          <w:rPr>
            <w:rFonts w:asciiTheme="minorHAnsi" w:eastAsiaTheme="minorEastAsia" w:hAnsiTheme="minorHAnsi" w:cstheme="minorBidi"/>
            <w:b w:val="0"/>
            <w:noProof/>
            <w:sz w:val="22"/>
            <w:szCs w:val="22"/>
          </w:rPr>
          <w:tab/>
        </w:r>
        <w:r w:rsidR="00960882" w:rsidRPr="00B53526">
          <w:rPr>
            <w:rStyle w:val="Hyperlink"/>
            <w:noProof/>
          </w:rPr>
          <w:t>Inspecting council records</w:t>
        </w:r>
        <w:r w:rsidR="00960882">
          <w:rPr>
            <w:noProof/>
            <w:webHidden/>
          </w:rPr>
          <w:tab/>
        </w:r>
        <w:r w:rsidR="00960882">
          <w:rPr>
            <w:noProof/>
            <w:webHidden/>
          </w:rPr>
          <w:fldChar w:fldCharType="begin"/>
        </w:r>
        <w:r w:rsidR="00960882">
          <w:rPr>
            <w:noProof/>
            <w:webHidden/>
          </w:rPr>
          <w:instrText xml:space="preserve"> PAGEREF _Toc71537505 \h </w:instrText>
        </w:r>
        <w:r w:rsidR="00960882">
          <w:rPr>
            <w:noProof/>
            <w:webHidden/>
          </w:rPr>
        </w:r>
        <w:r w:rsidR="00960882">
          <w:rPr>
            <w:noProof/>
            <w:webHidden/>
          </w:rPr>
          <w:fldChar w:fldCharType="separate"/>
        </w:r>
        <w:r w:rsidR="00780CE1">
          <w:rPr>
            <w:noProof/>
            <w:webHidden/>
          </w:rPr>
          <w:t>21</w:t>
        </w:r>
        <w:r w:rsidR="00960882">
          <w:rPr>
            <w:noProof/>
            <w:webHidden/>
          </w:rPr>
          <w:fldChar w:fldCharType="end"/>
        </w:r>
      </w:hyperlink>
    </w:p>
    <w:p w14:paraId="3B8914CF" w14:textId="2B61429C" w:rsidR="00960882" w:rsidRDefault="00C35856">
      <w:pPr>
        <w:pStyle w:val="TOC1"/>
        <w:rPr>
          <w:rFonts w:asciiTheme="minorHAnsi" w:eastAsiaTheme="minorEastAsia" w:hAnsiTheme="minorHAnsi" w:cstheme="minorBidi"/>
          <w:b w:val="0"/>
          <w:noProof/>
          <w:sz w:val="22"/>
          <w:szCs w:val="22"/>
        </w:rPr>
      </w:pPr>
      <w:hyperlink w:anchor="_Toc71537506" w:history="1">
        <w:r w:rsidR="00960882" w:rsidRPr="00B53526">
          <w:rPr>
            <w:rStyle w:val="Hyperlink"/>
            <w:noProof/>
          </w:rPr>
          <w:t>12</w:t>
        </w:r>
        <w:r w:rsidR="00960882">
          <w:rPr>
            <w:rFonts w:asciiTheme="minorHAnsi" w:eastAsiaTheme="minorEastAsia" w:hAnsiTheme="minorHAnsi" w:cstheme="minorBidi"/>
            <w:b w:val="0"/>
            <w:noProof/>
            <w:sz w:val="22"/>
            <w:szCs w:val="22"/>
          </w:rPr>
          <w:tab/>
        </w:r>
        <w:r w:rsidR="00960882" w:rsidRPr="00B53526">
          <w:rPr>
            <w:rStyle w:val="Hyperlink"/>
            <w:noProof/>
          </w:rPr>
          <w:t>Subject access requests</w:t>
        </w:r>
        <w:r w:rsidR="00960882">
          <w:rPr>
            <w:noProof/>
            <w:webHidden/>
          </w:rPr>
          <w:tab/>
        </w:r>
        <w:r w:rsidR="00960882">
          <w:rPr>
            <w:noProof/>
            <w:webHidden/>
          </w:rPr>
          <w:fldChar w:fldCharType="begin"/>
        </w:r>
        <w:r w:rsidR="00960882">
          <w:rPr>
            <w:noProof/>
            <w:webHidden/>
          </w:rPr>
          <w:instrText xml:space="preserve"> PAGEREF _Toc71537506 \h </w:instrText>
        </w:r>
        <w:r w:rsidR="00960882">
          <w:rPr>
            <w:noProof/>
            <w:webHidden/>
          </w:rPr>
        </w:r>
        <w:r w:rsidR="00960882">
          <w:rPr>
            <w:noProof/>
            <w:webHidden/>
          </w:rPr>
          <w:fldChar w:fldCharType="separate"/>
        </w:r>
        <w:r w:rsidR="00780CE1">
          <w:rPr>
            <w:noProof/>
            <w:webHidden/>
          </w:rPr>
          <w:t>22</w:t>
        </w:r>
        <w:r w:rsidR="00960882">
          <w:rPr>
            <w:noProof/>
            <w:webHidden/>
          </w:rPr>
          <w:fldChar w:fldCharType="end"/>
        </w:r>
      </w:hyperlink>
    </w:p>
    <w:p w14:paraId="14F02B22" w14:textId="6C2CC5D2" w:rsidR="00960882" w:rsidRDefault="00C35856">
      <w:pPr>
        <w:pStyle w:val="TOC2"/>
        <w:rPr>
          <w:rFonts w:asciiTheme="minorHAnsi" w:eastAsiaTheme="minorEastAsia" w:hAnsiTheme="minorHAnsi" w:cstheme="minorBidi"/>
          <w:noProof/>
          <w:sz w:val="22"/>
          <w:szCs w:val="22"/>
        </w:rPr>
      </w:pPr>
      <w:hyperlink w:anchor="_Toc71537507" w:history="1">
        <w:r w:rsidR="00960882" w:rsidRPr="00B53526">
          <w:rPr>
            <w:rStyle w:val="Hyperlink"/>
            <w:noProof/>
          </w:rPr>
          <w:t>Postal voting statements</w:t>
        </w:r>
        <w:r w:rsidR="00960882">
          <w:rPr>
            <w:noProof/>
            <w:webHidden/>
          </w:rPr>
          <w:tab/>
        </w:r>
        <w:r w:rsidR="00960882">
          <w:rPr>
            <w:noProof/>
            <w:webHidden/>
          </w:rPr>
          <w:fldChar w:fldCharType="begin"/>
        </w:r>
        <w:r w:rsidR="00960882">
          <w:rPr>
            <w:noProof/>
            <w:webHidden/>
          </w:rPr>
          <w:instrText xml:space="preserve"> PAGEREF _Toc71537507 \h </w:instrText>
        </w:r>
        <w:r w:rsidR="00960882">
          <w:rPr>
            <w:noProof/>
            <w:webHidden/>
          </w:rPr>
        </w:r>
        <w:r w:rsidR="00960882">
          <w:rPr>
            <w:noProof/>
            <w:webHidden/>
          </w:rPr>
          <w:fldChar w:fldCharType="separate"/>
        </w:r>
        <w:r w:rsidR="00780CE1">
          <w:rPr>
            <w:noProof/>
            <w:webHidden/>
          </w:rPr>
          <w:t>22</w:t>
        </w:r>
        <w:r w:rsidR="00960882">
          <w:rPr>
            <w:noProof/>
            <w:webHidden/>
          </w:rPr>
          <w:fldChar w:fldCharType="end"/>
        </w:r>
      </w:hyperlink>
    </w:p>
    <w:p w14:paraId="5CB37A56" w14:textId="31AF4D29" w:rsidR="00960882" w:rsidRDefault="00C35856">
      <w:pPr>
        <w:pStyle w:val="TOC2"/>
        <w:rPr>
          <w:rFonts w:asciiTheme="minorHAnsi" w:eastAsiaTheme="minorEastAsia" w:hAnsiTheme="minorHAnsi" w:cstheme="minorBidi"/>
          <w:noProof/>
          <w:sz w:val="22"/>
          <w:szCs w:val="22"/>
        </w:rPr>
      </w:pPr>
      <w:hyperlink w:anchor="_Toc71537508" w:history="1">
        <w:r w:rsidR="00960882" w:rsidRPr="00B53526">
          <w:rPr>
            <w:rStyle w:val="Hyperlink"/>
            <w:noProof/>
          </w:rPr>
          <w:t>Certificates of registration</w:t>
        </w:r>
        <w:r w:rsidR="00960882">
          <w:rPr>
            <w:noProof/>
            <w:webHidden/>
          </w:rPr>
          <w:tab/>
        </w:r>
        <w:r w:rsidR="00960882">
          <w:rPr>
            <w:noProof/>
            <w:webHidden/>
          </w:rPr>
          <w:fldChar w:fldCharType="begin"/>
        </w:r>
        <w:r w:rsidR="00960882">
          <w:rPr>
            <w:noProof/>
            <w:webHidden/>
          </w:rPr>
          <w:instrText xml:space="preserve"> PAGEREF _Toc71537508 \h </w:instrText>
        </w:r>
        <w:r w:rsidR="00960882">
          <w:rPr>
            <w:noProof/>
            <w:webHidden/>
          </w:rPr>
        </w:r>
        <w:r w:rsidR="00960882">
          <w:rPr>
            <w:noProof/>
            <w:webHidden/>
          </w:rPr>
          <w:fldChar w:fldCharType="separate"/>
        </w:r>
        <w:r w:rsidR="00780CE1">
          <w:rPr>
            <w:noProof/>
            <w:webHidden/>
          </w:rPr>
          <w:t>22</w:t>
        </w:r>
        <w:r w:rsidR="00960882">
          <w:rPr>
            <w:noProof/>
            <w:webHidden/>
          </w:rPr>
          <w:fldChar w:fldCharType="end"/>
        </w:r>
      </w:hyperlink>
    </w:p>
    <w:p w14:paraId="6C691DEA" w14:textId="551C1EF4" w:rsidR="00960882" w:rsidRDefault="00C35856">
      <w:pPr>
        <w:pStyle w:val="TOC2"/>
        <w:rPr>
          <w:rFonts w:asciiTheme="minorHAnsi" w:eastAsiaTheme="minorEastAsia" w:hAnsiTheme="minorHAnsi" w:cstheme="minorBidi"/>
          <w:noProof/>
          <w:sz w:val="22"/>
          <w:szCs w:val="22"/>
        </w:rPr>
      </w:pPr>
      <w:hyperlink w:anchor="_Toc71537509" w:history="1">
        <w:r w:rsidR="00960882" w:rsidRPr="00B53526">
          <w:rPr>
            <w:rStyle w:val="Hyperlink"/>
            <w:noProof/>
          </w:rPr>
          <w:t>Access requests for crime prevention</w:t>
        </w:r>
        <w:r w:rsidR="00960882">
          <w:rPr>
            <w:noProof/>
            <w:webHidden/>
          </w:rPr>
          <w:tab/>
        </w:r>
        <w:r w:rsidR="00960882">
          <w:rPr>
            <w:noProof/>
            <w:webHidden/>
          </w:rPr>
          <w:fldChar w:fldCharType="begin"/>
        </w:r>
        <w:r w:rsidR="00960882">
          <w:rPr>
            <w:noProof/>
            <w:webHidden/>
          </w:rPr>
          <w:instrText xml:space="preserve"> PAGEREF _Toc71537509 \h </w:instrText>
        </w:r>
        <w:r w:rsidR="00960882">
          <w:rPr>
            <w:noProof/>
            <w:webHidden/>
          </w:rPr>
        </w:r>
        <w:r w:rsidR="00960882">
          <w:rPr>
            <w:noProof/>
            <w:webHidden/>
          </w:rPr>
          <w:fldChar w:fldCharType="separate"/>
        </w:r>
        <w:r w:rsidR="00780CE1">
          <w:rPr>
            <w:noProof/>
            <w:webHidden/>
          </w:rPr>
          <w:t>22</w:t>
        </w:r>
        <w:r w:rsidR="00960882">
          <w:rPr>
            <w:noProof/>
            <w:webHidden/>
          </w:rPr>
          <w:fldChar w:fldCharType="end"/>
        </w:r>
      </w:hyperlink>
    </w:p>
    <w:p w14:paraId="17AD90B2" w14:textId="19A2C0C2" w:rsidR="00960882" w:rsidRDefault="00C35856">
      <w:pPr>
        <w:pStyle w:val="TOC1"/>
        <w:rPr>
          <w:rFonts w:asciiTheme="minorHAnsi" w:eastAsiaTheme="minorEastAsia" w:hAnsiTheme="minorHAnsi" w:cstheme="minorBidi"/>
          <w:b w:val="0"/>
          <w:noProof/>
          <w:sz w:val="22"/>
          <w:szCs w:val="22"/>
        </w:rPr>
      </w:pPr>
      <w:hyperlink w:anchor="_Toc71537510" w:history="1">
        <w:r w:rsidR="00960882" w:rsidRPr="00B53526">
          <w:rPr>
            <w:rStyle w:val="Hyperlink"/>
            <w:noProof/>
          </w:rPr>
          <w:t>13</w:t>
        </w:r>
        <w:r w:rsidR="00960882">
          <w:rPr>
            <w:rFonts w:asciiTheme="minorHAnsi" w:eastAsiaTheme="minorEastAsia" w:hAnsiTheme="minorHAnsi" w:cstheme="minorBidi"/>
            <w:b w:val="0"/>
            <w:noProof/>
            <w:sz w:val="22"/>
            <w:szCs w:val="22"/>
          </w:rPr>
          <w:tab/>
        </w:r>
        <w:r w:rsidR="00960882" w:rsidRPr="00B53526">
          <w:rPr>
            <w:rStyle w:val="Hyperlink"/>
            <w:noProof/>
          </w:rPr>
          <w:t>Breaches and sanctions</w:t>
        </w:r>
        <w:r w:rsidR="00960882">
          <w:rPr>
            <w:noProof/>
            <w:webHidden/>
          </w:rPr>
          <w:tab/>
        </w:r>
        <w:r w:rsidR="00960882">
          <w:rPr>
            <w:noProof/>
            <w:webHidden/>
          </w:rPr>
          <w:fldChar w:fldCharType="begin"/>
        </w:r>
        <w:r w:rsidR="00960882">
          <w:rPr>
            <w:noProof/>
            <w:webHidden/>
          </w:rPr>
          <w:instrText xml:space="preserve"> PAGEREF _Toc71537510 \h </w:instrText>
        </w:r>
        <w:r w:rsidR="00960882">
          <w:rPr>
            <w:noProof/>
            <w:webHidden/>
          </w:rPr>
        </w:r>
        <w:r w:rsidR="00960882">
          <w:rPr>
            <w:noProof/>
            <w:webHidden/>
          </w:rPr>
          <w:fldChar w:fldCharType="separate"/>
        </w:r>
        <w:r w:rsidR="00780CE1">
          <w:rPr>
            <w:noProof/>
            <w:webHidden/>
          </w:rPr>
          <w:t>24</w:t>
        </w:r>
        <w:r w:rsidR="00960882">
          <w:rPr>
            <w:noProof/>
            <w:webHidden/>
          </w:rPr>
          <w:fldChar w:fldCharType="end"/>
        </w:r>
      </w:hyperlink>
    </w:p>
    <w:p w14:paraId="7894CBB6" w14:textId="22E635E4" w:rsidR="00960882" w:rsidRDefault="00C35856">
      <w:pPr>
        <w:pStyle w:val="TOC2"/>
        <w:rPr>
          <w:rFonts w:asciiTheme="minorHAnsi" w:eastAsiaTheme="minorEastAsia" w:hAnsiTheme="minorHAnsi" w:cstheme="minorBidi"/>
          <w:noProof/>
          <w:sz w:val="22"/>
          <w:szCs w:val="22"/>
        </w:rPr>
      </w:pPr>
      <w:hyperlink w:anchor="_Toc71537511" w:history="1">
        <w:r w:rsidR="00960882" w:rsidRPr="00B53526">
          <w:rPr>
            <w:rStyle w:val="Hyperlink"/>
            <w:noProof/>
          </w:rPr>
          <w:t>Requirement to notify</w:t>
        </w:r>
        <w:r w:rsidR="00960882">
          <w:rPr>
            <w:noProof/>
            <w:webHidden/>
          </w:rPr>
          <w:tab/>
        </w:r>
        <w:r w:rsidR="00960882">
          <w:rPr>
            <w:noProof/>
            <w:webHidden/>
          </w:rPr>
          <w:fldChar w:fldCharType="begin"/>
        </w:r>
        <w:r w:rsidR="00960882">
          <w:rPr>
            <w:noProof/>
            <w:webHidden/>
          </w:rPr>
          <w:instrText xml:space="preserve"> PAGEREF _Toc71537511 \h </w:instrText>
        </w:r>
        <w:r w:rsidR="00960882">
          <w:rPr>
            <w:noProof/>
            <w:webHidden/>
          </w:rPr>
        </w:r>
        <w:r w:rsidR="00960882">
          <w:rPr>
            <w:noProof/>
            <w:webHidden/>
          </w:rPr>
          <w:fldChar w:fldCharType="separate"/>
        </w:r>
        <w:r w:rsidR="00780CE1">
          <w:rPr>
            <w:noProof/>
            <w:webHidden/>
          </w:rPr>
          <w:t>24</w:t>
        </w:r>
        <w:r w:rsidR="00960882">
          <w:rPr>
            <w:noProof/>
            <w:webHidden/>
          </w:rPr>
          <w:fldChar w:fldCharType="end"/>
        </w:r>
      </w:hyperlink>
    </w:p>
    <w:p w14:paraId="7F57F728" w14:textId="0B8B1C59" w:rsidR="00960882" w:rsidRDefault="00C35856">
      <w:pPr>
        <w:pStyle w:val="TOC2"/>
        <w:rPr>
          <w:rFonts w:asciiTheme="minorHAnsi" w:eastAsiaTheme="minorEastAsia" w:hAnsiTheme="minorHAnsi" w:cstheme="minorBidi"/>
          <w:noProof/>
          <w:sz w:val="22"/>
          <w:szCs w:val="22"/>
        </w:rPr>
      </w:pPr>
      <w:hyperlink w:anchor="_Toc71537512" w:history="1">
        <w:r w:rsidR="00960882" w:rsidRPr="00B53526">
          <w:rPr>
            <w:rStyle w:val="Hyperlink"/>
            <w:noProof/>
          </w:rPr>
          <w:t>Sanctions and penalties</w:t>
        </w:r>
        <w:r w:rsidR="00960882">
          <w:rPr>
            <w:noProof/>
            <w:webHidden/>
          </w:rPr>
          <w:tab/>
        </w:r>
        <w:r w:rsidR="00960882">
          <w:rPr>
            <w:noProof/>
            <w:webHidden/>
          </w:rPr>
          <w:fldChar w:fldCharType="begin"/>
        </w:r>
        <w:r w:rsidR="00960882">
          <w:rPr>
            <w:noProof/>
            <w:webHidden/>
          </w:rPr>
          <w:instrText xml:space="preserve"> PAGEREF _Toc71537512 \h </w:instrText>
        </w:r>
        <w:r w:rsidR="00960882">
          <w:rPr>
            <w:noProof/>
            <w:webHidden/>
          </w:rPr>
        </w:r>
        <w:r w:rsidR="00960882">
          <w:rPr>
            <w:noProof/>
            <w:webHidden/>
          </w:rPr>
          <w:fldChar w:fldCharType="separate"/>
        </w:r>
        <w:r w:rsidR="00780CE1">
          <w:rPr>
            <w:noProof/>
            <w:webHidden/>
          </w:rPr>
          <w:t>25</w:t>
        </w:r>
        <w:r w:rsidR="00960882">
          <w:rPr>
            <w:noProof/>
            <w:webHidden/>
          </w:rPr>
          <w:fldChar w:fldCharType="end"/>
        </w:r>
      </w:hyperlink>
    </w:p>
    <w:p w14:paraId="6CB1A50D" w14:textId="287A9BF7" w:rsidR="00960882" w:rsidRDefault="00C35856">
      <w:pPr>
        <w:pStyle w:val="TOC1"/>
        <w:rPr>
          <w:rFonts w:asciiTheme="minorHAnsi" w:eastAsiaTheme="minorEastAsia" w:hAnsiTheme="minorHAnsi" w:cstheme="minorBidi"/>
          <w:b w:val="0"/>
          <w:noProof/>
          <w:sz w:val="22"/>
          <w:szCs w:val="22"/>
        </w:rPr>
      </w:pPr>
      <w:hyperlink w:anchor="_Toc71537513" w:history="1">
        <w:r w:rsidR="00960882" w:rsidRPr="00B53526">
          <w:rPr>
            <w:rStyle w:val="Hyperlink"/>
            <w:noProof/>
          </w:rPr>
          <w:t>Appendix 1 – Summary checklist of actions</w:t>
        </w:r>
        <w:r w:rsidR="00960882">
          <w:rPr>
            <w:noProof/>
            <w:webHidden/>
          </w:rPr>
          <w:tab/>
        </w:r>
        <w:r w:rsidR="00960882">
          <w:rPr>
            <w:noProof/>
            <w:webHidden/>
          </w:rPr>
          <w:fldChar w:fldCharType="begin"/>
        </w:r>
        <w:r w:rsidR="00960882">
          <w:rPr>
            <w:noProof/>
            <w:webHidden/>
          </w:rPr>
          <w:instrText xml:space="preserve"> PAGEREF _Toc71537513 \h </w:instrText>
        </w:r>
        <w:r w:rsidR="00960882">
          <w:rPr>
            <w:noProof/>
            <w:webHidden/>
          </w:rPr>
        </w:r>
        <w:r w:rsidR="00960882">
          <w:rPr>
            <w:noProof/>
            <w:webHidden/>
          </w:rPr>
          <w:fldChar w:fldCharType="separate"/>
        </w:r>
        <w:r w:rsidR="00780CE1">
          <w:rPr>
            <w:noProof/>
            <w:webHidden/>
          </w:rPr>
          <w:t>26</w:t>
        </w:r>
        <w:r w:rsidR="00960882">
          <w:rPr>
            <w:noProof/>
            <w:webHidden/>
          </w:rPr>
          <w:fldChar w:fldCharType="end"/>
        </w:r>
      </w:hyperlink>
    </w:p>
    <w:p w14:paraId="7615D6BC" w14:textId="0D06409A" w:rsidR="00960882" w:rsidRDefault="00C35856">
      <w:pPr>
        <w:pStyle w:val="TOC1"/>
        <w:rPr>
          <w:rFonts w:asciiTheme="minorHAnsi" w:eastAsiaTheme="minorEastAsia" w:hAnsiTheme="minorHAnsi" w:cstheme="minorBidi"/>
          <w:b w:val="0"/>
          <w:noProof/>
          <w:sz w:val="22"/>
          <w:szCs w:val="22"/>
        </w:rPr>
      </w:pPr>
      <w:hyperlink w:anchor="_Toc71537514" w:history="1">
        <w:r w:rsidR="00960882" w:rsidRPr="00B53526">
          <w:rPr>
            <w:rStyle w:val="Hyperlink"/>
            <w:noProof/>
          </w:rPr>
          <w:t>Appendix 2 – Checklist for Privacy Notice</w:t>
        </w:r>
        <w:r w:rsidR="00960882">
          <w:rPr>
            <w:noProof/>
            <w:webHidden/>
          </w:rPr>
          <w:tab/>
        </w:r>
        <w:r w:rsidR="00960882">
          <w:rPr>
            <w:noProof/>
            <w:webHidden/>
          </w:rPr>
          <w:fldChar w:fldCharType="begin"/>
        </w:r>
        <w:r w:rsidR="00960882">
          <w:rPr>
            <w:noProof/>
            <w:webHidden/>
          </w:rPr>
          <w:instrText xml:space="preserve"> PAGEREF _Toc71537514 \h </w:instrText>
        </w:r>
        <w:r w:rsidR="00960882">
          <w:rPr>
            <w:noProof/>
            <w:webHidden/>
          </w:rPr>
        </w:r>
        <w:r w:rsidR="00960882">
          <w:rPr>
            <w:noProof/>
            <w:webHidden/>
          </w:rPr>
          <w:fldChar w:fldCharType="separate"/>
        </w:r>
        <w:r w:rsidR="00780CE1">
          <w:rPr>
            <w:noProof/>
            <w:webHidden/>
          </w:rPr>
          <w:t>29</w:t>
        </w:r>
        <w:r w:rsidR="00960882">
          <w:rPr>
            <w:noProof/>
            <w:webHidden/>
          </w:rPr>
          <w:fldChar w:fldCharType="end"/>
        </w:r>
      </w:hyperlink>
    </w:p>
    <w:p w14:paraId="3EDBE39B" w14:textId="24B35B84" w:rsidR="00960882" w:rsidRDefault="00C35856">
      <w:pPr>
        <w:pStyle w:val="TOC1"/>
        <w:rPr>
          <w:rFonts w:asciiTheme="minorHAnsi" w:eastAsiaTheme="minorEastAsia" w:hAnsiTheme="minorHAnsi" w:cstheme="minorBidi"/>
          <w:b w:val="0"/>
          <w:noProof/>
          <w:sz w:val="22"/>
          <w:szCs w:val="22"/>
        </w:rPr>
      </w:pPr>
      <w:hyperlink w:anchor="_Toc71537515" w:history="1">
        <w:r w:rsidR="00960882" w:rsidRPr="00B53526">
          <w:rPr>
            <w:rStyle w:val="Hyperlink"/>
            <w:noProof/>
          </w:rPr>
          <w:t>Appendix 3 – Checklist for data sharing agreement</w:t>
        </w:r>
        <w:r w:rsidR="00960882">
          <w:rPr>
            <w:noProof/>
            <w:webHidden/>
          </w:rPr>
          <w:tab/>
        </w:r>
        <w:r w:rsidR="00960882">
          <w:rPr>
            <w:noProof/>
            <w:webHidden/>
          </w:rPr>
          <w:fldChar w:fldCharType="begin"/>
        </w:r>
        <w:r w:rsidR="00960882">
          <w:rPr>
            <w:noProof/>
            <w:webHidden/>
          </w:rPr>
          <w:instrText xml:space="preserve"> PAGEREF _Toc71537515 \h </w:instrText>
        </w:r>
        <w:r w:rsidR="00960882">
          <w:rPr>
            <w:noProof/>
            <w:webHidden/>
          </w:rPr>
        </w:r>
        <w:r w:rsidR="00960882">
          <w:rPr>
            <w:noProof/>
            <w:webHidden/>
          </w:rPr>
          <w:fldChar w:fldCharType="separate"/>
        </w:r>
        <w:r w:rsidR="00780CE1">
          <w:rPr>
            <w:noProof/>
            <w:webHidden/>
          </w:rPr>
          <w:t>30</w:t>
        </w:r>
        <w:r w:rsidR="00960882">
          <w:rPr>
            <w:noProof/>
            <w:webHidden/>
          </w:rPr>
          <w:fldChar w:fldCharType="end"/>
        </w:r>
      </w:hyperlink>
    </w:p>
    <w:p w14:paraId="14B78E26" w14:textId="7A90586B" w:rsidR="00960882" w:rsidRDefault="00C35856">
      <w:pPr>
        <w:pStyle w:val="TOC1"/>
        <w:rPr>
          <w:rFonts w:asciiTheme="minorHAnsi" w:eastAsiaTheme="minorEastAsia" w:hAnsiTheme="minorHAnsi" w:cstheme="minorBidi"/>
          <w:b w:val="0"/>
          <w:noProof/>
          <w:sz w:val="22"/>
          <w:szCs w:val="22"/>
        </w:rPr>
      </w:pPr>
      <w:hyperlink w:anchor="_Toc71537516" w:history="1">
        <w:r w:rsidR="00960882" w:rsidRPr="00B53526">
          <w:rPr>
            <w:rStyle w:val="Hyperlink"/>
            <w:noProof/>
          </w:rPr>
          <w:t>Appendix 4 – Example Data Protection Impact Assessment (DPIA)</w:t>
        </w:r>
        <w:r w:rsidR="00960882">
          <w:rPr>
            <w:noProof/>
            <w:webHidden/>
          </w:rPr>
          <w:tab/>
        </w:r>
        <w:r w:rsidR="00960882">
          <w:rPr>
            <w:noProof/>
            <w:webHidden/>
          </w:rPr>
          <w:fldChar w:fldCharType="begin"/>
        </w:r>
        <w:r w:rsidR="00960882">
          <w:rPr>
            <w:noProof/>
            <w:webHidden/>
          </w:rPr>
          <w:instrText xml:space="preserve"> PAGEREF _Toc71537516 \h </w:instrText>
        </w:r>
        <w:r w:rsidR="00960882">
          <w:rPr>
            <w:noProof/>
            <w:webHidden/>
          </w:rPr>
        </w:r>
        <w:r w:rsidR="00960882">
          <w:rPr>
            <w:noProof/>
            <w:webHidden/>
          </w:rPr>
          <w:fldChar w:fldCharType="separate"/>
        </w:r>
        <w:r w:rsidR="00780CE1">
          <w:rPr>
            <w:noProof/>
            <w:webHidden/>
          </w:rPr>
          <w:t>32</w:t>
        </w:r>
        <w:r w:rsidR="00960882">
          <w:rPr>
            <w:noProof/>
            <w:webHidden/>
          </w:rPr>
          <w:fldChar w:fldCharType="end"/>
        </w:r>
      </w:hyperlink>
    </w:p>
    <w:p w14:paraId="4BB81D26" w14:textId="23837216" w:rsidR="00606802" w:rsidRDefault="007C3C55" w:rsidP="00606802">
      <w:pPr>
        <w:pStyle w:val="Chapterhead"/>
      </w:pPr>
      <w:r w:rsidRPr="006E16F2">
        <w:lastRenderedPageBreak/>
        <w:fldChar w:fldCharType="end"/>
      </w:r>
      <w:bookmarkStart w:id="3" w:name="_Toc71537482"/>
      <w:r w:rsidR="00606802">
        <w:t>Purpose</w:t>
      </w:r>
      <w:bookmarkEnd w:id="3"/>
    </w:p>
    <w:p w14:paraId="2D935CDA" w14:textId="6637EACD" w:rsidR="007C3C55" w:rsidRPr="006E16F2" w:rsidRDefault="007C3C55" w:rsidP="00377F40">
      <w:pPr>
        <w:pStyle w:val="Paranumber"/>
        <w:ind w:left="0" w:firstLine="0"/>
      </w:pPr>
      <w:r w:rsidRPr="006E16F2">
        <w:t xml:space="preserve">The General Data Protection Regulation (GDPR) </w:t>
      </w:r>
      <w:r w:rsidR="008A3574">
        <w:t>and</w:t>
      </w:r>
      <w:r w:rsidR="006B378C" w:rsidRPr="006E16F2">
        <w:t xml:space="preserve"> </w:t>
      </w:r>
      <w:r w:rsidR="0015219D" w:rsidRPr="006E16F2">
        <w:t xml:space="preserve">the Data Protection </w:t>
      </w:r>
      <w:r w:rsidR="004E5ED7">
        <w:t>Act 2018</w:t>
      </w:r>
      <w:r w:rsidRPr="006E16F2">
        <w:t xml:space="preserve"> </w:t>
      </w:r>
      <w:r w:rsidR="001914C9" w:rsidRPr="006E16F2">
        <w:t>appl</w:t>
      </w:r>
      <w:r w:rsidR="001914C9">
        <w:t>y</w:t>
      </w:r>
      <w:r w:rsidR="001914C9" w:rsidRPr="006E16F2">
        <w:t xml:space="preserve"> </w:t>
      </w:r>
      <w:r w:rsidRPr="006E16F2">
        <w:t xml:space="preserve">to the processing of </w:t>
      </w:r>
      <w:r w:rsidRPr="006E16F2">
        <w:rPr>
          <w:b/>
        </w:rPr>
        <w:t>all</w:t>
      </w:r>
      <w:r w:rsidRPr="006E16F2">
        <w:t xml:space="preserve"> personal data.</w:t>
      </w:r>
      <w:r w:rsidR="008A1836" w:rsidRPr="006E16F2">
        <w:t xml:space="preserve"> E</w:t>
      </w:r>
      <w:r w:rsidR="00A51823" w:rsidRPr="006E16F2">
        <w:t>lectoral Registration Officers (ERO</w:t>
      </w:r>
      <w:r w:rsidR="008A1836" w:rsidRPr="006E16F2">
        <w:t>s</w:t>
      </w:r>
      <w:r w:rsidR="00A51823" w:rsidRPr="006E16F2">
        <w:t>)</w:t>
      </w:r>
      <w:r w:rsidR="008A1836" w:rsidRPr="006E16F2">
        <w:t xml:space="preserve"> and </w:t>
      </w:r>
      <w:r w:rsidR="00A51823" w:rsidRPr="006E16F2">
        <w:t>Returning Officers (</w:t>
      </w:r>
      <w:r w:rsidR="008A1836" w:rsidRPr="006E16F2">
        <w:t>ROs</w:t>
      </w:r>
      <w:r w:rsidR="00A51823" w:rsidRPr="006E16F2">
        <w:t>)</w:t>
      </w:r>
      <w:r w:rsidR="008A1836" w:rsidRPr="006E16F2">
        <w:t xml:space="preserve"> are </w:t>
      </w:r>
      <w:r w:rsidR="008A1836" w:rsidRPr="006E16F2">
        <w:rPr>
          <w:b/>
        </w:rPr>
        <w:t>personally responsible</w:t>
      </w:r>
      <w:r w:rsidR="008A1836" w:rsidRPr="006E16F2">
        <w:t xml:space="preserve"> for ensuring that they comply with the requirements of</w:t>
      </w:r>
      <w:r w:rsidR="00F323B9">
        <w:t xml:space="preserve"> current</w:t>
      </w:r>
      <w:r w:rsidR="008A1836" w:rsidRPr="006E16F2">
        <w:t xml:space="preserve"> </w:t>
      </w:r>
      <w:r w:rsidR="00622E5F">
        <w:t>data protection legislation</w:t>
      </w:r>
      <w:r w:rsidR="008A1836" w:rsidRPr="006E16F2">
        <w:t>.</w:t>
      </w:r>
    </w:p>
    <w:p w14:paraId="2D935CDB" w14:textId="4EB10C98" w:rsidR="007C3C55" w:rsidRPr="006E16F2" w:rsidRDefault="007C3C55" w:rsidP="007C3C55">
      <w:pPr>
        <w:pStyle w:val="Paranumber"/>
        <w:tabs>
          <w:tab w:val="num" w:pos="567"/>
        </w:tabs>
        <w:ind w:left="0" w:firstLine="0"/>
      </w:pPr>
      <w:r w:rsidRPr="006E16F2">
        <w:t xml:space="preserve">We have been working with the Association of Electoral Administrators (AEA), Cabinet Office, the Information Commissioner’s Office (ICO), the Scottish Assessors Association (SAA) and the Society of Local Authority Chief Executives (SOLACE) to </w:t>
      </w:r>
      <w:r w:rsidR="00A51823" w:rsidRPr="006E16F2">
        <w:t>identify</w:t>
      </w:r>
      <w:r w:rsidRPr="006E16F2">
        <w:t xml:space="preserve"> the impact of the GDPR on Electoral Registration Officers (EROs) and Returning Officers (ROs).</w:t>
      </w:r>
      <w:r w:rsidRPr="006E16F2">
        <w:rPr>
          <w:rStyle w:val="FootnoteReference"/>
        </w:rPr>
        <w:footnoteReference w:id="2"/>
      </w:r>
    </w:p>
    <w:p w14:paraId="23A6B763" w14:textId="1E7584EB" w:rsidR="009732D3" w:rsidRPr="006E16F2" w:rsidRDefault="009732D3" w:rsidP="007C3C55">
      <w:pPr>
        <w:pStyle w:val="Paranumber"/>
        <w:tabs>
          <w:tab w:val="num" w:pos="567"/>
        </w:tabs>
        <w:ind w:left="0" w:firstLine="0"/>
      </w:pPr>
      <w:r w:rsidRPr="006E16F2">
        <w:t xml:space="preserve">It is important to remember that data protection requirements have been in place for many years. Although the </w:t>
      </w:r>
      <w:r w:rsidR="00D10FC0">
        <w:t xml:space="preserve">current data protection legislation </w:t>
      </w:r>
      <w:r w:rsidRPr="006E16F2">
        <w:t>broaden</w:t>
      </w:r>
      <w:r w:rsidR="00D10FC0">
        <w:t>s</w:t>
      </w:r>
      <w:r w:rsidRPr="006E16F2">
        <w:t xml:space="preserve"> the requirements, particularly in relation to demonstrating accountability and transparency, many of the key principles are the same as those in the D</w:t>
      </w:r>
      <w:r w:rsidR="008A3574">
        <w:t xml:space="preserve">ata </w:t>
      </w:r>
      <w:r w:rsidRPr="006E16F2">
        <w:t>P</w:t>
      </w:r>
      <w:r w:rsidR="008A3574">
        <w:t xml:space="preserve">rotection </w:t>
      </w:r>
      <w:r w:rsidRPr="006E16F2">
        <w:t>A</w:t>
      </w:r>
      <w:r w:rsidR="008A3574">
        <w:t>ct</w:t>
      </w:r>
      <w:r w:rsidRPr="006E16F2">
        <w:t xml:space="preserve"> 1998</w:t>
      </w:r>
      <w:r w:rsidR="008A3574">
        <w:t xml:space="preserve"> (now superseded by the Data Protection Act 2018)</w:t>
      </w:r>
      <w:r w:rsidRPr="006E16F2">
        <w:t xml:space="preserve">. </w:t>
      </w:r>
    </w:p>
    <w:p w14:paraId="7703DD76" w14:textId="292C2103" w:rsidR="00272299" w:rsidRPr="006E16F2" w:rsidRDefault="00C21295" w:rsidP="0022761E">
      <w:pPr>
        <w:pStyle w:val="Paranumber"/>
        <w:tabs>
          <w:tab w:val="num" w:pos="567"/>
        </w:tabs>
        <w:ind w:left="0" w:firstLine="0"/>
      </w:pPr>
      <w:r>
        <w:t>D</w:t>
      </w:r>
      <w:r w:rsidR="00622E5F">
        <w:t>ata protection legislation does</w:t>
      </w:r>
      <w:r w:rsidR="00272299" w:rsidRPr="006E16F2">
        <w:t xml:space="preserve"> not override requirements to gather and process information as set out in existing electoral law but there </w:t>
      </w:r>
      <w:r>
        <w:t>is</w:t>
      </w:r>
      <w:r w:rsidR="00272299" w:rsidRPr="006E16F2">
        <w:t xml:space="preserve"> impact on how this information is processed and the responsibilities of EROs </w:t>
      </w:r>
      <w:r w:rsidR="00A51823" w:rsidRPr="006E16F2">
        <w:t>and</w:t>
      </w:r>
      <w:r w:rsidR="00272299" w:rsidRPr="006E16F2">
        <w:t xml:space="preserve"> ROs to keep data subjects informed. </w:t>
      </w:r>
    </w:p>
    <w:p w14:paraId="2D935CDC" w14:textId="6BC4F443" w:rsidR="007C3C55" w:rsidRPr="006E16F2" w:rsidRDefault="00A51823" w:rsidP="007C3C55">
      <w:pPr>
        <w:pStyle w:val="Paranumber"/>
        <w:tabs>
          <w:tab w:val="num" w:pos="567"/>
        </w:tabs>
        <w:ind w:left="0" w:firstLine="0"/>
      </w:pPr>
      <w:r w:rsidRPr="006E16F2">
        <w:t>T</w:t>
      </w:r>
      <w:r w:rsidR="007C3C55" w:rsidRPr="006E16F2">
        <w:t xml:space="preserve">his </w:t>
      </w:r>
      <w:r w:rsidR="00D5281C" w:rsidRPr="006E16F2">
        <w:t>resource</w:t>
      </w:r>
      <w:r w:rsidR="007C3C55" w:rsidRPr="006E16F2">
        <w:t xml:space="preserve"> </w:t>
      </w:r>
      <w:r w:rsidRPr="006E16F2">
        <w:t xml:space="preserve">is designed </w:t>
      </w:r>
      <w:r w:rsidR="007C3C55" w:rsidRPr="006E16F2">
        <w:t>to support you in meeting your obligations, as they relate to your electoral administration responsibilities.</w:t>
      </w:r>
      <w:r w:rsidR="00535B65" w:rsidRPr="006E16F2">
        <w:t xml:space="preserve"> </w:t>
      </w:r>
      <w:r w:rsidR="007C3C55" w:rsidRPr="006E16F2">
        <w:t>We have included practical examples where possible.</w:t>
      </w:r>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7C3C55" w:rsidRPr="006E16F2" w14:paraId="2D935CDE" w14:textId="77777777" w:rsidTr="00891006">
        <w:tc>
          <w:tcPr>
            <w:tcW w:w="9606" w:type="dxa"/>
            <w:tcBorders>
              <w:top w:val="single" w:sz="4" w:space="0" w:color="0099CC"/>
              <w:left w:val="single" w:sz="4" w:space="0" w:color="0099CC"/>
              <w:bottom w:val="single" w:sz="4" w:space="0" w:color="0099CC"/>
              <w:right w:val="single" w:sz="4" w:space="0" w:color="0099CC"/>
            </w:tcBorders>
            <w:hideMark/>
          </w:tcPr>
          <w:p w14:paraId="2D935CDD" w14:textId="0FF38DB3" w:rsidR="002B6196" w:rsidRPr="006E16F2" w:rsidRDefault="007C3C55" w:rsidP="00D10FC0">
            <w:r w:rsidRPr="006E16F2">
              <w:rPr>
                <w:noProof/>
              </w:rPr>
              <w:drawing>
                <wp:anchor distT="0" distB="0" distL="114300" distR="114300" simplePos="0" relativeHeight="251646976" behindDoc="0" locked="0" layoutInCell="1" allowOverlap="1" wp14:anchorId="2D935DF5" wp14:editId="2D935DF6">
                  <wp:simplePos x="0" y="0"/>
                  <wp:positionH relativeFrom="column">
                    <wp:posOffset>-33020</wp:posOffset>
                  </wp:positionH>
                  <wp:positionV relativeFrom="paragraph">
                    <wp:posOffset>6350</wp:posOffset>
                  </wp:positionV>
                  <wp:extent cx="503555" cy="685800"/>
                  <wp:effectExtent l="0" t="0" r="0" b="0"/>
                  <wp:wrapSquare wrapText="bothSides"/>
                  <wp:docPr id="12" name="Picture 12" descr="GD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DP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pic:spPr>
                      </pic:pic>
                    </a:graphicData>
                  </a:graphic>
                  <wp14:sizeRelH relativeFrom="page">
                    <wp14:pctWidth>0</wp14:pctWidth>
                  </wp14:sizeRelH>
                  <wp14:sizeRelV relativeFrom="page">
                    <wp14:pctHeight>0</wp14:pctHeight>
                  </wp14:sizeRelV>
                </wp:anchor>
              </w:drawing>
            </w:r>
            <w:r w:rsidRPr="006E16F2">
              <w:t xml:space="preserve">Where we consider that there is a particular consideration or action you should take in light of </w:t>
            </w:r>
            <w:r w:rsidR="00D10FC0">
              <w:t>data protection rules</w:t>
            </w:r>
            <w:r w:rsidRPr="006E16F2">
              <w:t xml:space="preserve">, we have highlighted this in break-out boxes like this one throughout the </w:t>
            </w:r>
            <w:r w:rsidR="00535B65" w:rsidRPr="006E16F2">
              <w:t>resource</w:t>
            </w:r>
            <w:r w:rsidRPr="006E16F2">
              <w:t>.</w:t>
            </w:r>
            <w:r w:rsidR="00064CBC" w:rsidRPr="006E16F2">
              <w:t xml:space="preserve"> We have summarised these actions</w:t>
            </w:r>
            <w:r w:rsidR="00E9120C" w:rsidRPr="006E16F2">
              <w:t xml:space="preserve"> in checklist form</w:t>
            </w:r>
            <w:r w:rsidR="00064CBC" w:rsidRPr="006E16F2">
              <w:t xml:space="preserve"> in </w:t>
            </w:r>
            <w:hyperlink w:anchor="Appx1" w:history="1">
              <w:r w:rsidR="00064CBC" w:rsidRPr="006E16F2">
                <w:rPr>
                  <w:rStyle w:val="Hyperlink"/>
                  <w:b/>
                </w:rPr>
                <w:t>Appendix 1</w:t>
              </w:r>
            </w:hyperlink>
            <w:r w:rsidR="00064CBC" w:rsidRPr="006E16F2">
              <w:t>.</w:t>
            </w:r>
          </w:p>
        </w:tc>
      </w:tr>
    </w:tbl>
    <w:p w14:paraId="2D935CDF" w14:textId="77777777" w:rsidR="007C3C55" w:rsidRPr="006E16F2" w:rsidRDefault="007C3C55" w:rsidP="007C3C55"/>
    <w:p w14:paraId="644006FC" w14:textId="2F8E6E25" w:rsidR="00504585" w:rsidRPr="006E16F2" w:rsidRDefault="00504585" w:rsidP="00E224AC">
      <w:pPr>
        <w:pStyle w:val="Paranumber"/>
        <w:tabs>
          <w:tab w:val="num" w:pos="567"/>
        </w:tabs>
        <w:ind w:left="0" w:firstLine="0"/>
        <w:rPr>
          <w:noProof/>
        </w:rPr>
      </w:pPr>
      <w:r w:rsidRPr="006E16F2">
        <w:t xml:space="preserve">We have </w:t>
      </w:r>
      <w:r w:rsidR="001914C9">
        <w:t xml:space="preserve">previously </w:t>
      </w:r>
      <w:r w:rsidRPr="006E16F2">
        <w:t xml:space="preserve">shared this resource with </w:t>
      </w:r>
      <w:r w:rsidR="004D04D4" w:rsidRPr="006E16F2">
        <w:t>the Cabinet Office’</w:t>
      </w:r>
      <w:r w:rsidR="00E23B5D" w:rsidRPr="006E16F2">
        <w:t>s S</w:t>
      </w:r>
      <w:r w:rsidR="004D04D4" w:rsidRPr="006E16F2">
        <w:t>upplier</w:t>
      </w:r>
      <w:r w:rsidR="00E23B5D" w:rsidRPr="006E16F2">
        <w:t>s’ G</w:t>
      </w:r>
      <w:r w:rsidR="004D04D4" w:rsidRPr="006E16F2">
        <w:t xml:space="preserve">roup network </w:t>
      </w:r>
      <w:r w:rsidR="004E2CB4" w:rsidRPr="006E16F2">
        <w:t>to help</w:t>
      </w:r>
      <w:r w:rsidR="00B72381" w:rsidRPr="006E16F2">
        <w:t xml:space="preserve"> </w:t>
      </w:r>
      <w:r w:rsidR="004E2CB4" w:rsidRPr="006E16F2">
        <w:t xml:space="preserve">them </w:t>
      </w:r>
      <w:r w:rsidR="00B72381" w:rsidRPr="006E16F2">
        <w:t xml:space="preserve">prepare </w:t>
      </w:r>
      <w:r w:rsidR="004E2CB4" w:rsidRPr="006E16F2">
        <w:t>to support you</w:t>
      </w:r>
      <w:r w:rsidR="00B72381" w:rsidRPr="006E16F2">
        <w:t xml:space="preserve"> in managing the impact of the GDPR on your delivery of well</w:t>
      </w:r>
      <w:r w:rsidR="004D04D4" w:rsidRPr="006E16F2">
        <w:t>-</w:t>
      </w:r>
      <w:r w:rsidR="00B72381" w:rsidRPr="006E16F2">
        <w:t xml:space="preserve">run </w:t>
      </w:r>
      <w:r w:rsidR="004D04D4" w:rsidRPr="006E16F2">
        <w:t>elections</w:t>
      </w:r>
      <w:r w:rsidR="00B72381" w:rsidRPr="006E16F2">
        <w:t xml:space="preserve"> and electoral registration</w:t>
      </w:r>
      <w:r w:rsidRPr="006E16F2">
        <w:t>.</w:t>
      </w:r>
    </w:p>
    <w:p w14:paraId="3A15FF06" w14:textId="0D184B7D" w:rsidR="00E9120C" w:rsidRDefault="00504585" w:rsidP="00B72381">
      <w:pPr>
        <w:pStyle w:val="Paranumber"/>
        <w:tabs>
          <w:tab w:val="num" w:pos="567"/>
        </w:tabs>
        <w:ind w:left="0" w:firstLine="0"/>
        <w:rPr>
          <w:noProof/>
        </w:rPr>
      </w:pPr>
      <w:r w:rsidRPr="006E16F2">
        <w:t xml:space="preserve"> </w:t>
      </w:r>
      <w:r w:rsidR="007C3C55" w:rsidRPr="006E16F2">
        <w:t xml:space="preserve">This </w:t>
      </w:r>
      <w:r w:rsidR="00535B65" w:rsidRPr="006E16F2">
        <w:t>resource</w:t>
      </w:r>
      <w:r w:rsidR="007C3C55" w:rsidRPr="006E16F2">
        <w:t xml:space="preserve"> will be updated to take account of </w:t>
      </w:r>
      <w:r w:rsidR="00A51823" w:rsidRPr="006E16F2">
        <w:t xml:space="preserve">emerging </w:t>
      </w:r>
      <w:r w:rsidR="007C3C55" w:rsidRPr="006E16F2">
        <w:t>examples of good p</w:t>
      </w:r>
      <w:r w:rsidR="00BB741E" w:rsidRPr="006E16F2">
        <w:t>ractice.  It should be read alongside</w:t>
      </w:r>
      <w:r w:rsidR="007C3C55" w:rsidRPr="006E16F2">
        <w:t xml:space="preserve"> our </w:t>
      </w:r>
      <w:r w:rsidR="00BB741E" w:rsidRPr="006E16F2">
        <w:t xml:space="preserve">core </w:t>
      </w:r>
      <w:r w:rsidR="007C3C55" w:rsidRPr="006E16F2">
        <w:t xml:space="preserve">guidance for </w:t>
      </w:r>
      <w:hyperlink r:id="rId18" w:history="1">
        <w:r w:rsidR="007C3C55" w:rsidRPr="0022761E">
          <w:rPr>
            <w:rStyle w:val="Hyperlink"/>
          </w:rPr>
          <w:t>EROs and ROs</w:t>
        </w:r>
      </w:hyperlink>
      <w:r w:rsidR="007C3C55" w:rsidRPr="006E16F2">
        <w:t>.</w:t>
      </w:r>
    </w:p>
    <w:p w14:paraId="191ED8C7" w14:textId="77777777" w:rsidR="006E3851" w:rsidRDefault="006E3851" w:rsidP="006E3851">
      <w:pPr>
        <w:pStyle w:val="Paranumber"/>
        <w:numPr>
          <w:ilvl w:val="0"/>
          <w:numId w:val="0"/>
        </w:numPr>
        <w:tabs>
          <w:tab w:val="clear" w:pos="567"/>
        </w:tabs>
        <w:rPr>
          <w:noProof/>
        </w:rPr>
      </w:pPr>
    </w:p>
    <w:p w14:paraId="4C56781C" w14:textId="57DC124F" w:rsidR="00377F40" w:rsidRDefault="00377F40" w:rsidP="006E3851">
      <w:pPr>
        <w:pStyle w:val="Paranumber"/>
        <w:numPr>
          <w:ilvl w:val="0"/>
          <w:numId w:val="0"/>
        </w:numPr>
        <w:tabs>
          <w:tab w:val="clear" w:pos="567"/>
        </w:tabs>
        <w:rPr>
          <w:noProof/>
        </w:rPr>
      </w:pPr>
    </w:p>
    <w:p w14:paraId="30B7482D" w14:textId="77777777" w:rsidR="0022761E" w:rsidRDefault="0022761E" w:rsidP="006E3851">
      <w:pPr>
        <w:pStyle w:val="Paranumber"/>
        <w:numPr>
          <w:ilvl w:val="0"/>
          <w:numId w:val="0"/>
        </w:numPr>
        <w:tabs>
          <w:tab w:val="clear" w:pos="567"/>
        </w:tabs>
        <w:rPr>
          <w:noProof/>
        </w:rPr>
      </w:pPr>
    </w:p>
    <w:p w14:paraId="53BE2BF0" w14:textId="77777777" w:rsidR="00377F40" w:rsidRPr="006E16F2" w:rsidRDefault="00377F40" w:rsidP="006E3851">
      <w:pPr>
        <w:pStyle w:val="Paranumber"/>
        <w:numPr>
          <w:ilvl w:val="0"/>
          <w:numId w:val="0"/>
        </w:numPr>
        <w:tabs>
          <w:tab w:val="clear" w:pos="567"/>
        </w:tabs>
        <w:rPr>
          <w:noProof/>
        </w:rPr>
      </w:pPr>
    </w:p>
    <w:p w14:paraId="2D935CE2" w14:textId="77777777" w:rsidR="007C3C55" w:rsidRPr="006E16F2" w:rsidRDefault="007C3C55" w:rsidP="00606802">
      <w:pPr>
        <w:pStyle w:val="Chapterhead"/>
      </w:pPr>
      <w:bookmarkStart w:id="4" w:name="_Toc504999065"/>
      <w:bookmarkStart w:id="5" w:name="_Toc505006024"/>
      <w:bookmarkStart w:id="6" w:name="_Toc505850139"/>
      <w:bookmarkStart w:id="7" w:name="_Toc71537483"/>
      <w:bookmarkStart w:id="8" w:name="Controller"/>
      <w:r w:rsidRPr="006E16F2">
        <w:lastRenderedPageBreak/>
        <w:t>Data controllers</w:t>
      </w:r>
      <w:bookmarkEnd w:id="4"/>
      <w:bookmarkEnd w:id="5"/>
      <w:bookmarkEnd w:id="6"/>
      <w:bookmarkEnd w:id="7"/>
    </w:p>
    <w:p w14:paraId="0AE23029" w14:textId="40793B0D" w:rsidR="00AA2406" w:rsidRPr="00AA2406" w:rsidRDefault="00AA2406" w:rsidP="00606802">
      <w:pPr>
        <w:pStyle w:val="B-head"/>
        <w:rPr>
          <w:rFonts w:cs="Times New Roman"/>
        </w:rPr>
      </w:pPr>
      <w:bookmarkStart w:id="9" w:name="_Toc71537484"/>
      <w:bookmarkEnd w:id="8"/>
      <w:r>
        <w:t>Registering as a data controller</w:t>
      </w:r>
      <w:bookmarkEnd w:id="9"/>
    </w:p>
    <w:p w14:paraId="2D935CE3" w14:textId="4DFC4C05" w:rsidR="007C3C55" w:rsidRPr="006E16F2" w:rsidRDefault="007C3C55" w:rsidP="007C3C55">
      <w:pPr>
        <w:pStyle w:val="Paranumber"/>
        <w:tabs>
          <w:tab w:val="num" w:pos="567"/>
        </w:tabs>
        <w:ind w:left="0" w:firstLine="0"/>
      </w:pPr>
      <w:r w:rsidRPr="006E16F2">
        <w:rPr>
          <w:rFonts w:cs="Arial"/>
        </w:rPr>
        <w:t xml:space="preserve">EROs and ROs have a statutory duty to process certain personal data to maintain the electoral register and for the purpose of administering an election. As such, </w:t>
      </w:r>
      <w:r w:rsidR="00F323B9">
        <w:rPr>
          <w:rFonts w:cs="Arial"/>
        </w:rPr>
        <w:t xml:space="preserve">in line with current data protection legislation </w:t>
      </w:r>
      <w:r w:rsidRPr="006E16F2">
        <w:rPr>
          <w:rFonts w:cs="Arial"/>
        </w:rPr>
        <w:t xml:space="preserve">they </w:t>
      </w:r>
      <w:r w:rsidR="00F323B9">
        <w:rPr>
          <w:rFonts w:cs="Arial"/>
        </w:rPr>
        <w:t xml:space="preserve">are acting </w:t>
      </w:r>
      <w:r w:rsidRPr="006E16F2">
        <w:rPr>
          <w:rFonts w:cs="Arial"/>
        </w:rPr>
        <w:t>as ‘</w:t>
      </w:r>
      <w:r w:rsidRPr="006E16F2">
        <w:rPr>
          <w:rFonts w:cs="Arial"/>
          <w:b/>
        </w:rPr>
        <w:t>data controllers</w:t>
      </w:r>
      <w:r w:rsidRPr="006E16F2">
        <w:rPr>
          <w:rFonts w:cs="Arial"/>
        </w:rPr>
        <w:t>’.</w:t>
      </w:r>
    </w:p>
    <w:p w14:paraId="7850C2C0" w14:textId="55036BBA" w:rsidR="00FB625A" w:rsidRPr="006E16F2" w:rsidRDefault="00D10FC0" w:rsidP="007C3C55">
      <w:pPr>
        <w:pStyle w:val="Paranumber"/>
        <w:tabs>
          <w:tab w:val="num" w:pos="567"/>
        </w:tabs>
        <w:ind w:left="0" w:firstLine="0"/>
      </w:pPr>
      <w:r>
        <w:rPr>
          <w:rFonts w:cs="Arial"/>
        </w:rPr>
        <w:t>D</w:t>
      </w:r>
      <w:r w:rsidR="007C3C55" w:rsidRPr="006E16F2">
        <w:rPr>
          <w:rFonts w:cs="Arial"/>
        </w:rPr>
        <w:t xml:space="preserve">ata controllers </w:t>
      </w:r>
      <w:r>
        <w:rPr>
          <w:rFonts w:cs="Arial"/>
        </w:rPr>
        <w:t>are</w:t>
      </w:r>
      <w:r w:rsidRPr="006E16F2">
        <w:rPr>
          <w:rFonts w:cs="Arial"/>
        </w:rPr>
        <w:t xml:space="preserve"> </w:t>
      </w:r>
      <w:r w:rsidR="007C3C55" w:rsidRPr="006E16F2">
        <w:rPr>
          <w:rFonts w:cs="Arial"/>
        </w:rPr>
        <w:t>required to register with the Information Commissioner’s Office (ICO)</w:t>
      </w:r>
      <w:r>
        <w:rPr>
          <w:rStyle w:val="FootnoteReference"/>
          <w:rFonts w:cs="Arial"/>
        </w:rPr>
        <w:footnoteReference w:id="3"/>
      </w:r>
      <w:r w:rsidR="007C3C55" w:rsidRPr="006E16F2">
        <w:rPr>
          <w:rFonts w:cs="Arial"/>
        </w:rPr>
        <w:t xml:space="preserve">.  </w:t>
      </w:r>
    </w:p>
    <w:p w14:paraId="2D935CE4" w14:textId="7260EAE4" w:rsidR="007C3C55" w:rsidRPr="001E1979" w:rsidRDefault="0078360C" w:rsidP="007C3C55">
      <w:pPr>
        <w:pStyle w:val="Paranumber"/>
        <w:tabs>
          <w:tab w:val="num" w:pos="567"/>
        </w:tabs>
        <w:ind w:left="0" w:firstLine="0"/>
      </w:pPr>
      <w:r w:rsidRPr="006E16F2">
        <w:rPr>
          <w:rFonts w:cs="Arial"/>
        </w:rPr>
        <w:t xml:space="preserve">Advice from the ICO is that </w:t>
      </w:r>
      <w:r w:rsidR="0005663D" w:rsidRPr="006E16F2">
        <w:rPr>
          <w:rFonts w:cs="Arial"/>
          <w:b/>
        </w:rPr>
        <w:t xml:space="preserve">all data </w:t>
      </w:r>
      <w:r w:rsidR="007138E6" w:rsidRPr="006E16F2">
        <w:rPr>
          <w:rFonts w:cs="Arial"/>
          <w:b/>
        </w:rPr>
        <w:t>c</w:t>
      </w:r>
      <w:r w:rsidRPr="006E16F2">
        <w:rPr>
          <w:rFonts w:cs="Arial"/>
          <w:b/>
        </w:rPr>
        <w:t xml:space="preserve">ontrollers </w:t>
      </w:r>
      <w:r w:rsidR="00FB625A" w:rsidRPr="006E16F2">
        <w:rPr>
          <w:rFonts w:cs="Arial"/>
          <w:b/>
        </w:rPr>
        <w:t>will need to ensure that they are registered.</w:t>
      </w:r>
      <w:r w:rsidR="0043527B" w:rsidRPr="006E16F2">
        <w:rPr>
          <w:rFonts w:cs="Arial"/>
          <w:b/>
        </w:rPr>
        <w:t xml:space="preserve">  </w:t>
      </w:r>
      <w:r w:rsidR="0043527B" w:rsidRPr="006E16F2">
        <w:rPr>
          <w:rFonts w:cs="Arial"/>
        </w:rPr>
        <w:t>This means that EROs and ROs must be registered separately to their council.</w:t>
      </w:r>
      <w:r w:rsidR="00850D0B">
        <w:rPr>
          <w:rFonts w:cs="Arial"/>
        </w:rPr>
        <w:t xml:space="preserve"> </w:t>
      </w:r>
      <w:r w:rsidR="00706706">
        <w:rPr>
          <w:rFonts w:cs="Arial"/>
        </w:rPr>
        <w:t>The ICO have advised that where the ERO and the RO are the same person, one registration</w:t>
      </w:r>
      <w:r w:rsidR="003E493F">
        <w:rPr>
          <w:rFonts w:cs="Arial"/>
        </w:rPr>
        <w:t xml:space="preserve"> can cover both roles.</w:t>
      </w:r>
      <w:r w:rsidR="00850D0B">
        <w:rPr>
          <w:rFonts w:cs="Arial"/>
        </w:rPr>
        <w:t xml:space="preserve"> </w:t>
      </w:r>
      <w:r w:rsidR="00566171">
        <w:rPr>
          <w:rFonts w:cs="Arial"/>
        </w:rPr>
        <w:t xml:space="preserve">The ICO have also confirmed that </w:t>
      </w:r>
      <w:r w:rsidR="003D3290">
        <w:rPr>
          <w:rFonts w:cs="Arial"/>
        </w:rPr>
        <w:t xml:space="preserve">where you have an additional role </w:t>
      </w:r>
      <w:r w:rsidR="00566171">
        <w:rPr>
          <w:rFonts w:cs="Arial"/>
        </w:rPr>
        <w:t>a</w:t>
      </w:r>
      <w:r w:rsidR="003D3290">
        <w:rPr>
          <w:rFonts w:cs="Arial"/>
        </w:rPr>
        <w:t>s a</w:t>
      </w:r>
      <w:r w:rsidR="00566171">
        <w:rPr>
          <w:rFonts w:cs="Arial"/>
        </w:rPr>
        <w:t xml:space="preserve"> Regional RO, Police Area RO, Combined authority RO etc</w:t>
      </w:r>
      <w:r w:rsidR="00303184">
        <w:rPr>
          <w:rFonts w:cs="Arial"/>
        </w:rPr>
        <w:t>.</w:t>
      </w:r>
      <w:r w:rsidR="00566171">
        <w:rPr>
          <w:rFonts w:cs="Arial"/>
        </w:rPr>
        <w:t xml:space="preserve"> </w:t>
      </w:r>
      <w:r w:rsidR="003D3290">
        <w:rPr>
          <w:rFonts w:cs="Arial"/>
        </w:rPr>
        <w:t>one registration can be used</w:t>
      </w:r>
      <w:r w:rsidR="00BC7E09">
        <w:rPr>
          <w:rFonts w:cs="Arial"/>
        </w:rPr>
        <w:t xml:space="preserve"> for all titles</w:t>
      </w:r>
      <w:r w:rsidR="003D3290">
        <w:rPr>
          <w:rFonts w:cs="Arial"/>
        </w:rPr>
        <w:t xml:space="preserve"> </w:t>
      </w:r>
      <w:r w:rsidR="00566171">
        <w:rPr>
          <w:rFonts w:cs="Arial"/>
        </w:rPr>
        <w:t>but this needs to be included in the ‘name’ of the</w:t>
      </w:r>
      <w:r w:rsidR="00850D0B">
        <w:rPr>
          <w:rFonts w:cs="Arial"/>
        </w:rPr>
        <w:t xml:space="preserve"> organisation when registering.</w:t>
      </w:r>
      <w:r w:rsidR="00566171">
        <w:rPr>
          <w:rFonts w:cs="Arial"/>
        </w:rPr>
        <w:t xml:space="preserve"> </w:t>
      </w:r>
      <w:r w:rsidR="003D3290">
        <w:rPr>
          <w:rFonts w:cs="Arial"/>
        </w:rPr>
        <w:t xml:space="preserve">In Scotland, </w:t>
      </w:r>
      <w:r w:rsidR="00566171">
        <w:rPr>
          <w:rFonts w:cs="Arial"/>
        </w:rPr>
        <w:t>where the ERO and the Assessor are the same person</w:t>
      </w:r>
      <w:r w:rsidR="003D3290">
        <w:rPr>
          <w:rFonts w:cs="Arial"/>
        </w:rPr>
        <w:t xml:space="preserve">, the </w:t>
      </w:r>
      <w:r w:rsidR="00566171">
        <w:rPr>
          <w:rFonts w:cs="Arial"/>
        </w:rPr>
        <w:t xml:space="preserve">ICO have advised that one registration can </w:t>
      </w:r>
      <w:r w:rsidR="003D3290">
        <w:rPr>
          <w:rFonts w:cs="Arial"/>
        </w:rPr>
        <w:t xml:space="preserve">also </w:t>
      </w:r>
      <w:r w:rsidR="00566171">
        <w:rPr>
          <w:rFonts w:cs="Arial"/>
        </w:rPr>
        <w:t xml:space="preserve">cover both roles, but both </w:t>
      </w:r>
      <w:r w:rsidR="00BC7E09">
        <w:rPr>
          <w:rFonts w:cs="Arial"/>
        </w:rPr>
        <w:t>titles</w:t>
      </w:r>
      <w:r w:rsidR="00566171">
        <w:rPr>
          <w:rFonts w:cs="Arial"/>
        </w:rPr>
        <w:t xml:space="preserve"> </w:t>
      </w:r>
      <w:r w:rsidR="003D3290">
        <w:rPr>
          <w:rFonts w:cs="Arial"/>
        </w:rPr>
        <w:t xml:space="preserve">need to be </w:t>
      </w:r>
      <w:r w:rsidR="00566171">
        <w:rPr>
          <w:rFonts w:cs="Arial"/>
        </w:rPr>
        <w:t>included in the ‘name’ of the organisation when registering.</w:t>
      </w:r>
    </w:p>
    <w:p w14:paraId="6DF70E2B" w14:textId="4312C8D9" w:rsidR="001E1979" w:rsidRDefault="001E1979" w:rsidP="00B07DA7">
      <w:pPr>
        <w:pStyle w:val="Paranumber"/>
        <w:tabs>
          <w:tab w:val="num" w:pos="567"/>
        </w:tabs>
        <w:ind w:left="0" w:firstLine="0"/>
      </w:pPr>
      <w:r>
        <w:t xml:space="preserve">In relation to the fee to register as a data controller, the ICO have provided further guidance on their </w:t>
      </w:r>
      <w:hyperlink r:id="rId19" w:history="1">
        <w:r w:rsidRPr="003E493F">
          <w:rPr>
            <w:rStyle w:val="Hyperlink"/>
          </w:rPr>
          <w:t>website</w:t>
        </w:r>
      </w:hyperlink>
      <w:r>
        <w:t>, including examples of ho</w:t>
      </w:r>
      <w:r w:rsidR="00850D0B">
        <w:t>w the fee should be calculated.</w:t>
      </w:r>
      <w:r>
        <w:t xml:space="preserve"> It should be noted that when calculating the number of staff you employ, this should be determined </w:t>
      </w:r>
      <w:r w:rsidRPr="003E493F">
        <w:t>pro rata, i.e. evened out throughout the year.</w:t>
      </w:r>
      <w:r>
        <w:t xml:space="preserve"> </w:t>
      </w:r>
      <w:r w:rsidRPr="003E493F">
        <w:t xml:space="preserve">For example, if </w:t>
      </w:r>
      <w:r>
        <w:t>you are a</w:t>
      </w:r>
      <w:r w:rsidRPr="003E493F">
        <w:t xml:space="preserve">n RO </w:t>
      </w:r>
      <w:r w:rsidR="005521CE">
        <w:t xml:space="preserve">and you only </w:t>
      </w:r>
      <w:r w:rsidRPr="003E493F">
        <w:t xml:space="preserve">employ </w:t>
      </w:r>
      <w:r w:rsidR="005521CE">
        <w:t xml:space="preserve">staff </w:t>
      </w:r>
      <w:r w:rsidRPr="003E493F">
        <w:t>in April</w:t>
      </w:r>
      <w:r w:rsidR="00B07DA7">
        <w:t xml:space="preserve"> and </w:t>
      </w:r>
      <w:r w:rsidRPr="003E493F">
        <w:t xml:space="preserve">May </w:t>
      </w:r>
      <w:r w:rsidR="005521CE">
        <w:t xml:space="preserve">to administer </w:t>
      </w:r>
      <w:r w:rsidRPr="003E493F">
        <w:t xml:space="preserve">an election, </w:t>
      </w:r>
      <w:r w:rsidR="005521CE">
        <w:t xml:space="preserve">the total staff employed in April and May </w:t>
      </w:r>
      <w:r w:rsidRPr="003E493F">
        <w:t xml:space="preserve">would need to be apportioned throughout the year to determine the number </w:t>
      </w:r>
      <w:r>
        <w:t>of staff you employ</w:t>
      </w:r>
      <w:r w:rsidRPr="003E493F">
        <w:t>. As such, it is likely that the fee would always fall into the lower category.</w:t>
      </w:r>
      <w:r>
        <w:t xml:space="preserve"> </w:t>
      </w:r>
      <w:r w:rsidR="00B07DA7">
        <w:t xml:space="preserve">If you are using a joint registration as ERO/RO, you will need to be </w:t>
      </w:r>
      <w:r w:rsidRPr="00BA5D9C">
        <w:t xml:space="preserve">careful when calculating </w:t>
      </w:r>
      <w:r w:rsidR="00AA2406">
        <w:t xml:space="preserve">the number of staff </w:t>
      </w:r>
      <w:r w:rsidRPr="00BA5D9C">
        <w:t>since you will need to consider the total staff across both functions.</w:t>
      </w:r>
    </w:p>
    <w:p w14:paraId="2390A81B" w14:textId="701680DF" w:rsidR="00566171" w:rsidRDefault="00566171" w:rsidP="00B07DA7">
      <w:pPr>
        <w:pStyle w:val="Paranumber"/>
        <w:tabs>
          <w:tab w:val="num" w:pos="567"/>
        </w:tabs>
        <w:ind w:left="0" w:firstLine="0"/>
      </w:pPr>
      <w:r>
        <w:t>Questions in relation to registering as a data controller should be directed towards the ICO.</w:t>
      </w:r>
    </w:p>
    <w:p w14:paraId="1C101858" w14:textId="177BEDF7" w:rsidR="00AA2406" w:rsidRPr="006E16F2" w:rsidRDefault="00AA2406" w:rsidP="00606802">
      <w:pPr>
        <w:pStyle w:val="B-head"/>
      </w:pPr>
      <w:bookmarkStart w:id="10" w:name="_Toc71537485"/>
      <w:r>
        <w:t>Appointing a data protection officer</w:t>
      </w:r>
      <w:bookmarkEnd w:id="10"/>
    </w:p>
    <w:p w14:paraId="02A54C74" w14:textId="01EE7BE4" w:rsidR="00DD2E41" w:rsidRDefault="006F7453" w:rsidP="00DD2E41">
      <w:pPr>
        <w:pStyle w:val="Paranumber"/>
        <w:ind w:left="0" w:firstLine="0"/>
      </w:pPr>
      <w:r>
        <w:t>A</w:t>
      </w:r>
      <w:r w:rsidR="007C3C55" w:rsidRPr="006E16F2">
        <w:t xml:space="preserve"> “public authority” must appoint a d</w:t>
      </w:r>
      <w:r w:rsidR="00377F40">
        <w:t xml:space="preserve">ata protection officer (DPO) to </w:t>
      </w:r>
      <w:r w:rsidR="0022761E">
        <w:t>advice</w:t>
      </w:r>
      <w:r w:rsidR="00850D0B">
        <w:t xml:space="preserve"> on data protection issues.</w:t>
      </w:r>
      <w:r w:rsidR="007C3C55" w:rsidRPr="006E16F2">
        <w:t xml:space="preserve"> As ERO or RO, you are not </w:t>
      </w:r>
      <w:r w:rsidR="00B423AF">
        <w:t xml:space="preserve">currently </w:t>
      </w:r>
      <w:r w:rsidR="007C3C55" w:rsidRPr="006E16F2">
        <w:t xml:space="preserve">included in the definition of a “public authority” contained in Schedule 1 to the Freedom of Information Act 2000 and are therefore </w:t>
      </w:r>
      <w:r w:rsidR="007C3C55" w:rsidRPr="006E16F2">
        <w:rPr>
          <w:b/>
        </w:rPr>
        <w:t>not</w:t>
      </w:r>
      <w:r w:rsidR="007C3C55" w:rsidRPr="006E16F2">
        <w:t xml:space="preserve"> required to appoint a DPO</w:t>
      </w:r>
      <w:r w:rsidR="00BB741E" w:rsidRPr="006E16F2">
        <w:t xml:space="preserve"> for the conduct of your duties</w:t>
      </w:r>
      <w:r w:rsidR="00B423AF">
        <w:t>.  However, you can choose to appoint a DPO if you wish.</w:t>
      </w:r>
      <w:r w:rsidR="007C3C55" w:rsidRPr="006E16F2">
        <w:t xml:space="preserve"> </w:t>
      </w:r>
      <w:r w:rsidR="00B423AF">
        <w:t>Y</w:t>
      </w:r>
      <w:r w:rsidR="007C3C55" w:rsidRPr="006E16F2">
        <w:t xml:space="preserve">our </w:t>
      </w:r>
      <w:r w:rsidR="0005663D" w:rsidRPr="006E16F2">
        <w:t xml:space="preserve">appointing </w:t>
      </w:r>
      <w:r w:rsidR="007C3C55" w:rsidRPr="006E16F2">
        <w:t xml:space="preserve">council </w:t>
      </w:r>
      <w:r w:rsidR="007C3C55" w:rsidRPr="006E16F2">
        <w:lastRenderedPageBreak/>
        <w:t>must have a DPO in place</w:t>
      </w:r>
      <w:r w:rsidR="0043527B" w:rsidRPr="006E16F2">
        <w:t xml:space="preserve"> and you should liaise with them over good practice in relation to data protection</w:t>
      </w:r>
      <w:r w:rsidR="007C3C55" w:rsidRPr="006E16F2">
        <w:t>.</w:t>
      </w:r>
      <w:bookmarkStart w:id="11" w:name="_Toc504999066"/>
      <w:bookmarkStart w:id="12" w:name="_Toc505006025"/>
      <w:bookmarkStart w:id="13" w:name="_Toc505850140"/>
      <w:bookmarkStart w:id="14" w:name="Accountability"/>
    </w:p>
    <w:p w14:paraId="6ED3E2BC" w14:textId="1A72ABB3" w:rsidR="00F649E9" w:rsidRPr="006E16F2" w:rsidRDefault="00F649E9" w:rsidP="00606802">
      <w:pPr>
        <w:pStyle w:val="B-head"/>
        <w:rPr>
          <w:rFonts w:cs="Times New Roman"/>
        </w:rPr>
      </w:pPr>
      <w:bookmarkStart w:id="15" w:name="_Toc71537486"/>
      <w:r w:rsidRPr="006E16F2">
        <w:t>Accountability and transparency</w:t>
      </w:r>
      <w:bookmarkEnd w:id="11"/>
      <w:bookmarkEnd w:id="12"/>
      <w:bookmarkEnd w:id="13"/>
      <w:bookmarkEnd w:id="15"/>
    </w:p>
    <w:bookmarkEnd w:id="14"/>
    <w:p w14:paraId="463F205E" w14:textId="39C5CFDC" w:rsidR="00F649E9" w:rsidRPr="006E16F2" w:rsidRDefault="00F649E9" w:rsidP="007C3C55">
      <w:pPr>
        <w:pStyle w:val="Paranumber"/>
        <w:numPr>
          <w:ilvl w:val="1"/>
          <w:numId w:val="3"/>
        </w:numPr>
        <w:tabs>
          <w:tab w:val="num" w:pos="567"/>
        </w:tabs>
        <w:ind w:left="0" w:firstLine="0"/>
      </w:pPr>
      <w:r w:rsidRPr="006E16F2">
        <w:t xml:space="preserve">A key element of </w:t>
      </w:r>
      <w:r w:rsidR="008A3574">
        <w:t>current data protection legislation</w:t>
      </w:r>
      <w:r w:rsidR="008A3574" w:rsidRPr="006E16F2">
        <w:t xml:space="preserve"> </w:t>
      </w:r>
      <w:r w:rsidRPr="006E16F2">
        <w:t xml:space="preserve">is the focus on </w:t>
      </w:r>
      <w:r w:rsidRPr="006E16F2">
        <w:rPr>
          <w:b/>
        </w:rPr>
        <w:t>accountability and transparency</w:t>
      </w:r>
      <w:r w:rsidRPr="006E16F2">
        <w:t xml:space="preserve"> when processing personal data. You must be able to </w:t>
      </w:r>
      <w:r w:rsidRPr="006E16F2">
        <w:rPr>
          <w:b/>
        </w:rPr>
        <w:t>demonstrate</w:t>
      </w:r>
      <w:r w:rsidRPr="006E16F2">
        <w:t xml:space="preserve"> that you comply with your obligations</w:t>
      </w:r>
      <w:r w:rsidR="00D10FC0">
        <w:t xml:space="preserve"> as a data controller</w:t>
      </w:r>
      <w:r w:rsidRPr="006E16F2">
        <w:t>, ensuring that personal data is processed lawfully, fairly and in a transparent manner.  The key to achieving this is to have and maintain written plans and records to provide an audit trail.</w:t>
      </w:r>
    </w:p>
    <w:p w14:paraId="54A642A6" w14:textId="577BF1F3" w:rsidR="00323C07" w:rsidRPr="006E16F2" w:rsidRDefault="00C21295" w:rsidP="009E7C08">
      <w:pPr>
        <w:pStyle w:val="Paranumber"/>
        <w:numPr>
          <w:ilvl w:val="1"/>
          <w:numId w:val="3"/>
        </w:numPr>
        <w:tabs>
          <w:tab w:val="num" w:pos="567"/>
        </w:tabs>
        <w:ind w:left="0" w:firstLine="0"/>
      </w:pPr>
      <w:r>
        <w:t>Y</w:t>
      </w:r>
      <w:r w:rsidR="009E7C08" w:rsidRPr="006E16F2">
        <w:t>ou will have</w:t>
      </w:r>
      <w:r>
        <w:t xml:space="preserve"> developed</w:t>
      </w:r>
      <w:r w:rsidR="009E7C08" w:rsidRPr="006E16F2">
        <w:t xml:space="preserve"> registration and election plans, and associated risk registers, that outline your processes and the safe</w:t>
      </w:r>
      <w:r w:rsidR="00850D0B">
        <w:t xml:space="preserve">guards that you have in place. </w:t>
      </w:r>
      <w:r>
        <w:t>Y</w:t>
      </w:r>
      <w:r w:rsidR="00F649E9" w:rsidRPr="006E16F2">
        <w:t xml:space="preserve">ou will need to </w:t>
      </w:r>
      <w:r w:rsidR="006F7453">
        <w:t xml:space="preserve">keep these </w:t>
      </w:r>
      <w:r w:rsidR="00FE15A1">
        <w:t xml:space="preserve">documents </w:t>
      </w:r>
      <w:r w:rsidR="006F7453">
        <w:t xml:space="preserve">under </w:t>
      </w:r>
      <w:r w:rsidR="00F649E9" w:rsidRPr="006E16F2">
        <w:t xml:space="preserve">review to ensure data protection remains integral and </w:t>
      </w:r>
      <w:r w:rsidR="009E7C08" w:rsidRPr="006E16F2">
        <w:t xml:space="preserve">that </w:t>
      </w:r>
      <w:r w:rsidR="00F649E9" w:rsidRPr="006E16F2">
        <w:t>they are compliant</w:t>
      </w:r>
      <w:r w:rsidR="008A3574">
        <w:t xml:space="preserve"> with current</w:t>
      </w:r>
      <w:r w:rsidR="001914C9">
        <w:t xml:space="preserve"> data protection</w:t>
      </w:r>
      <w:r w:rsidR="008A3574">
        <w:t xml:space="preserve"> legislation</w:t>
      </w:r>
      <w:r w:rsidR="006F7453">
        <w:t>.</w:t>
      </w:r>
      <w:r w:rsidR="00F649E9" w:rsidRPr="006E16F2">
        <w:t xml:space="preserve"> </w:t>
      </w:r>
      <w:r w:rsidR="006F7453">
        <w:t>T</w:t>
      </w:r>
      <w:r w:rsidR="00F649E9" w:rsidRPr="006E16F2">
        <w:t xml:space="preserve">hey will provide a sound basis for you to meet your obligations </w:t>
      </w:r>
      <w:r w:rsidR="008A3574">
        <w:t>as a data processer</w:t>
      </w:r>
      <w:r w:rsidR="00850D0B">
        <w:t xml:space="preserve">. </w:t>
      </w:r>
      <w:r w:rsidR="00F649E9" w:rsidRPr="006E16F2">
        <w:t>However, you are also likely to need to implement</w:t>
      </w:r>
      <w:r>
        <w:t xml:space="preserve"> </w:t>
      </w:r>
      <w:r w:rsidR="00F649E9" w:rsidRPr="006E16F2">
        <w:t xml:space="preserve">further demonstrable processes to show </w:t>
      </w:r>
      <w:r w:rsidR="009E7C08" w:rsidRPr="006E16F2">
        <w:t xml:space="preserve">that </w:t>
      </w:r>
      <w:r w:rsidR="00F649E9" w:rsidRPr="006E16F2">
        <w:t>you are processing personal data lawfully, fairly</w:t>
      </w:r>
      <w:r w:rsidR="009E7C08" w:rsidRPr="006E16F2">
        <w:t xml:space="preserve"> and in a transparent manner. </w:t>
      </w:r>
    </w:p>
    <w:p w14:paraId="0975D314" w14:textId="3F22C17B" w:rsidR="00323C07" w:rsidRPr="006E16F2" w:rsidRDefault="00CE1AB3" w:rsidP="00E5704E">
      <w:pPr>
        <w:pStyle w:val="Paranumber"/>
        <w:ind w:left="0" w:firstLine="0"/>
      </w:pPr>
      <w:r w:rsidRPr="006E16F2">
        <w:t xml:space="preserve"> We have produced a</w:t>
      </w:r>
      <w:r w:rsidR="00D018BB">
        <w:t xml:space="preserve"> </w:t>
      </w:r>
      <w:hyperlink r:id="rId20" w:history="1">
        <w:r w:rsidR="00D018BB" w:rsidRPr="00D018BB">
          <w:rPr>
            <w:rStyle w:val="Hyperlink"/>
          </w:rPr>
          <w:t>cover sheet for the inspection of the register</w:t>
        </w:r>
      </w:hyperlink>
      <w:r w:rsidRPr="006E16F2">
        <w:t xml:space="preserve"> which sets out how it may be used and the penalty for misuse</w:t>
      </w:r>
      <w:r w:rsidRPr="006E16F2">
        <w:rPr>
          <w:rFonts w:cs="Arial"/>
        </w:rPr>
        <w:t>.</w:t>
      </w:r>
    </w:p>
    <w:p w14:paraId="2AE3D877" w14:textId="30364EBC" w:rsidR="009E7C08" w:rsidRPr="006E16F2" w:rsidRDefault="00102172" w:rsidP="009E7C08">
      <w:pPr>
        <w:pStyle w:val="Paranumber"/>
        <w:numPr>
          <w:ilvl w:val="1"/>
          <w:numId w:val="3"/>
        </w:numPr>
        <w:tabs>
          <w:tab w:val="num" w:pos="567"/>
        </w:tabs>
        <w:ind w:left="0" w:firstLine="0"/>
      </w:pPr>
      <w:r w:rsidRPr="006E16F2">
        <w:t>Records should also be maintained of every person or organisation supplied with</w:t>
      </w:r>
      <w:r w:rsidR="008A3574">
        <w:t xml:space="preserve"> the electoral register and </w:t>
      </w:r>
      <w:r w:rsidRPr="006E16F2">
        <w:t>absent voting lists</w:t>
      </w:r>
      <w:r w:rsidR="008A3574">
        <w:t>,</w:t>
      </w:r>
      <w:r w:rsidR="009E7C08" w:rsidRPr="006E16F2">
        <w:t xml:space="preserve"> not just those who pay to receive it.  </w:t>
      </w:r>
      <w:r w:rsidR="00CE1AB3" w:rsidRPr="006E16F2">
        <w:t xml:space="preserve">You should ensure that </w:t>
      </w:r>
      <w:r w:rsidR="009E7C08" w:rsidRPr="006E16F2">
        <w:t xml:space="preserve"> every person/organisation </w:t>
      </w:r>
      <w:r w:rsidR="00CE1AB3" w:rsidRPr="006E16F2">
        <w:t xml:space="preserve">receiving the register, whether on publication, by sale, or on request, is aware </w:t>
      </w:r>
      <w:r w:rsidR="009E7C08" w:rsidRPr="006E16F2">
        <w:t>that:</w:t>
      </w:r>
    </w:p>
    <w:p w14:paraId="01F40C8D" w14:textId="69461A88" w:rsidR="009E7C08" w:rsidRPr="006E16F2" w:rsidRDefault="009E7C08" w:rsidP="009E7C08">
      <w:pPr>
        <w:pStyle w:val="Bulletpoints"/>
        <w:numPr>
          <w:ilvl w:val="0"/>
          <w:numId w:val="2"/>
        </w:numPr>
        <w:ind w:left="567" w:hanging="567"/>
      </w:pPr>
      <w:r w:rsidRPr="006E16F2">
        <w:t xml:space="preserve">they </w:t>
      </w:r>
      <w:r w:rsidR="00CE1AB3" w:rsidRPr="006E16F2">
        <w:t xml:space="preserve">must </w:t>
      </w:r>
      <w:r w:rsidRPr="006E16F2">
        <w:t>only use the register for the purpose(s) specified in the Regulations permitting its supply</w:t>
      </w:r>
    </w:p>
    <w:p w14:paraId="0A921CFF" w14:textId="4174CD9D" w:rsidR="009E7C08" w:rsidRPr="006E16F2" w:rsidRDefault="009E7C08" w:rsidP="009E7C08">
      <w:pPr>
        <w:pStyle w:val="Bulletpoints"/>
        <w:numPr>
          <w:ilvl w:val="0"/>
          <w:numId w:val="2"/>
        </w:numPr>
        <w:ind w:left="567" w:hanging="567"/>
      </w:pPr>
      <w:r w:rsidRPr="006E16F2">
        <w:t xml:space="preserve">once the purpose for which the register has been supplied has expired, they </w:t>
      </w:r>
      <w:r w:rsidR="00CE1AB3" w:rsidRPr="006E16F2">
        <w:t xml:space="preserve">must </w:t>
      </w:r>
      <w:r w:rsidRPr="006E16F2">
        <w:t>securely destroy the register</w:t>
      </w:r>
    </w:p>
    <w:p w14:paraId="226F16B7" w14:textId="77777777" w:rsidR="009E7C08" w:rsidRPr="006E16F2" w:rsidRDefault="009E7C08" w:rsidP="009E7C08">
      <w:pPr>
        <w:pStyle w:val="Bulletpoints"/>
        <w:numPr>
          <w:ilvl w:val="0"/>
          <w:numId w:val="2"/>
        </w:numPr>
        <w:ind w:left="567" w:hanging="567"/>
      </w:pPr>
      <w:r w:rsidRPr="006E16F2">
        <w:t>they understand penalty for misuse of the register</w:t>
      </w:r>
    </w:p>
    <w:p w14:paraId="1B4623D2" w14:textId="77777777" w:rsidR="009E7C08" w:rsidRPr="006E16F2" w:rsidRDefault="009E7C08" w:rsidP="009E7C08">
      <w:pPr>
        <w:pStyle w:val="Bulletpoints"/>
        <w:numPr>
          <w:ilvl w:val="0"/>
          <w:numId w:val="0"/>
        </w:numPr>
        <w:ind w:left="567"/>
      </w:pPr>
    </w:p>
    <w:p w14:paraId="7346F90C" w14:textId="0BEC34F6" w:rsidR="009E7C08" w:rsidRPr="006E16F2" w:rsidRDefault="007B0D09" w:rsidP="009E7C08">
      <w:pPr>
        <w:pStyle w:val="Paranumber"/>
        <w:numPr>
          <w:ilvl w:val="1"/>
          <w:numId w:val="3"/>
        </w:numPr>
        <w:ind w:left="0" w:firstLine="0"/>
      </w:pPr>
      <w:r w:rsidRPr="006E16F2">
        <w:t xml:space="preserve">The information suggested above is included in the </w:t>
      </w:r>
      <w:r w:rsidR="001D099B" w:rsidRPr="006E16F2">
        <w:t xml:space="preserve">cover sheets </w:t>
      </w:r>
      <w:r w:rsidRPr="006E16F2">
        <w:t xml:space="preserve">we have made available </w:t>
      </w:r>
      <w:r w:rsidR="001D099B" w:rsidRPr="006E16F2">
        <w:t xml:space="preserve">for the </w:t>
      </w:r>
      <w:hyperlink r:id="rId21" w:history="1">
        <w:r w:rsidR="001D099B" w:rsidRPr="006E16F2">
          <w:rPr>
            <w:rStyle w:val="Hyperlink"/>
          </w:rPr>
          <w:t>sale</w:t>
        </w:r>
      </w:hyperlink>
      <w:r w:rsidR="001D099B" w:rsidRPr="006E16F2">
        <w:t xml:space="preserve"> and </w:t>
      </w:r>
      <w:hyperlink r:id="rId22" w:history="1">
        <w:r w:rsidR="001D099B" w:rsidRPr="006E16F2">
          <w:rPr>
            <w:rStyle w:val="Hyperlink"/>
          </w:rPr>
          <w:t>supply on request</w:t>
        </w:r>
      </w:hyperlink>
      <w:r w:rsidR="001D099B" w:rsidRPr="006E16F2">
        <w:t xml:space="preserve"> of the electoral register</w:t>
      </w:r>
      <w:r w:rsidR="00A259D1" w:rsidRPr="006E16F2">
        <w:t>.</w:t>
      </w:r>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7C3C55" w:rsidRPr="006E16F2" w14:paraId="2D935CE8" w14:textId="77777777" w:rsidTr="00AC632C">
        <w:tc>
          <w:tcPr>
            <w:tcW w:w="9606" w:type="dxa"/>
            <w:tcBorders>
              <w:top w:val="single" w:sz="4" w:space="0" w:color="0099CC"/>
              <w:left w:val="single" w:sz="4" w:space="0" w:color="0099CC"/>
              <w:bottom w:val="single" w:sz="4" w:space="0" w:color="0099CC"/>
              <w:right w:val="single" w:sz="4" w:space="0" w:color="0099CC"/>
            </w:tcBorders>
            <w:hideMark/>
          </w:tcPr>
          <w:p w14:paraId="73AA13C0" w14:textId="03D8D105" w:rsidR="00AF0ADC" w:rsidRPr="006E16F2" w:rsidRDefault="007C3C55" w:rsidP="009B3BB8">
            <w:r w:rsidRPr="006E16F2">
              <w:rPr>
                <w:noProof/>
              </w:rPr>
              <w:drawing>
                <wp:anchor distT="0" distB="0" distL="114300" distR="114300" simplePos="0" relativeHeight="251649024" behindDoc="0" locked="0" layoutInCell="1" allowOverlap="1" wp14:anchorId="2D935DF7" wp14:editId="2D935DF8">
                  <wp:simplePos x="0" y="0"/>
                  <wp:positionH relativeFrom="column">
                    <wp:posOffset>-33020</wp:posOffset>
                  </wp:positionH>
                  <wp:positionV relativeFrom="paragraph">
                    <wp:posOffset>6350</wp:posOffset>
                  </wp:positionV>
                  <wp:extent cx="503555" cy="685800"/>
                  <wp:effectExtent l="0" t="0" r="0" b="0"/>
                  <wp:wrapSquare wrapText="bothSides"/>
                  <wp:docPr id="11" name="Picture 11" descr="GD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DP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pic:spPr>
                      </pic:pic>
                    </a:graphicData>
                  </a:graphic>
                  <wp14:sizeRelH relativeFrom="page">
                    <wp14:pctWidth>0</wp14:pctWidth>
                  </wp14:sizeRelH>
                  <wp14:sizeRelV relativeFrom="page">
                    <wp14:pctHeight>0</wp14:pctHeight>
                  </wp14:sizeRelV>
                </wp:anchor>
              </w:drawing>
            </w:r>
            <w:r w:rsidRPr="006E16F2">
              <w:rPr>
                <w:b/>
              </w:rPr>
              <w:t>Action:</w:t>
            </w:r>
            <w:r w:rsidRPr="006E16F2">
              <w:t xml:space="preserve"> If you have not already done so, speak to your council’s data protecti</w:t>
            </w:r>
            <w:r w:rsidR="00850D0B">
              <w:t>on officer/information officer.</w:t>
            </w:r>
            <w:r w:rsidRPr="006E16F2">
              <w:t xml:space="preserve"> </w:t>
            </w:r>
            <w:r w:rsidR="00815F8C">
              <w:t xml:space="preserve">Data protection legislation </w:t>
            </w:r>
            <w:r w:rsidRPr="006E16F2">
              <w:t>impact</w:t>
            </w:r>
            <w:r w:rsidR="00815F8C">
              <w:t>s</w:t>
            </w:r>
            <w:r w:rsidRPr="006E16F2">
              <w:t xml:space="preserve"> on </w:t>
            </w:r>
            <w:r w:rsidR="009B3BB8" w:rsidRPr="006E16F2">
              <w:t>your</w:t>
            </w:r>
            <w:r w:rsidRPr="006E16F2">
              <w:t xml:space="preserve"> </w:t>
            </w:r>
            <w:r w:rsidR="001E66AA" w:rsidRPr="006E16F2">
              <w:t>council</w:t>
            </w:r>
            <w:r w:rsidRPr="006E16F2">
              <w:t xml:space="preserve"> as a whole, so you </w:t>
            </w:r>
            <w:r w:rsidR="001E66AA" w:rsidRPr="006E16F2">
              <w:t>should</w:t>
            </w:r>
            <w:r w:rsidRPr="006E16F2">
              <w:t xml:space="preserve"> not need to address the requirements in isolation.</w:t>
            </w:r>
            <w:r w:rsidR="00AB7547" w:rsidRPr="006E16F2">
              <w:t xml:space="preserve"> You should also utilise the </w:t>
            </w:r>
            <w:hyperlink r:id="rId23" w:history="1">
              <w:r w:rsidR="00AB7547" w:rsidRPr="006E16F2">
                <w:rPr>
                  <w:rStyle w:val="Hyperlink"/>
                </w:rPr>
                <w:t>ICO’s website</w:t>
              </w:r>
            </w:hyperlink>
            <w:r w:rsidR="00AB7547" w:rsidRPr="006E16F2">
              <w:t xml:space="preserve"> which has detailed guidance to support you in meeting your obligations</w:t>
            </w:r>
            <w:r w:rsidR="003E4D21" w:rsidRPr="006E16F2">
              <w:t xml:space="preserve">, including specific guidance on </w:t>
            </w:r>
            <w:hyperlink r:id="rId24" w:history="1">
              <w:r w:rsidR="003E4D21" w:rsidRPr="006E16F2">
                <w:rPr>
                  <w:rStyle w:val="Hyperlink"/>
                </w:rPr>
                <w:t>accountability and transparency</w:t>
              </w:r>
            </w:hyperlink>
            <w:r w:rsidR="00AB7547" w:rsidRPr="006E16F2">
              <w:t>.</w:t>
            </w:r>
          </w:p>
          <w:p w14:paraId="5F0C18B9" w14:textId="77777777" w:rsidR="006B378C" w:rsidRPr="006E16F2" w:rsidRDefault="006B378C" w:rsidP="009B3BB8"/>
          <w:p w14:paraId="2D935CE7" w14:textId="3EC3ABFE" w:rsidR="007C3C55" w:rsidRPr="006E16F2" w:rsidRDefault="00AF0ADC" w:rsidP="009B3BB8">
            <w:r w:rsidRPr="006E16F2">
              <w:rPr>
                <w:b/>
              </w:rPr>
              <w:t xml:space="preserve">Action: </w:t>
            </w:r>
            <w:r w:rsidR="00A259D1" w:rsidRPr="006E16F2">
              <w:t xml:space="preserve">Review all of your processing activities and consider if there are further measures you can put in place to </w:t>
            </w:r>
            <w:r w:rsidR="00A259D1" w:rsidRPr="006E16F2">
              <w:rPr>
                <w:b/>
              </w:rPr>
              <w:t>demonstrate</w:t>
            </w:r>
            <w:r w:rsidR="00A259D1" w:rsidRPr="006E16F2">
              <w:t xml:space="preserve"> that you are processing personal data lawfully, fairly and in a transparent manner.</w:t>
            </w:r>
          </w:p>
        </w:tc>
      </w:tr>
    </w:tbl>
    <w:p w14:paraId="2D935CEA" w14:textId="77777777" w:rsidR="007C3C55" w:rsidRPr="006E16F2" w:rsidRDefault="007C3C55" w:rsidP="007C3C55"/>
    <w:p w14:paraId="1B003170" w14:textId="77777777" w:rsidR="00535B65" w:rsidRDefault="00535B65" w:rsidP="007C3C55"/>
    <w:p w14:paraId="18269BBA" w14:textId="77777777" w:rsidR="000301DD" w:rsidRPr="006E16F2" w:rsidRDefault="000301DD" w:rsidP="00606802">
      <w:pPr>
        <w:pStyle w:val="Chapterhead"/>
      </w:pPr>
      <w:bookmarkStart w:id="16" w:name="_Toc504999067"/>
      <w:bookmarkStart w:id="17" w:name="_Toc505006026"/>
      <w:bookmarkStart w:id="18" w:name="_Toc505850141"/>
      <w:bookmarkStart w:id="19" w:name="_Toc71537487"/>
      <w:bookmarkStart w:id="20" w:name="LawfulBasis"/>
      <w:r w:rsidRPr="006E16F2">
        <w:lastRenderedPageBreak/>
        <w:t>Lawful basis for processing</w:t>
      </w:r>
      <w:bookmarkEnd w:id="16"/>
      <w:bookmarkEnd w:id="17"/>
      <w:bookmarkEnd w:id="18"/>
      <w:bookmarkEnd w:id="19"/>
    </w:p>
    <w:bookmarkEnd w:id="20"/>
    <w:p w14:paraId="1C30F455" w14:textId="1AB2080F" w:rsidR="000301DD" w:rsidRPr="006E16F2" w:rsidRDefault="00912D0F" w:rsidP="000301DD">
      <w:pPr>
        <w:pStyle w:val="Paranumber"/>
        <w:tabs>
          <w:tab w:val="num" w:pos="567"/>
        </w:tabs>
        <w:ind w:left="0" w:firstLine="0"/>
      </w:pPr>
      <w:r w:rsidRPr="006E16F2">
        <w:t>For the processing of personal data to be lawful, it must be processed on a ‘lawful basis’</w:t>
      </w:r>
      <w:r w:rsidR="00815F8C">
        <w:rPr>
          <w:rStyle w:val="FootnoteReference"/>
        </w:rPr>
        <w:footnoteReference w:id="4"/>
      </w:r>
      <w:r w:rsidR="001E66AA" w:rsidRPr="006E16F2">
        <w:t>. T</w:t>
      </w:r>
      <w:r w:rsidRPr="006E16F2">
        <w:t>hese include</w:t>
      </w:r>
      <w:r w:rsidR="000301DD" w:rsidRPr="006E16F2">
        <w:t>:</w:t>
      </w:r>
    </w:p>
    <w:p w14:paraId="1D1A187A" w14:textId="1471E151" w:rsidR="000301DD" w:rsidRPr="006E16F2" w:rsidRDefault="003E4D21" w:rsidP="003E4D21">
      <w:pPr>
        <w:pStyle w:val="Bulletpoints"/>
        <w:ind w:left="567" w:hanging="567"/>
      </w:pPr>
      <w:r w:rsidRPr="006E16F2">
        <w:rPr>
          <w:b/>
        </w:rPr>
        <w:t>Legal obligation</w:t>
      </w:r>
      <w:r w:rsidRPr="006E16F2">
        <w:t>: the processing is necessary to comply with the law (not including contractual obligations)</w:t>
      </w:r>
      <w:r w:rsidR="000301DD" w:rsidRPr="006E16F2">
        <w:t>; or</w:t>
      </w:r>
    </w:p>
    <w:p w14:paraId="7B8073A9" w14:textId="4C3D081A" w:rsidR="00EA31CE" w:rsidRPr="006E16F2" w:rsidRDefault="003E4D21" w:rsidP="008B0607">
      <w:pPr>
        <w:pStyle w:val="Bulletpoints"/>
        <w:ind w:left="567" w:hanging="567"/>
      </w:pPr>
      <w:r w:rsidRPr="006E16F2">
        <w:rPr>
          <w:b/>
        </w:rPr>
        <w:t>Public task</w:t>
      </w:r>
      <w:r w:rsidRPr="006E16F2">
        <w:t xml:space="preserve">: </w:t>
      </w:r>
      <w:r w:rsidR="008B0607" w:rsidRPr="006E16F2">
        <w:t xml:space="preserve">the processing is necessary to perform a task in the public interest or </w:t>
      </w:r>
      <w:r w:rsidR="00891006" w:rsidRPr="006E16F2">
        <w:t>in the exercise of o</w:t>
      </w:r>
      <w:r w:rsidR="008B0607" w:rsidRPr="006E16F2">
        <w:t xml:space="preserve">fficial </w:t>
      </w:r>
      <w:r w:rsidR="00891006" w:rsidRPr="006E16F2">
        <w:t>authority vested in you as the data controller</w:t>
      </w:r>
      <w:r w:rsidR="008B0607" w:rsidRPr="006E16F2">
        <w:t xml:space="preserve">; </w:t>
      </w:r>
      <w:r w:rsidRPr="006E16F2">
        <w:t>or</w:t>
      </w:r>
    </w:p>
    <w:p w14:paraId="53170455" w14:textId="77777777" w:rsidR="00C66A3A" w:rsidRPr="006E16F2" w:rsidRDefault="003E4D21" w:rsidP="00C66A3A">
      <w:pPr>
        <w:pStyle w:val="Bulletpoints"/>
        <w:ind w:left="567" w:hanging="567"/>
      </w:pPr>
      <w:r w:rsidRPr="006E16F2">
        <w:rPr>
          <w:b/>
        </w:rPr>
        <w:t>Legitimate interests</w:t>
      </w:r>
      <w:r w:rsidRPr="006E16F2">
        <w:t>: the processing is necessary for your legitimate interests or the legitimate interests of a third party unless there is a good reason to protect the individual’s personal data which overrides those legitimate interests. (This cannot apply if you are a public authority processing data to perform your official tasks)</w:t>
      </w:r>
      <w:r w:rsidR="008B0607" w:rsidRPr="006E16F2">
        <w:t>; or</w:t>
      </w:r>
    </w:p>
    <w:p w14:paraId="5DA7526D" w14:textId="67839907" w:rsidR="008B0607" w:rsidRPr="006E16F2" w:rsidRDefault="003E4D21" w:rsidP="00C66A3A">
      <w:pPr>
        <w:pStyle w:val="Bulletpoints"/>
        <w:ind w:left="567" w:hanging="567"/>
      </w:pPr>
      <w:r w:rsidRPr="006E16F2">
        <w:rPr>
          <w:b/>
        </w:rPr>
        <w:t>Consent</w:t>
      </w:r>
      <w:r w:rsidRPr="006E16F2">
        <w:t>: the individual has given clear consent for you to process their personal data for a specific purpose</w:t>
      </w:r>
      <w:r w:rsidR="000301DD" w:rsidRPr="006E16F2">
        <w:t>.</w:t>
      </w:r>
      <w:r w:rsidR="0041635C" w:rsidRPr="006E16F2">
        <w:t xml:space="preserve"> </w:t>
      </w:r>
      <w:r w:rsidR="004D04D4" w:rsidRPr="006E16F2">
        <w:t xml:space="preserve">For further information </w:t>
      </w:r>
      <w:r w:rsidR="0005648C" w:rsidRPr="006E16F2">
        <w:t xml:space="preserve">see the ICO’s </w:t>
      </w:r>
      <w:hyperlink r:id="rId25" w:history="1">
        <w:r w:rsidR="0005648C" w:rsidRPr="006E16F2">
          <w:rPr>
            <w:rStyle w:val="Hyperlink"/>
          </w:rPr>
          <w:t>guidance on consent</w:t>
        </w:r>
      </w:hyperlink>
      <w:r w:rsidR="004D04D4" w:rsidRPr="006E16F2">
        <w:t>.</w:t>
      </w:r>
    </w:p>
    <w:p w14:paraId="25CE614B" w14:textId="77777777" w:rsidR="004D04D4" w:rsidRPr="006E16F2" w:rsidRDefault="004D04D4" w:rsidP="008B0607">
      <w:pPr>
        <w:pStyle w:val="Bulletpoints"/>
        <w:numPr>
          <w:ilvl w:val="0"/>
          <w:numId w:val="0"/>
        </w:numPr>
        <w:ind w:left="567"/>
      </w:pPr>
    </w:p>
    <w:p w14:paraId="74C731A5" w14:textId="797A3B63" w:rsidR="00903819" w:rsidRPr="006E16F2" w:rsidRDefault="000301DD" w:rsidP="009B173C">
      <w:pPr>
        <w:pStyle w:val="Paranumber"/>
        <w:numPr>
          <w:ilvl w:val="1"/>
          <w:numId w:val="3"/>
        </w:numPr>
        <w:tabs>
          <w:tab w:val="num" w:pos="567"/>
        </w:tabs>
        <w:ind w:left="0" w:firstLine="0"/>
      </w:pPr>
      <w:r w:rsidRPr="006E16F2">
        <w:t xml:space="preserve">Processing without a lawful basis runs the risk of </w:t>
      </w:r>
      <w:r w:rsidR="007921B0" w:rsidRPr="006E16F2">
        <w:t xml:space="preserve">enforcement activity, including </w:t>
      </w:r>
      <w:r w:rsidRPr="006E16F2">
        <w:t>substantial fines</w:t>
      </w:r>
      <w:r w:rsidR="007921B0" w:rsidRPr="006E16F2">
        <w:t xml:space="preserve">, by </w:t>
      </w:r>
      <w:r w:rsidRPr="006E16F2">
        <w:t>the ICO (see ‘</w:t>
      </w:r>
      <w:hyperlink w:anchor="Breaches" w:history="1">
        <w:r w:rsidRPr="006E16F2">
          <w:rPr>
            <w:rStyle w:val="Hyperlink"/>
          </w:rPr>
          <w:t>Breaches and sanctions</w:t>
        </w:r>
      </w:hyperlink>
      <w:r w:rsidRPr="006E16F2">
        <w:t>’ for further information).</w:t>
      </w:r>
      <w:r w:rsidR="00903819" w:rsidRPr="006E16F2">
        <w:t xml:space="preserve">  </w:t>
      </w:r>
    </w:p>
    <w:p w14:paraId="75B3FF72" w14:textId="619F3E63" w:rsidR="004D04D4" w:rsidRPr="006E16F2" w:rsidRDefault="004D04D4" w:rsidP="004D04D4">
      <w:pPr>
        <w:pStyle w:val="Paranumber"/>
        <w:tabs>
          <w:tab w:val="clear" w:pos="567"/>
          <w:tab w:val="left" w:pos="0"/>
        </w:tabs>
        <w:ind w:left="0" w:firstLine="0"/>
      </w:pPr>
      <w:r w:rsidRPr="006E16F2">
        <w:t xml:space="preserve">In the main, the </w:t>
      </w:r>
      <w:r w:rsidR="00DC1430">
        <w:t xml:space="preserve">ICO have advised that the </w:t>
      </w:r>
      <w:r w:rsidRPr="006E16F2">
        <w:t>processing of personal data by EROs/ROs is likely to fall under the ‘lawful basis’ that it is ‘necessary for the performance of a task carried out in the public interest or in the exercise of the official authority vested in the controller</w:t>
      </w:r>
      <w:r w:rsidR="00441670">
        <w:t>’</w:t>
      </w:r>
      <w:r w:rsidRPr="006E16F2">
        <w:t>.</w:t>
      </w:r>
    </w:p>
    <w:p w14:paraId="7C35FC33" w14:textId="07CCE042" w:rsidR="0014608F" w:rsidRDefault="00903819" w:rsidP="0014608F">
      <w:pPr>
        <w:pStyle w:val="Paranumber"/>
        <w:tabs>
          <w:tab w:val="num" w:pos="567"/>
        </w:tabs>
        <w:ind w:left="0" w:firstLine="0"/>
      </w:pPr>
      <w:r w:rsidRPr="006E16F2">
        <w:t xml:space="preserve">It is for you to determine what the lawful basis for processing </w:t>
      </w:r>
      <w:r w:rsidR="00F51FD1" w:rsidRPr="006E16F2">
        <w:t xml:space="preserve">the data </w:t>
      </w:r>
      <w:r w:rsidRPr="006E16F2">
        <w:t>is</w:t>
      </w:r>
      <w:r w:rsidR="008A0213" w:rsidRPr="006E16F2">
        <w:t>, and to document your approach</w:t>
      </w:r>
      <w:r w:rsidRPr="006E16F2">
        <w:t xml:space="preserve">. </w:t>
      </w:r>
      <w:r w:rsidR="00A33416" w:rsidRPr="006E16F2">
        <w:t xml:space="preserve">You must clearly set out in your </w:t>
      </w:r>
      <w:hyperlink w:anchor="PrivacyNotice" w:history="1">
        <w:r w:rsidR="00A33416" w:rsidRPr="006E16F2">
          <w:rPr>
            <w:rStyle w:val="Hyperlink"/>
          </w:rPr>
          <w:t>privacy notice</w:t>
        </w:r>
      </w:hyperlink>
      <w:r w:rsidR="00A33416" w:rsidRPr="006E16F2">
        <w:t xml:space="preserve"> which </w:t>
      </w:r>
      <w:r w:rsidR="00E60484" w:rsidRPr="006E16F2">
        <w:t>lawful</w:t>
      </w:r>
      <w:r w:rsidR="00A33416" w:rsidRPr="006E16F2">
        <w:t xml:space="preserve"> basis you are rel</w:t>
      </w:r>
      <w:r w:rsidR="00891006" w:rsidRPr="006E16F2">
        <w:t>y</w:t>
      </w:r>
      <w:r w:rsidR="00A33416" w:rsidRPr="006E16F2">
        <w:t xml:space="preserve">ing on for processing and cite the relevant UK law where applicable. </w:t>
      </w:r>
      <w:r w:rsidR="000123B9">
        <w:t>You</w:t>
      </w:r>
      <w:r w:rsidR="00B423AF">
        <w:t xml:space="preserve"> may rely on more than one legal basis</w:t>
      </w:r>
      <w:r w:rsidR="000123B9">
        <w:t xml:space="preserve"> if </w:t>
      </w:r>
      <w:r w:rsidR="00DC1430">
        <w:t xml:space="preserve">you consider it </w:t>
      </w:r>
      <w:r w:rsidR="000123B9">
        <w:t>appropriate</w:t>
      </w:r>
      <w:r w:rsidR="000115D1">
        <w:t>.</w:t>
      </w:r>
    </w:p>
    <w:p w14:paraId="732BC57E" w14:textId="3E19293D" w:rsidR="00A33416" w:rsidRPr="006E16F2" w:rsidRDefault="0014608F" w:rsidP="0014608F">
      <w:pPr>
        <w:pStyle w:val="Paranumber"/>
        <w:tabs>
          <w:tab w:val="num" w:pos="567"/>
        </w:tabs>
        <w:ind w:left="0" w:firstLine="0"/>
      </w:pPr>
      <w:r w:rsidRPr="006E16F2">
        <w:t xml:space="preserve">We have provided examples below of lawful processing based on processing to perform a public task </w:t>
      </w:r>
      <w:r w:rsidRPr="0014608F">
        <w:rPr>
          <w:rFonts w:cs="Arial"/>
        </w:rPr>
        <w:t>vested in you by UK law.</w:t>
      </w:r>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0301DD" w:rsidRPr="006E16F2" w14:paraId="0E3DCF4A" w14:textId="77777777" w:rsidTr="00AC632C">
        <w:tc>
          <w:tcPr>
            <w:tcW w:w="9606" w:type="dxa"/>
            <w:tcBorders>
              <w:top w:val="single" w:sz="4" w:space="0" w:color="0099CC"/>
              <w:left w:val="single" w:sz="4" w:space="0" w:color="0099CC"/>
              <w:bottom w:val="single" w:sz="4" w:space="0" w:color="0099CC"/>
              <w:right w:val="single" w:sz="4" w:space="0" w:color="0099CC"/>
            </w:tcBorders>
            <w:hideMark/>
          </w:tcPr>
          <w:p w14:paraId="3978208F" w14:textId="77777777" w:rsidR="000301DD" w:rsidRPr="006E16F2" w:rsidRDefault="000301DD" w:rsidP="00B010EF">
            <w:r w:rsidRPr="006E16F2">
              <w:rPr>
                <w:noProof/>
              </w:rPr>
              <w:drawing>
                <wp:anchor distT="0" distB="0" distL="114300" distR="114300" simplePos="0" relativeHeight="251660288" behindDoc="0" locked="0" layoutInCell="1" allowOverlap="1" wp14:anchorId="00EED2AD" wp14:editId="6514DFD5">
                  <wp:simplePos x="0" y="0"/>
                  <wp:positionH relativeFrom="column">
                    <wp:posOffset>-33020</wp:posOffset>
                  </wp:positionH>
                  <wp:positionV relativeFrom="paragraph">
                    <wp:posOffset>6350</wp:posOffset>
                  </wp:positionV>
                  <wp:extent cx="503555" cy="685800"/>
                  <wp:effectExtent l="0" t="0" r="0" b="0"/>
                  <wp:wrapSquare wrapText="bothSides"/>
                  <wp:docPr id="9" name="Picture 9" descr="GD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P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pic:spPr>
                      </pic:pic>
                    </a:graphicData>
                  </a:graphic>
                  <wp14:sizeRelH relativeFrom="page">
                    <wp14:pctWidth>0</wp14:pctWidth>
                  </wp14:sizeRelH>
                  <wp14:sizeRelV relativeFrom="page">
                    <wp14:pctHeight>0</wp14:pctHeight>
                  </wp14:sizeRelV>
                </wp:anchor>
              </w:drawing>
            </w:r>
            <w:r w:rsidRPr="006E16F2">
              <w:rPr>
                <w:b/>
              </w:rPr>
              <w:t>Action</w:t>
            </w:r>
            <w:r w:rsidRPr="006E16F2">
              <w:t xml:space="preserve">: Undertake an audit of </w:t>
            </w:r>
            <w:r w:rsidRPr="006E16F2">
              <w:rPr>
                <w:b/>
              </w:rPr>
              <w:t>all</w:t>
            </w:r>
            <w:r w:rsidRPr="006E16F2">
              <w:t xml:space="preserve"> the personal data that you collect to determine the lawful basis on which you are collecting/processing it.</w:t>
            </w:r>
          </w:p>
          <w:p w14:paraId="5085D940" w14:textId="77777777" w:rsidR="006B378C" w:rsidRPr="006E16F2" w:rsidRDefault="006B378C" w:rsidP="00B010EF"/>
          <w:p w14:paraId="07FCF489" w14:textId="7FC6A9DE" w:rsidR="006B378C" w:rsidRPr="006E16F2" w:rsidRDefault="006B378C" w:rsidP="00B010EF"/>
        </w:tc>
      </w:tr>
    </w:tbl>
    <w:p w14:paraId="7446011A" w14:textId="77777777" w:rsidR="000301DD" w:rsidRPr="006E16F2" w:rsidRDefault="000301DD" w:rsidP="000301DD"/>
    <w:p w14:paraId="3CA53DA1" w14:textId="6DC6A4EE" w:rsidR="000301DD" w:rsidRPr="006E16F2" w:rsidRDefault="00B539C0" w:rsidP="00606802">
      <w:pPr>
        <w:pStyle w:val="B-head"/>
      </w:pPr>
      <w:bookmarkStart w:id="21" w:name="_Toc71537488"/>
      <w:bookmarkStart w:id="22" w:name="PublicTask"/>
      <w:r w:rsidRPr="006E16F2">
        <w:t>Processing for the performance of a public task</w:t>
      </w:r>
      <w:bookmarkEnd w:id="21"/>
      <w:r w:rsidRPr="006E16F2">
        <w:t xml:space="preserve"> </w:t>
      </w:r>
    </w:p>
    <w:bookmarkEnd w:id="22"/>
    <w:p w14:paraId="3C30A90B" w14:textId="3762D207" w:rsidR="00937BE5" w:rsidRPr="006E16F2" w:rsidRDefault="00937BE5" w:rsidP="00B539C0">
      <w:pPr>
        <w:pStyle w:val="Paranumber"/>
        <w:tabs>
          <w:tab w:val="num" w:pos="567"/>
        </w:tabs>
        <w:ind w:left="0" w:firstLine="0"/>
      </w:pPr>
      <w:r w:rsidRPr="006E16F2">
        <w:rPr>
          <w:rFonts w:cs="Arial"/>
        </w:rPr>
        <w:t xml:space="preserve">This lawful basis covers public functions and </w:t>
      </w:r>
      <w:r w:rsidR="00B539C0" w:rsidRPr="006E16F2">
        <w:rPr>
          <w:rFonts w:cs="Arial"/>
        </w:rPr>
        <w:t>powers</w:t>
      </w:r>
      <w:r w:rsidRPr="006E16F2">
        <w:rPr>
          <w:rFonts w:cs="Arial"/>
        </w:rPr>
        <w:t xml:space="preserve"> that are set out in UK law or the performance of specific tasks </w:t>
      </w:r>
      <w:r w:rsidR="00B539C0" w:rsidRPr="006E16F2">
        <w:rPr>
          <w:rFonts w:cs="Arial"/>
        </w:rPr>
        <w:t>in the public int</w:t>
      </w:r>
      <w:r w:rsidR="00850D0B">
        <w:rPr>
          <w:rFonts w:cs="Arial"/>
        </w:rPr>
        <w:t xml:space="preserve">erest, also set out in UK law. </w:t>
      </w:r>
    </w:p>
    <w:p w14:paraId="6F0EEE25" w14:textId="33D486FE" w:rsidR="007B7D6D" w:rsidRPr="006E16F2" w:rsidRDefault="000301DD" w:rsidP="00A11D61">
      <w:pPr>
        <w:pStyle w:val="Paranumber"/>
        <w:tabs>
          <w:tab w:val="num" w:pos="567"/>
        </w:tabs>
        <w:ind w:left="0" w:firstLine="0"/>
      </w:pPr>
      <w:bookmarkStart w:id="23" w:name="_Ref506386294"/>
      <w:r w:rsidRPr="006E16F2">
        <w:rPr>
          <w:rFonts w:cs="Arial"/>
        </w:rPr>
        <w:t>For example, Regulation 26 of the Representation of the People Regulations 2001 (RPR 2001) sets out the requirements for an application to register</w:t>
      </w:r>
      <w:r w:rsidR="00D20921" w:rsidRPr="006E16F2">
        <w:rPr>
          <w:rFonts w:cs="Arial"/>
        </w:rPr>
        <w:t>,</w:t>
      </w:r>
      <w:r w:rsidRPr="006E16F2">
        <w:rPr>
          <w:rFonts w:cs="Arial"/>
        </w:rPr>
        <w:t xml:space="preserve"> requiring </w:t>
      </w:r>
      <w:r w:rsidRPr="006E16F2">
        <w:rPr>
          <w:rFonts w:cs="Arial"/>
        </w:rPr>
        <w:lastRenderedPageBreak/>
        <w:t>an ERO to process National Insurance numbers and dates of birth as part of the application.</w:t>
      </w:r>
      <w:r w:rsidR="00D20921" w:rsidRPr="006E16F2">
        <w:rPr>
          <w:rFonts w:cs="Arial"/>
        </w:rPr>
        <w:t xml:space="preserve"> </w:t>
      </w:r>
      <w:r w:rsidR="003B0944" w:rsidRPr="006E16F2">
        <w:rPr>
          <w:rFonts w:cs="Arial"/>
        </w:rPr>
        <w:t xml:space="preserve">This is part of the ERO’s overall statutory </w:t>
      </w:r>
      <w:r w:rsidR="00D20921" w:rsidRPr="006E16F2">
        <w:rPr>
          <w:rFonts w:cs="Arial"/>
        </w:rPr>
        <w:t xml:space="preserve">duty </w:t>
      </w:r>
      <w:r w:rsidR="003B0944" w:rsidRPr="006E16F2">
        <w:rPr>
          <w:rFonts w:cs="Arial"/>
        </w:rPr>
        <w:t xml:space="preserve">to </w:t>
      </w:r>
      <w:r w:rsidR="00D20921" w:rsidRPr="006E16F2">
        <w:rPr>
          <w:rFonts w:cs="Arial"/>
        </w:rPr>
        <w:t>maintain the register of electors</w:t>
      </w:r>
      <w:r w:rsidR="003B0944" w:rsidRPr="006E16F2">
        <w:rPr>
          <w:rFonts w:cs="Arial"/>
        </w:rPr>
        <w:t xml:space="preserve"> under Section 9 of the Representation of the People Act 1983</w:t>
      </w:r>
      <w:r w:rsidR="00735FDF" w:rsidRPr="006E16F2">
        <w:rPr>
          <w:rFonts w:cs="Arial"/>
        </w:rPr>
        <w:t xml:space="preserve"> (RPA 1983)</w:t>
      </w:r>
      <w:r w:rsidR="00D20921" w:rsidRPr="006E16F2">
        <w:rPr>
          <w:rFonts w:cs="Arial"/>
        </w:rPr>
        <w:t>.</w:t>
      </w:r>
      <w:r w:rsidRPr="006E16F2">
        <w:rPr>
          <w:rFonts w:cs="Arial"/>
        </w:rPr>
        <w:t xml:space="preserve">  Similarly, Rule 6 of the Parliamentary Election Rules requires an RO to process personal data relating to a candidate for nomination purposes.</w:t>
      </w:r>
      <w:r w:rsidR="003B0944" w:rsidRPr="006E16F2">
        <w:rPr>
          <w:rFonts w:cs="Arial"/>
        </w:rPr>
        <w:t xml:space="preserve"> This is part of the RO’s overall statutory duty </w:t>
      </w:r>
      <w:r w:rsidR="00735FDF" w:rsidRPr="006E16F2">
        <w:rPr>
          <w:rFonts w:cs="Arial"/>
        </w:rPr>
        <w:t>to administer the election in accordance with the Parliamentary Election Rules under Section 23 of the RPA 1983.</w:t>
      </w:r>
      <w:r w:rsidR="00850D0B">
        <w:rPr>
          <w:rFonts w:cs="Arial"/>
        </w:rPr>
        <w:t xml:space="preserve"> </w:t>
      </w:r>
      <w:r w:rsidRPr="006E16F2">
        <w:rPr>
          <w:rFonts w:cs="Arial"/>
          <w:b/>
        </w:rPr>
        <w:t xml:space="preserve">In these situations, the lawful basis for the processing is </w:t>
      </w:r>
      <w:r w:rsidR="007A63EF" w:rsidRPr="006E16F2">
        <w:rPr>
          <w:rFonts w:cs="Arial"/>
          <w:b/>
        </w:rPr>
        <w:t xml:space="preserve">the performance of a public task (i.e. maintaining the register of electors, and administering the election) in the public interest, as </w:t>
      </w:r>
      <w:r w:rsidRPr="006E16F2">
        <w:rPr>
          <w:rFonts w:cs="Arial"/>
          <w:b/>
        </w:rPr>
        <w:t xml:space="preserve">provided </w:t>
      </w:r>
      <w:r w:rsidR="007A63EF" w:rsidRPr="006E16F2">
        <w:rPr>
          <w:rFonts w:cs="Arial"/>
          <w:b/>
        </w:rPr>
        <w:t xml:space="preserve">for </w:t>
      </w:r>
      <w:r w:rsidRPr="006E16F2">
        <w:rPr>
          <w:rFonts w:cs="Arial"/>
          <w:b/>
        </w:rPr>
        <w:t>in electoral law</w:t>
      </w:r>
      <w:r w:rsidRPr="006E16F2">
        <w:rPr>
          <w:rFonts w:cs="Arial"/>
        </w:rPr>
        <w:t>.</w:t>
      </w:r>
      <w:bookmarkEnd w:id="23"/>
    </w:p>
    <w:p w14:paraId="7B523B41" w14:textId="6F43460A" w:rsidR="000301DD" w:rsidRPr="006E16F2" w:rsidRDefault="000301DD" w:rsidP="000301DD">
      <w:pPr>
        <w:pStyle w:val="Paranumber"/>
        <w:tabs>
          <w:tab w:val="num" w:pos="567"/>
        </w:tabs>
        <w:ind w:left="0" w:firstLine="0"/>
      </w:pPr>
      <w:r w:rsidRPr="006E16F2">
        <w:t xml:space="preserve">You will </w:t>
      </w:r>
      <w:r w:rsidR="003B2707" w:rsidRPr="006E16F2">
        <w:t xml:space="preserve">also </w:t>
      </w:r>
      <w:r w:rsidRPr="006E16F2">
        <w:t xml:space="preserve">need to consider </w:t>
      </w:r>
      <w:r w:rsidR="00A33416" w:rsidRPr="006E16F2">
        <w:t xml:space="preserve">the appropriate </w:t>
      </w:r>
      <w:r w:rsidR="0051412B" w:rsidRPr="006E16F2">
        <w:t>lawful</w:t>
      </w:r>
      <w:r w:rsidR="00A33416" w:rsidRPr="006E16F2">
        <w:t xml:space="preserve"> basis for the processing of personal data not covered by electoral legislation</w:t>
      </w:r>
      <w:r w:rsidR="00850D0B">
        <w:t>.</w:t>
      </w:r>
      <w:r w:rsidRPr="006E16F2">
        <w:t xml:space="preserve"> For example, employment legislation may require you to process personal data relating to the right of polling station staff</w:t>
      </w:r>
      <w:r w:rsidR="001E66AA" w:rsidRPr="006E16F2">
        <w:t xml:space="preserve"> or </w:t>
      </w:r>
      <w:r w:rsidRPr="006E16F2">
        <w:t xml:space="preserve">canvassers to work in the UK. </w:t>
      </w:r>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0301DD" w:rsidRPr="006E16F2" w14:paraId="5F5D0DF4" w14:textId="77777777" w:rsidTr="00AC632C">
        <w:tc>
          <w:tcPr>
            <w:tcW w:w="9606" w:type="dxa"/>
            <w:tcBorders>
              <w:top w:val="single" w:sz="4" w:space="0" w:color="0099CC"/>
              <w:left w:val="single" w:sz="4" w:space="0" w:color="0099CC"/>
              <w:bottom w:val="single" w:sz="4" w:space="0" w:color="0099CC"/>
              <w:right w:val="single" w:sz="4" w:space="0" w:color="0099CC"/>
            </w:tcBorders>
            <w:hideMark/>
          </w:tcPr>
          <w:p w14:paraId="1CB82480" w14:textId="09F7BE8E" w:rsidR="0051412B" w:rsidRPr="006E16F2" w:rsidRDefault="000301DD" w:rsidP="00850D0B">
            <w:r w:rsidRPr="006E16F2">
              <w:rPr>
                <w:noProof/>
              </w:rPr>
              <w:drawing>
                <wp:anchor distT="0" distB="0" distL="114300" distR="114300" simplePos="0" relativeHeight="251661312" behindDoc="0" locked="0" layoutInCell="1" allowOverlap="1" wp14:anchorId="6CDBD5EE" wp14:editId="48AAF1D0">
                  <wp:simplePos x="0" y="0"/>
                  <wp:positionH relativeFrom="column">
                    <wp:posOffset>-33020</wp:posOffset>
                  </wp:positionH>
                  <wp:positionV relativeFrom="paragraph">
                    <wp:posOffset>6350</wp:posOffset>
                  </wp:positionV>
                  <wp:extent cx="503555" cy="685800"/>
                  <wp:effectExtent l="0" t="0" r="0" b="0"/>
                  <wp:wrapSquare wrapText="bothSides"/>
                  <wp:docPr id="8" name="Picture 8" descr="GD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DP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pic:spPr>
                      </pic:pic>
                    </a:graphicData>
                  </a:graphic>
                  <wp14:sizeRelH relativeFrom="page">
                    <wp14:pctWidth>0</wp14:pctWidth>
                  </wp14:sizeRelH>
                  <wp14:sizeRelV relativeFrom="page">
                    <wp14:pctHeight>0</wp14:pctHeight>
                  </wp14:sizeRelV>
                </wp:anchor>
              </w:drawing>
            </w:r>
            <w:r w:rsidRPr="006E16F2">
              <w:rPr>
                <w:b/>
              </w:rPr>
              <w:t>Action</w:t>
            </w:r>
            <w:r w:rsidRPr="006E16F2">
              <w:t xml:space="preserve">: Where you are </w:t>
            </w:r>
            <w:r w:rsidR="0051412B" w:rsidRPr="006E16F2">
              <w:t>processing personal data because it is necessary</w:t>
            </w:r>
            <w:r w:rsidR="0019539D" w:rsidRPr="006E16F2">
              <w:t xml:space="preserve"> for the performance of a public task, </w:t>
            </w:r>
            <w:r w:rsidRPr="006E16F2">
              <w:t>determine and record what th</w:t>
            </w:r>
            <w:r w:rsidR="0019539D" w:rsidRPr="006E16F2">
              <w:t>e basis for that public task is</w:t>
            </w:r>
            <w:r w:rsidRPr="006E16F2">
              <w:t>. This will enable you to demonstrate the lawful basis on which you are processing all personal data.</w:t>
            </w:r>
            <w:r w:rsidR="001E66AA" w:rsidRPr="006E16F2">
              <w:t xml:space="preserve"> The legislative references in the Commission’s guidance for </w:t>
            </w:r>
            <w:hyperlink r:id="rId26" w:history="1">
              <w:r w:rsidR="001E66AA" w:rsidRPr="006E16F2">
                <w:rPr>
                  <w:rStyle w:val="Hyperlink"/>
                </w:rPr>
                <w:t>EROs</w:t>
              </w:r>
            </w:hyperlink>
            <w:r w:rsidR="001E66AA" w:rsidRPr="006E16F2">
              <w:t xml:space="preserve"> and </w:t>
            </w:r>
            <w:hyperlink r:id="rId27" w:history="1">
              <w:r w:rsidR="001E66AA" w:rsidRPr="006E16F2">
                <w:rPr>
                  <w:rStyle w:val="Hyperlink"/>
                </w:rPr>
                <w:t>ROs</w:t>
              </w:r>
            </w:hyperlink>
            <w:r w:rsidR="001E66AA" w:rsidRPr="006E16F2">
              <w:t xml:space="preserve"> may help with this.</w:t>
            </w:r>
          </w:p>
        </w:tc>
      </w:tr>
    </w:tbl>
    <w:p w14:paraId="0FED201C" w14:textId="77777777" w:rsidR="000301DD" w:rsidRPr="006E16F2" w:rsidRDefault="000301DD" w:rsidP="000301DD"/>
    <w:p w14:paraId="130ECB43" w14:textId="77777777" w:rsidR="00A77429" w:rsidRPr="006E16F2" w:rsidRDefault="00A77429" w:rsidP="00606802">
      <w:pPr>
        <w:pStyle w:val="B-head"/>
      </w:pPr>
      <w:bookmarkStart w:id="24" w:name="_Toc504999069"/>
      <w:bookmarkStart w:id="25" w:name="_Toc505006028"/>
      <w:bookmarkStart w:id="26" w:name="_Toc505850145"/>
      <w:bookmarkStart w:id="27" w:name="_Toc71537489"/>
      <w:r w:rsidRPr="006E16F2">
        <w:t>The edited register</w:t>
      </w:r>
      <w:bookmarkEnd w:id="24"/>
      <w:bookmarkEnd w:id="25"/>
      <w:bookmarkEnd w:id="26"/>
      <w:bookmarkEnd w:id="27"/>
    </w:p>
    <w:p w14:paraId="39987327" w14:textId="77777777" w:rsidR="00A77429" w:rsidRPr="006E16F2" w:rsidRDefault="00A77429" w:rsidP="00A77429">
      <w:pPr>
        <w:pStyle w:val="Paranumber"/>
        <w:tabs>
          <w:tab w:val="num" w:pos="567"/>
        </w:tabs>
        <w:ind w:left="0" w:firstLine="0"/>
      </w:pPr>
      <w:r w:rsidRPr="006E16F2">
        <w:t xml:space="preserve">Regulation 93 of the RPR 2001 requires an ERO to publish an edited register.  While electors may ‘opt-out’, EROs are required to include their details in the edited register if they do not do so. </w:t>
      </w:r>
    </w:p>
    <w:p w14:paraId="28866048" w14:textId="4793BE6B" w:rsidR="00A77429" w:rsidRPr="006E16F2" w:rsidRDefault="00A77429" w:rsidP="00A77429">
      <w:pPr>
        <w:pStyle w:val="Paranumber"/>
        <w:ind w:left="0" w:firstLine="0"/>
      </w:pPr>
      <w:r w:rsidRPr="006E16F2">
        <w:t xml:space="preserve">The ICO have confirmed that as legislation provides for a statutory opt-out, coupled with the duties placed on EROs, this means that EROs are processing personal data for inclusion on the edited register on the ‘lawful basis’ that it is necessary to </w:t>
      </w:r>
      <w:r w:rsidR="00A11D61" w:rsidRPr="006E16F2">
        <w:t>perform a</w:t>
      </w:r>
      <w:r w:rsidRPr="006E16F2">
        <w:t xml:space="preserve"> </w:t>
      </w:r>
      <w:r w:rsidR="008C3530" w:rsidRPr="006E16F2">
        <w:t>public task</w:t>
      </w:r>
      <w:r w:rsidRPr="006E16F2">
        <w:t xml:space="preserve">. Therefore the </w:t>
      </w:r>
      <w:r w:rsidR="00815F8C">
        <w:t>data protection</w:t>
      </w:r>
      <w:r w:rsidR="00815F8C" w:rsidRPr="006E16F2">
        <w:t xml:space="preserve"> </w:t>
      </w:r>
      <w:r w:rsidRPr="006E16F2">
        <w:t>conditions for consent will not apply and</w:t>
      </w:r>
      <w:r w:rsidRPr="006E16F2">
        <w:rPr>
          <w:b/>
        </w:rPr>
        <w:t xml:space="preserve"> will not impact on the edited register</w:t>
      </w:r>
      <w:r w:rsidRPr="006E16F2">
        <w:t>.</w:t>
      </w:r>
    </w:p>
    <w:p w14:paraId="1A798987" w14:textId="77777777" w:rsidR="00A77429" w:rsidRPr="006E16F2" w:rsidRDefault="00A77429" w:rsidP="00606802">
      <w:pPr>
        <w:pStyle w:val="B-head"/>
      </w:pPr>
      <w:bookmarkStart w:id="28" w:name="_Toc504999070"/>
      <w:bookmarkStart w:id="29" w:name="_Toc505006029"/>
      <w:bookmarkStart w:id="30" w:name="_Toc505850146"/>
      <w:bookmarkStart w:id="31" w:name="_Toc71537490"/>
      <w:bookmarkStart w:id="32" w:name="Object"/>
      <w:r w:rsidRPr="006E16F2">
        <w:t>Right to object</w:t>
      </w:r>
      <w:bookmarkEnd w:id="28"/>
      <w:bookmarkEnd w:id="29"/>
      <w:bookmarkEnd w:id="30"/>
      <w:bookmarkEnd w:id="31"/>
    </w:p>
    <w:bookmarkEnd w:id="32"/>
    <w:p w14:paraId="6F6B2DBF" w14:textId="25692186" w:rsidR="00CB74D7" w:rsidRPr="006E16F2" w:rsidRDefault="00CB74D7" w:rsidP="000E33A8">
      <w:pPr>
        <w:pStyle w:val="Paranumber"/>
        <w:tabs>
          <w:tab w:val="clear" w:pos="567"/>
        </w:tabs>
        <w:ind w:left="0" w:firstLine="0"/>
      </w:pPr>
      <w:r w:rsidRPr="006E16F2">
        <w:t>Article 21 of the GDPR includes the “right to object</w:t>
      </w:r>
      <w:r w:rsidR="00991DBA" w:rsidRPr="006E16F2">
        <w:t>”</w:t>
      </w:r>
      <w:r w:rsidRPr="006E16F2">
        <w:t xml:space="preserve"> meaning that the data subject can object to the processing of their personal data. This right </w:t>
      </w:r>
      <w:r w:rsidRPr="006E16F2">
        <w:rPr>
          <w:b/>
        </w:rPr>
        <w:t>does</w:t>
      </w:r>
      <w:r w:rsidRPr="006E16F2">
        <w:t xml:space="preserve"> apply when processing is required for the performance of a public task (such as maintaining </w:t>
      </w:r>
      <w:r w:rsidR="001161AB" w:rsidRPr="006E16F2">
        <w:t>the</w:t>
      </w:r>
      <w:r w:rsidRPr="006E16F2">
        <w:t xml:space="preserve"> electoral register). </w:t>
      </w:r>
    </w:p>
    <w:p w14:paraId="16B74791" w14:textId="793F5FAD" w:rsidR="00A77429" w:rsidRPr="006E16F2" w:rsidRDefault="00A77429" w:rsidP="0055393F">
      <w:pPr>
        <w:pStyle w:val="Paranumber"/>
        <w:tabs>
          <w:tab w:val="clear" w:pos="567"/>
        </w:tabs>
        <w:ind w:left="0" w:firstLine="0"/>
      </w:pPr>
      <w:r w:rsidRPr="006E16F2">
        <w:t xml:space="preserve">For example, Regulation 93A of the RPR 2001 prevents an elector from changing their edited register preference on a </w:t>
      </w:r>
      <w:r w:rsidR="008806B2">
        <w:t>canvass communication</w:t>
      </w:r>
      <w:r w:rsidR="00850D0B">
        <w:t xml:space="preserve">. </w:t>
      </w:r>
      <w:r w:rsidRPr="006E16F2">
        <w:t xml:space="preserve">However, if </w:t>
      </w:r>
      <w:r w:rsidR="00071ED9" w:rsidRPr="006E16F2">
        <w:t xml:space="preserve">you receive a response to </w:t>
      </w:r>
      <w:r w:rsidR="008806B2">
        <w:t xml:space="preserve">a canvass communication </w:t>
      </w:r>
      <w:r w:rsidR="00071ED9" w:rsidRPr="006E16F2">
        <w:t xml:space="preserve">and the elector has themselves clearly indicated on the form that they want to be removed from the open register until further notice, you should treat the </w:t>
      </w:r>
      <w:r w:rsidR="008806B2">
        <w:t>canvass</w:t>
      </w:r>
      <w:r w:rsidR="008806B2" w:rsidRPr="006E16F2">
        <w:t xml:space="preserve"> </w:t>
      </w:r>
      <w:r w:rsidR="00071ED9" w:rsidRPr="006E16F2">
        <w:t xml:space="preserve">response as a notice under Article 21 of the GDPR </w:t>
      </w:r>
      <w:r w:rsidRPr="006E16F2">
        <w:t>and amend the register accordingly.  Further information on this process is set out in</w:t>
      </w:r>
      <w:r w:rsidR="008806B2">
        <w:rPr>
          <w:rStyle w:val="Hyperlink"/>
        </w:rPr>
        <w:t xml:space="preserve"> our </w:t>
      </w:r>
      <w:hyperlink r:id="rId28" w:history="1">
        <w:r w:rsidR="008806B2" w:rsidRPr="008806B2">
          <w:rPr>
            <w:rStyle w:val="Hyperlink"/>
          </w:rPr>
          <w:t>guidance for running electoral registration</w:t>
        </w:r>
        <w:r w:rsidRPr="008806B2">
          <w:rPr>
            <w:rStyle w:val="Hyperlink"/>
          </w:rPr>
          <w:t>.</w:t>
        </w:r>
      </w:hyperlink>
    </w:p>
    <w:p w14:paraId="4A98C005" w14:textId="6D782760" w:rsidR="00CB74D7" w:rsidRPr="006E16F2" w:rsidRDefault="00CB74D7" w:rsidP="00241CBF">
      <w:pPr>
        <w:pStyle w:val="Paranumber"/>
        <w:tabs>
          <w:tab w:val="num" w:pos="567"/>
        </w:tabs>
        <w:ind w:left="0" w:firstLine="0"/>
      </w:pPr>
      <w:r w:rsidRPr="006E16F2">
        <w:lastRenderedPageBreak/>
        <w:t xml:space="preserve">The right to object to processing cannot however be applied to information where the collection of or the nature of the processing is specified in electoral law. For example in relation to electoral registration, the data subject can object to the processing of their email or telephone contact details but not to the use of their </w:t>
      </w:r>
      <w:r w:rsidR="00930E01" w:rsidRPr="006E16F2">
        <w:t xml:space="preserve">name or </w:t>
      </w:r>
      <w:r w:rsidRPr="006E16F2">
        <w:t>home address</w:t>
      </w:r>
      <w:r w:rsidR="00930E01" w:rsidRPr="006E16F2">
        <w:t xml:space="preserve"> for the purpose of maintaining the electoral register</w:t>
      </w:r>
      <w:r w:rsidR="00405EDE" w:rsidRPr="006E16F2">
        <w:t>.</w:t>
      </w:r>
    </w:p>
    <w:p w14:paraId="31DB5443" w14:textId="5F91F2E3" w:rsidR="00241CBF" w:rsidRPr="006E16F2" w:rsidRDefault="00241CBF" w:rsidP="00241CBF">
      <w:pPr>
        <w:pStyle w:val="Paranumber"/>
        <w:tabs>
          <w:tab w:val="num" w:pos="567"/>
        </w:tabs>
        <w:ind w:left="0" w:firstLine="0"/>
      </w:pPr>
      <w:r w:rsidRPr="006E16F2">
        <w:t xml:space="preserve">Similarly </w:t>
      </w:r>
      <w:r w:rsidR="00A11D61" w:rsidRPr="006E16F2">
        <w:t>t</w:t>
      </w:r>
      <w:r w:rsidRPr="006E16F2">
        <w:t xml:space="preserve">o demonstrate that you are complying with the principles of processing personal data, ensuring that it is processed lawfully, fairly and in a transparent manner, you should maintain records to detail any request </w:t>
      </w:r>
      <w:r w:rsidR="00A11D61" w:rsidRPr="006E16F2">
        <w:t xml:space="preserve">made under the right to object to processing. </w:t>
      </w:r>
      <w:r w:rsidRPr="006E16F2">
        <w:t>Your Electoral Management Software provider may have the facility to record consent against elector records</w:t>
      </w:r>
      <w:r w:rsidR="00A11D61" w:rsidRPr="006E16F2">
        <w:t xml:space="preserve"> and you should liaise with them to understand how to manage the process in practice</w:t>
      </w:r>
      <w:r w:rsidRPr="006E16F2">
        <w:t>.</w:t>
      </w:r>
    </w:p>
    <w:p w14:paraId="32341C75" w14:textId="04EBFF92" w:rsidR="00241CBF" w:rsidRPr="006E16F2" w:rsidRDefault="00241CBF" w:rsidP="008C3530">
      <w:pPr>
        <w:pStyle w:val="Paranumber"/>
        <w:ind w:left="0" w:firstLine="0"/>
      </w:pPr>
      <w:bookmarkStart w:id="33" w:name="_Ref506887341"/>
      <w:r w:rsidRPr="006E16F2">
        <w:t xml:space="preserve">The </w:t>
      </w:r>
      <w:hyperlink r:id="rId29" w:history="1">
        <w:r w:rsidRPr="00613AB6">
          <w:rPr>
            <w:rStyle w:val="Hyperlink"/>
          </w:rPr>
          <w:t>email invitation to register</w:t>
        </w:r>
      </w:hyperlink>
      <w:r w:rsidRPr="006E16F2">
        <w:t xml:space="preserve"> </w:t>
      </w:r>
      <w:r w:rsidR="00A11D61" w:rsidRPr="006E16F2">
        <w:t xml:space="preserve">(ITR) </w:t>
      </w:r>
      <w:r w:rsidR="0022761E">
        <w:t>that you must use</w:t>
      </w:r>
      <w:r w:rsidRPr="006E16F2">
        <w:t xml:space="preserve"> include</w:t>
      </w:r>
      <w:r w:rsidR="002A6E2F">
        <w:t>s</w:t>
      </w:r>
      <w:r w:rsidRPr="006E16F2">
        <w:t xml:space="preserve"> an unsubscribe option</w:t>
      </w:r>
      <w:r w:rsidR="00A11D61" w:rsidRPr="006E16F2">
        <w:t xml:space="preserve"> to allow electors to make a request under the right to object to the use of their contact information for this purpose.</w:t>
      </w:r>
      <w:r w:rsidRPr="006E16F2">
        <w:t xml:space="preserve"> </w:t>
      </w:r>
      <w:bookmarkEnd w:id="33"/>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241CBF" w:rsidRPr="006E16F2" w14:paraId="3E935FA9" w14:textId="77777777" w:rsidTr="00891006">
        <w:tc>
          <w:tcPr>
            <w:tcW w:w="9606" w:type="dxa"/>
            <w:tcBorders>
              <w:top w:val="single" w:sz="4" w:space="0" w:color="0099CC"/>
              <w:left w:val="single" w:sz="4" w:space="0" w:color="0099CC"/>
              <w:bottom w:val="single" w:sz="4" w:space="0" w:color="0099CC"/>
              <w:right w:val="single" w:sz="4" w:space="0" w:color="0099CC"/>
            </w:tcBorders>
            <w:hideMark/>
          </w:tcPr>
          <w:p w14:paraId="08FFDC56" w14:textId="491DFA5F" w:rsidR="00241CBF" w:rsidRPr="006E16F2" w:rsidRDefault="00241CBF" w:rsidP="00891006">
            <w:r w:rsidRPr="006E16F2">
              <w:rPr>
                <w:noProof/>
              </w:rPr>
              <w:drawing>
                <wp:anchor distT="0" distB="0" distL="114300" distR="114300" simplePos="0" relativeHeight="251667456" behindDoc="0" locked="0" layoutInCell="1" allowOverlap="1" wp14:anchorId="36C9A2BF" wp14:editId="707556BF">
                  <wp:simplePos x="0" y="0"/>
                  <wp:positionH relativeFrom="column">
                    <wp:posOffset>-33020</wp:posOffset>
                  </wp:positionH>
                  <wp:positionV relativeFrom="paragraph">
                    <wp:posOffset>6350</wp:posOffset>
                  </wp:positionV>
                  <wp:extent cx="503555" cy="685800"/>
                  <wp:effectExtent l="0" t="0" r="0" b="0"/>
                  <wp:wrapSquare wrapText="bothSides"/>
                  <wp:docPr id="25" name="Picture 25" descr="GD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DP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pic:spPr>
                      </pic:pic>
                    </a:graphicData>
                  </a:graphic>
                  <wp14:sizeRelH relativeFrom="page">
                    <wp14:pctWidth>0</wp14:pctWidth>
                  </wp14:sizeRelH>
                  <wp14:sizeRelV relativeFrom="page">
                    <wp14:pctHeight>0</wp14:pctHeight>
                  </wp14:sizeRelV>
                </wp:anchor>
              </w:drawing>
            </w:r>
            <w:r w:rsidRPr="006E16F2">
              <w:rPr>
                <w:b/>
              </w:rPr>
              <w:t>Action</w:t>
            </w:r>
            <w:r w:rsidRPr="006E16F2">
              <w:t>: Review your existing email templates and ensure that where you communicate with electors by email, you include an ‘unsubscribe’ option on all emails to allow the data subject to</w:t>
            </w:r>
            <w:r w:rsidR="00A11D61" w:rsidRPr="006E16F2">
              <w:t xml:space="preserve"> object to the use of their contact information for this purpose.</w:t>
            </w:r>
            <w:r w:rsidRPr="006E16F2">
              <w:t xml:space="preserve"> </w:t>
            </w:r>
          </w:p>
          <w:p w14:paraId="143489B3" w14:textId="77777777" w:rsidR="008C3530" w:rsidRPr="006E16F2" w:rsidRDefault="008C3530" w:rsidP="00891006"/>
        </w:tc>
      </w:tr>
    </w:tbl>
    <w:p w14:paraId="230FE4DB" w14:textId="27E5C3EB" w:rsidR="00E60484" w:rsidRPr="006E16F2" w:rsidRDefault="00E60484" w:rsidP="00E60484">
      <w:pPr>
        <w:rPr>
          <w:rFonts w:eastAsiaTheme="minorHAnsi"/>
        </w:rPr>
      </w:pPr>
      <w:bookmarkStart w:id="34" w:name="_Toc504999073"/>
      <w:bookmarkStart w:id="35" w:name="_Toc505006032"/>
      <w:bookmarkStart w:id="36" w:name="_Toc505850147"/>
      <w:bookmarkStart w:id="37" w:name="Forgotten"/>
    </w:p>
    <w:p w14:paraId="43864C2D" w14:textId="27E5C3EB" w:rsidR="003F0271" w:rsidRPr="006E16F2" w:rsidRDefault="003F0271" w:rsidP="00606802">
      <w:pPr>
        <w:pStyle w:val="B-head"/>
      </w:pPr>
      <w:bookmarkStart w:id="38" w:name="_Toc71537491"/>
      <w:r w:rsidRPr="006E16F2">
        <w:t>Right to be forgotten</w:t>
      </w:r>
      <w:bookmarkEnd w:id="34"/>
      <w:bookmarkEnd w:id="35"/>
      <w:bookmarkEnd w:id="36"/>
      <w:bookmarkEnd w:id="38"/>
    </w:p>
    <w:bookmarkEnd w:id="37"/>
    <w:p w14:paraId="16EF1DB3" w14:textId="77777777" w:rsidR="003F0271" w:rsidRPr="006E16F2" w:rsidRDefault="003F0271" w:rsidP="003F0271">
      <w:pPr>
        <w:pStyle w:val="Paranumber"/>
        <w:ind w:left="0" w:firstLine="0"/>
      </w:pPr>
      <w:r w:rsidRPr="006E16F2">
        <w:t>Article 17 of the GDPR introduces the “right to be forgotten” meaning that a data subject can request that you delete their information without “undue delay”.</w:t>
      </w:r>
    </w:p>
    <w:p w14:paraId="6E532A53" w14:textId="6338E05A" w:rsidR="003F0271" w:rsidRPr="006E16F2" w:rsidRDefault="003F0271" w:rsidP="003F0271">
      <w:pPr>
        <w:pStyle w:val="Paranumber"/>
        <w:tabs>
          <w:tab w:val="num" w:pos="567"/>
        </w:tabs>
        <w:ind w:left="0" w:firstLine="0"/>
      </w:pPr>
      <w:r w:rsidRPr="006E16F2">
        <w:t xml:space="preserve">The right to be forgotten does </w:t>
      </w:r>
      <w:r w:rsidRPr="006E16F2">
        <w:rPr>
          <w:b/>
        </w:rPr>
        <w:t>not</w:t>
      </w:r>
      <w:r w:rsidRPr="006E16F2">
        <w:t xml:space="preserve"> apply when processing is required for </w:t>
      </w:r>
      <w:r w:rsidR="00241CBF" w:rsidRPr="006E16F2">
        <w:t>the performance of a public task</w:t>
      </w:r>
      <w:r w:rsidRPr="006E16F2">
        <w:t xml:space="preserve"> </w:t>
      </w:r>
      <w:r w:rsidR="007339FA" w:rsidRPr="006E16F2">
        <w:t xml:space="preserve">(such as the maintaining of electoral registers) </w:t>
      </w:r>
      <w:r w:rsidRPr="006E16F2">
        <w:t>or where it is necessary for archival in the public interest.</w:t>
      </w:r>
    </w:p>
    <w:p w14:paraId="078BAB3D" w14:textId="0B2F9893" w:rsidR="003F0271" w:rsidRPr="006E16F2" w:rsidRDefault="003F0271" w:rsidP="003F0271">
      <w:pPr>
        <w:pStyle w:val="Paranumber"/>
        <w:tabs>
          <w:tab w:val="num" w:pos="567"/>
        </w:tabs>
        <w:ind w:left="0" w:firstLine="0"/>
      </w:pPr>
      <w:r w:rsidRPr="006E16F2">
        <w:t xml:space="preserve">For example, </w:t>
      </w:r>
      <w:r w:rsidRPr="006E16F2" w:rsidDel="00241CBF">
        <w:t>an elector cannot contact an ERO and ask to be removed from ‘old/historical’ electoral registers since their inclusion on that register originated from a legal obligation on the ERO</w:t>
      </w:r>
      <w:r w:rsidR="00850D0B">
        <w:t xml:space="preserve">. </w:t>
      </w:r>
      <w:r w:rsidRPr="006E16F2" w:rsidDel="00241CBF">
        <w:t xml:space="preserve">However, </w:t>
      </w:r>
      <w:r w:rsidR="007339FA" w:rsidRPr="006E16F2" w:rsidDel="00241CBF">
        <w:t>they may request that information</w:t>
      </w:r>
      <w:r w:rsidRPr="006E16F2" w:rsidDel="00241CBF">
        <w:t xml:space="preserve"> collected on grounds of consent (for example, where an elector gives consent</w:t>
      </w:r>
      <w:r w:rsidR="007339FA" w:rsidRPr="006E16F2" w:rsidDel="00241CBF">
        <w:t xml:space="preserve"> to use of their email address)</w:t>
      </w:r>
      <w:r w:rsidR="00D24A4E" w:rsidRPr="006E16F2" w:rsidDel="00241CBF">
        <w:t xml:space="preserve"> is deleted or removed</w:t>
      </w:r>
      <w:r w:rsidRPr="006E16F2" w:rsidDel="00241CBF">
        <w:t xml:space="preserve"> at any time.</w:t>
      </w:r>
    </w:p>
    <w:p w14:paraId="490DE773" w14:textId="17981118" w:rsidR="003F0271" w:rsidRPr="006E16F2" w:rsidRDefault="003F0271" w:rsidP="003F0271">
      <w:pPr>
        <w:pStyle w:val="Paranumber"/>
        <w:tabs>
          <w:tab w:val="num" w:pos="567"/>
        </w:tabs>
        <w:ind w:left="0" w:firstLine="0"/>
      </w:pPr>
      <w:r w:rsidRPr="006E16F2">
        <w:t xml:space="preserve">As set out in paragraph </w:t>
      </w:r>
      <w:r w:rsidR="001D099B" w:rsidRPr="006E16F2">
        <w:rPr>
          <w:b/>
        </w:rPr>
        <w:fldChar w:fldCharType="begin"/>
      </w:r>
      <w:r w:rsidR="001D099B" w:rsidRPr="006E16F2">
        <w:rPr>
          <w:b/>
        </w:rPr>
        <w:instrText xml:space="preserve"> REF _Ref505155507 \r \h  \* MERGEFORMAT </w:instrText>
      </w:r>
      <w:r w:rsidR="001D099B" w:rsidRPr="006E16F2">
        <w:rPr>
          <w:b/>
        </w:rPr>
      </w:r>
      <w:r w:rsidR="001D099B" w:rsidRPr="006E16F2">
        <w:rPr>
          <w:b/>
        </w:rPr>
        <w:fldChar w:fldCharType="separate"/>
      </w:r>
      <w:r w:rsidR="00E60484" w:rsidRPr="006E16F2">
        <w:rPr>
          <w:b/>
        </w:rPr>
        <w:t>5.8</w:t>
      </w:r>
      <w:r w:rsidR="001D099B" w:rsidRPr="006E16F2">
        <w:rPr>
          <w:b/>
        </w:rPr>
        <w:fldChar w:fldCharType="end"/>
      </w:r>
      <w:r w:rsidRPr="006E16F2">
        <w:t>, the RO is required to publish notices relating to an election.  These may include personal information relating to cand</w:t>
      </w:r>
      <w:r w:rsidR="00850D0B">
        <w:t>idates, subscribers and agents.</w:t>
      </w:r>
      <w:r w:rsidRPr="006E16F2">
        <w:t xml:space="preserve"> Although a person could not use the ‘right to be forgotten’ to require that their details are removed from a statutory notice, they could exercise the right to have their details removed from a notice you have made available on your council website after the election</w:t>
      </w:r>
      <w:r w:rsidR="009C3E94" w:rsidRPr="006E16F2">
        <w:t>,</w:t>
      </w:r>
      <w:r w:rsidRPr="006E16F2">
        <w:t xml:space="preserve"> if the deadline for an election petition had passed</w:t>
      </w:r>
      <w:r w:rsidR="009C5824" w:rsidRPr="006E16F2">
        <w:t xml:space="preserve"> </w:t>
      </w:r>
      <w:r w:rsidR="008D6D18" w:rsidRPr="006E16F2">
        <w:t xml:space="preserve">(when </w:t>
      </w:r>
      <w:r w:rsidRPr="006E16F2">
        <w:t>the notice serves no further purpose</w:t>
      </w:r>
      <w:r w:rsidR="008D6D18" w:rsidRPr="006E16F2">
        <w:t>)</w:t>
      </w:r>
      <w:r w:rsidRPr="006E16F2">
        <w:t xml:space="preserve"> </w:t>
      </w:r>
      <w:r w:rsidR="009C3E94" w:rsidRPr="006E16F2">
        <w:t xml:space="preserve">Therefore, you </w:t>
      </w:r>
      <w:r w:rsidR="00A11D61" w:rsidRPr="006E16F2">
        <w:t xml:space="preserve">should either remove notices </w:t>
      </w:r>
      <w:r w:rsidR="009C3E94" w:rsidRPr="006E16F2">
        <w:t>published on your website</w:t>
      </w:r>
      <w:r w:rsidR="00E23B5D" w:rsidRPr="006E16F2">
        <w:t>, or remove the personal data contained in these notices,</w:t>
      </w:r>
      <w:r w:rsidR="009C3E94" w:rsidRPr="006E16F2">
        <w:t xml:space="preserve"> once the petition deadline for that election has passed</w:t>
      </w:r>
      <w:r w:rsidRPr="006E16F2">
        <w:t>.</w:t>
      </w:r>
    </w:p>
    <w:p w14:paraId="74149035" w14:textId="5171ACB0" w:rsidR="009618D4" w:rsidRPr="006E16F2" w:rsidRDefault="009618D4" w:rsidP="009618D4">
      <w:pPr>
        <w:pStyle w:val="Paranumber"/>
        <w:tabs>
          <w:tab w:val="num" w:pos="567"/>
        </w:tabs>
        <w:ind w:left="0" w:firstLine="0"/>
      </w:pPr>
      <w:r w:rsidRPr="006E16F2">
        <w:t>You should consider whether it is appropriate to retain that data (see ‘</w:t>
      </w:r>
      <w:hyperlink w:anchor="RetentionChapter" w:history="1">
        <w:r w:rsidRPr="006E16F2">
          <w:rPr>
            <w:rStyle w:val="Hyperlink"/>
          </w:rPr>
          <w:t>Document retention</w:t>
        </w:r>
      </w:hyperlink>
      <w:r w:rsidR="00850D0B">
        <w:t>’).</w:t>
      </w:r>
      <w:r w:rsidRPr="006E16F2">
        <w:t xml:space="preserve"> For example, if you have existing records of email addresses or phone numbers collected through an application to register, at the time that you next use that information, you should take appropriate measures such as:</w:t>
      </w:r>
    </w:p>
    <w:p w14:paraId="53ED4341" w14:textId="77777777" w:rsidR="009618D4" w:rsidRPr="006E16F2" w:rsidRDefault="009618D4" w:rsidP="009618D4">
      <w:pPr>
        <w:pStyle w:val="Bulletpoints"/>
        <w:numPr>
          <w:ilvl w:val="0"/>
          <w:numId w:val="2"/>
        </w:numPr>
        <w:ind w:left="567" w:hanging="567"/>
      </w:pPr>
      <w:r w:rsidRPr="006E16F2">
        <w:t xml:space="preserve">explain the data subjects right to object to further processing </w:t>
      </w:r>
    </w:p>
    <w:p w14:paraId="5039F425" w14:textId="77777777" w:rsidR="009618D4" w:rsidRPr="006E16F2" w:rsidRDefault="009618D4" w:rsidP="009618D4">
      <w:pPr>
        <w:pStyle w:val="Bulletpoints"/>
        <w:numPr>
          <w:ilvl w:val="0"/>
          <w:numId w:val="2"/>
        </w:numPr>
        <w:ind w:left="567" w:hanging="567"/>
      </w:pPr>
      <w:r w:rsidRPr="006E16F2">
        <w:t xml:space="preserve">link to your privacy notice </w:t>
      </w:r>
    </w:p>
    <w:p w14:paraId="5A581FFB" w14:textId="28F7B43F" w:rsidR="009618D4" w:rsidRPr="006E16F2" w:rsidRDefault="009618D4" w:rsidP="009618D4">
      <w:pPr>
        <w:pStyle w:val="Bulletpoints"/>
        <w:numPr>
          <w:ilvl w:val="0"/>
          <w:numId w:val="2"/>
        </w:numPr>
        <w:ind w:left="567" w:hanging="567"/>
      </w:pPr>
      <w:r w:rsidRPr="006E16F2">
        <w:t xml:space="preserve">the inclusion of the ‘unsubscribe’ option mentioned in paragraph </w:t>
      </w:r>
      <w:r w:rsidR="0015514C" w:rsidRPr="006E16F2">
        <w:rPr>
          <w:b/>
        </w:rPr>
        <w:fldChar w:fldCharType="begin"/>
      </w:r>
      <w:r w:rsidR="0015514C" w:rsidRPr="006E16F2">
        <w:rPr>
          <w:b/>
        </w:rPr>
        <w:instrText xml:space="preserve"> REF _Ref506887341 \r \h  \* MERGEFORMAT </w:instrText>
      </w:r>
      <w:r w:rsidR="0015514C" w:rsidRPr="006E16F2">
        <w:rPr>
          <w:b/>
        </w:rPr>
      </w:r>
      <w:r w:rsidR="0015514C" w:rsidRPr="006E16F2">
        <w:rPr>
          <w:b/>
        </w:rPr>
        <w:fldChar w:fldCharType="separate"/>
      </w:r>
      <w:r w:rsidR="00E60484" w:rsidRPr="006E16F2">
        <w:rPr>
          <w:b/>
        </w:rPr>
        <w:t>3.16</w:t>
      </w:r>
      <w:r w:rsidR="0015514C" w:rsidRPr="006E16F2">
        <w:rPr>
          <w:b/>
        </w:rPr>
        <w:fldChar w:fldCharType="end"/>
      </w:r>
      <w:r w:rsidRPr="006E16F2">
        <w:t xml:space="preserve"> which allows the data subject to object to the use of their contact information for this purpose</w:t>
      </w:r>
    </w:p>
    <w:p w14:paraId="5A68D561" w14:textId="306F76CD" w:rsidR="00517FC6" w:rsidRDefault="00517FC6">
      <w:pPr>
        <w:spacing w:after="200" w:line="276" w:lineRule="auto"/>
      </w:pPr>
      <w:r>
        <w:br w:type="page"/>
      </w:r>
    </w:p>
    <w:p w14:paraId="2D935CEB" w14:textId="4BB5B4DE" w:rsidR="007C3C55" w:rsidRPr="006E16F2" w:rsidRDefault="00BA2230" w:rsidP="00606802">
      <w:pPr>
        <w:pStyle w:val="Chapterhead"/>
      </w:pPr>
      <w:bookmarkStart w:id="39" w:name="_Ref505154179"/>
      <w:bookmarkStart w:id="40" w:name="_Toc504999075"/>
      <w:bookmarkStart w:id="41" w:name="_Toc505006034"/>
      <w:bookmarkStart w:id="42" w:name="_Toc505850149"/>
      <w:bookmarkStart w:id="43" w:name="_Toc71537492"/>
      <w:bookmarkStart w:id="44" w:name="PrivacyNotice"/>
      <w:bookmarkEnd w:id="39"/>
      <w:r w:rsidRPr="006E16F2">
        <w:t>Privacy notices: the r</w:t>
      </w:r>
      <w:r w:rsidR="007C3C55" w:rsidRPr="006E16F2">
        <w:t>ight to be informed</w:t>
      </w:r>
      <w:bookmarkEnd w:id="40"/>
      <w:bookmarkEnd w:id="41"/>
      <w:bookmarkEnd w:id="42"/>
      <w:bookmarkEnd w:id="43"/>
    </w:p>
    <w:bookmarkEnd w:id="44"/>
    <w:p w14:paraId="5B3AF047" w14:textId="0F017C29" w:rsidR="00FB625A" w:rsidRPr="006E16F2" w:rsidRDefault="00ED4451" w:rsidP="003F0271">
      <w:pPr>
        <w:pStyle w:val="Paranumber"/>
        <w:tabs>
          <w:tab w:val="num" w:pos="567"/>
        </w:tabs>
        <w:ind w:left="0" w:firstLine="0"/>
      </w:pPr>
      <w:r w:rsidRPr="006E16F2">
        <w:rPr>
          <w:rFonts w:cs="Arial"/>
        </w:rPr>
        <w:t xml:space="preserve"> </w:t>
      </w:r>
      <w:r w:rsidR="005B2B3C">
        <w:t>D</w:t>
      </w:r>
      <w:r w:rsidRPr="006E16F2">
        <w:t>ata subject</w:t>
      </w:r>
      <w:r w:rsidR="00222AF3">
        <w:t>s</w:t>
      </w:r>
      <w:r w:rsidRPr="006E16F2">
        <w:t xml:space="preserve"> must be provided with sufficient information to enable them to understand how their personal data is used</w:t>
      </w:r>
      <w:r w:rsidR="00222AF3">
        <w:t>,</w:t>
      </w:r>
      <w:r w:rsidR="0022761E">
        <w:t xml:space="preserve"> </w:t>
      </w:r>
      <w:r w:rsidR="005B2B3C">
        <w:rPr>
          <w:rFonts w:cs="Arial"/>
        </w:rPr>
        <w:t>t</w:t>
      </w:r>
      <w:r w:rsidR="00FB625A" w:rsidRPr="006E16F2">
        <w:rPr>
          <w:rFonts w:cs="Arial"/>
        </w:rPr>
        <w:t xml:space="preserve">his </w:t>
      </w:r>
      <w:r w:rsidR="005B2B3C">
        <w:rPr>
          <w:rFonts w:cs="Arial"/>
        </w:rPr>
        <w:t>is</w:t>
      </w:r>
      <w:r w:rsidR="00FB625A" w:rsidRPr="006E16F2">
        <w:rPr>
          <w:rFonts w:cs="Arial"/>
        </w:rPr>
        <w:t xml:space="preserve"> achieved via a </w:t>
      </w:r>
      <w:r w:rsidR="00FB625A" w:rsidRPr="006E16F2">
        <w:rPr>
          <w:rFonts w:cs="Arial"/>
          <w:b/>
        </w:rPr>
        <w:t>privacy notice</w:t>
      </w:r>
      <w:r w:rsidR="00FB625A" w:rsidRPr="006E16F2">
        <w:rPr>
          <w:rFonts w:cs="Arial"/>
        </w:rPr>
        <w:t xml:space="preserve"> or </w:t>
      </w:r>
      <w:r w:rsidR="00FB625A" w:rsidRPr="006E16F2">
        <w:rPr>
          <w:rFonts w:cs="Arial"/>
          <w:b/>
        </w:rPr>
        <w:t>fair processing notice</w:t>
      </w:r>
      <w:r w:rsidR="00FB625A" w:rsidRPr="006E16F2">
        <w:rPr>
          <w:rFonts w:cs="Arial"/>
        </w:rPr>
        <w:t>.</w:t>
      </w:r>
    </w:p>
    <w:p w14:paraId="2D935CEC" w14:textId="44998E15" w:rsidR="007C3C55" w:rsidRPr="006E16F2" w:rsidRDefault="00083EEF" w:rsidP="00295E66">
      <w:pPr>
        <w:pStyle w:val="Paranumber"/>
        <w:tabs>
          <w:tab w:val="num" w:pos="567"/>
        </w:tabs>
        <w:ind w:left="0" w:firstLine="0"/>
      </w:pPr>
      <w:r>
        <w:t xml:space="preserve">Current data protection legislation </w:t>
      </w:r>
      <w:r w:rsidR="00BB741E" w:rsidRPr="006E16F2">
        <w:t>sets out the following requirements for notifying data subjects:</w:t>
      </w:r>
    </w:p>
    <w:p w14:paraId="2D935CED" w14:textId="22A3ECC8" w:rsidR="007C3C55" w:rsidRPr="006E16F2" w:rsidRDefault="007C3C55" w:rsidP="007C3C55">
      <w:pPr>
        <w:pStyle w:val="Bulletpoints"/>
        <w:numPr>
          <w:ilvl w:val="0"/>
          <w:numId w:val="12"/>
        </w:numPr>
        <w:tabs>
          <w:tab w:val="num" w:pos="567"/>
        </w:tabs>
        <w:spacing w:after="240"/>
        <w:ind w:left="567" w:hanging="567"/>
        <w:contextualSpacing/>
      </w:pPr>
      <w:r w:rsidRPr="006E16F2">
        <w:t xml:space="preserve">When </w:t>
      </w:r>
      <w:r w:rsidR="00BB741E" w:rsidRPr="006E16F2">
        <w:t>data</w:t>
      </w:r>
      <w:r w:rsidRPr="006E16F2">
        <w:t xml:space="preserve"> is collected directly from the data subject, the notice must be given at </w:t>
      </w:r>
      <w:r w:rsidR="009B3BB8" w:rsidRPr="006E16F2">
        <w:t>the point of collection</w:t>
      </w:r>
      <w:r w:rsidR="00BC7E09">
        <w:t>.</w:t>
      </w:r>
      <w:r w:rsidR="00850D0B">
        <w:t xml:space="preserve"> </w:t>
      </w:r>
      <w:r w:rsidR="00BC7E09">
        <w:t>F</w:t>
      </w:r>
      <w:r w:rsidRPr="006E16F2">
        <w:t>or example, a notice needs to be included in letters requesting documentary evidence under the exceptions process</w:t>
      </w:r>
      <w:r w:rsidR="00013CE2" w:rsidRPr="006E16F2">
        <w:t>,</w:t>
      </w:r>
      <w:r w:rsidRPr="006E16F2">
        <w:t xml:space="preserve"> or on </w:t>
      </w:r>
      <w:r w:rsidR="00956800" w:rsidRPr="006E16F2">
        <w:t xml:space="preserve">application forms for the appointment of </w:t>
      </w:r>
      <w:r w:rsidRPr="006E16F2">
        <w:t>election staff</w:t>
      </w:r>
      <w:r w:rsidR="00850D0B">
        <w:t xml:space="preserve">. </w:t>
      </w:r>
      <w:r w:rsidR="00277623">
        <w:t>It is not necessary to provide a link to a</w:t>
      </w:r>
      <w:r w:rsidR="00850D0B">
        <w:t xml:space="preserve"> privacy notice on poll cards. </w:t>
      </w:r>
      <w:r w:rsidR="00277623">
        <w:t>Poll cards do not collect personal information, they contain information from the electoral register and absent vote lists which are publically</w:t>
      </w:r>
      <w:r w:rsidR="00850D0B">
        <w:t xml:space="preserve"> available under electoral law.</w:t>
      </w:r>
      <w:r w:rsidR="00277623">
        <w:t xml:space="preserve"> However, your privacy notice should set out that personal data contained in the electoral register and absent voting lists will be used to issue poll cards in advance of an election</w:t>
      </w:r>
      <w:r w:rsidRPr="006E16F2">
        <w:t>;</w:t>
      </w:r>
    </w:p>
    <w:p w14:paraId="2D935CEE" w14:textId="32944624" w:rsidR="007C3C55" w:rsidRPr="006E16F2" w:rsidRDefault="007C3C55" w:rsidP="007C3C55">
      <w:pPr>
        <w:pStyle w:val="Bulletpoints"/>
        <w:numPr>
          <w:ilvl w:val="0"/>
          <w:numId w:val="12"/>
        </w:numPr>
        <w:tabs>
          <w:tab w:val="num" w:pos="567"/>
        </w:tabs>
        <w:spacing w:after="240"/>
        <w:ind w:left="567" w:hanging="567"/>
        <w:contextualSpacing/>
      </w:pPr>
      <w:r w:rsidRPr="006E16F2">
        <w:t xml:space="preserve">When </w:t>
      </w:r>
      <w:r w:rsidR="00BB741E" w:rsidRPr="006E16F2">
        <w:t>data</w:t>
      </w:r>
      <w:r w:rsidRPr="006E16F2">
        <w:t xml:space="preserve"> is not collected directly, the notice must be given </w:t>
      </w:r>
      <w:r w:rsidR="009B3BB8" w:rsidRPr="006E16F2">
        <w:t xml:space="preserve">to the data subject </w:t>
      </w:r>
      <w:r w:rsidRPr="006E16F2">
        <w:t>within one month</w:t>
      </w:r>
      <w:r w:rsidR="00246EA4" w:rsidRPr="006E16F2">
        <w:t xml:space="preserve"> or</w:t>
      </w:r>
      <w:r w:rsidR="00850D0B">
        <w:t xml:space="preserve"> at the first point of contact.</w:t>
      </w:r>
      <w:r w:rsidR="00246EA4" w:rsidRPr="006E16F2">
        <w:t xml:space="preserve"> </w:t>
      </w:r>
      <w:r w:rsidR="0030456D" w:rsidRPr="006E16F2">
        <w:t xml:space="preserve">This is not necessary </w:t>
      </w:r>
      <w:r w:rsidRPr="006E16F2">
        <w:t xml:space="preserve">if </w:t>
      </w:r>
      <w:r w:rsidR="00246EA4" w:rsidRPr="006E16F2">
        <w:t>the data subject was notified of the terms of the privacy notice when</w:t>
      </w:r>
      <w:r w:rsidR="00C1095D" w:rsidRPr="006E16F2">
        <w:t xml:space="preserve"> the data was</w:t>
      </w:r>
      <w:r w:rsidR="00246EA4" w:rsidRPr="006E16F2">
        <w:t xml:space="preserve"> </w:t>
      </w:r>
      <w:r w:rsidR="00AF77FA" w:rsidRPr="006E16F2">
        <w:t xml:space="preserve">originally </w:t>
      </w:r>
      <w:r w:rsidR="0005663D" w:rsidRPr="006E16F2">
        <w:t>collected by the primary data c</w:t>
      </w:r>
      <w:r w:rsidR="00246EA4" w:rsidRPr="006E16F2">
        <w:t xml:space="preserve">ontroller </w:t>
      </w:r>
      <w:r w:rsidRPr="006E16F2">
        <w:t xml:space="preserve">(for example, if you use personal data collected by council tax to verify an applicant for registration, a notice is not required if one was given to the applicant by </w:t>
      </w:r>
      <w:r w:rsidR="00956800" w:rsidRPr="006E16F2">
        <w:t xml:space="preserve">the </w:t>
      </w:r>
      <w:r w:rsidRPr="006E16F2">
        <w:t xml:space="preserve">council tax </w:t>
      </w:r>
      <w:r w:rsidR="00956800" w:rsidRPr="006E16F2">
        <w:t xml:space="preserve">department </w:t>
      </w:r>
      <w:r w:rsidRPr="006E16F2">
        <w:t>when the personal data was originally collected)</w:t>
      </w:r>
      <w:r w:rsidR="00985C5B" w:rsidRPr="006E16F2">
        <w:t>.</w:t>
      </w:r>
    </w:p>
    <w:p w14:paraId="5AF4918D" w14:textId="21F9C10C" w:rsidR="00E86839" w:rsidRPr="006E16F2" w:rsidRDefault="00AB7547" w:rsidP="007C3C55">
      <w:pPr>
        <w:pStyle w:val="Paranumber"/>
        <w:tabs>
          <w:tab w:val="num" w:pos="567"/>
        </w:tabs>
        <w:ind w:left="0" w:firstLine="0"/>
      </w:pPr>
      <w:r w:rsidRPr="006E16F2">
        <w:t xml:space="preserve">The information </w:t>
      </w:r>
      <w:r w:rsidR="00BA2230" w:rsidRPr="006E16F2">
        <w:t xml:space="preserve">in a privacy notice </w:t>
      </w:r>
      <w:r w:rsidRPr="006E16F2">
        <w:t>must be provided in clear plain language, particularly when addressed to a child</w:t>
      </w:r>
      <w:r w:rsidR="00E65AFF">
        <w:t>, and be provided free of charge</w:t>
      </w:r>
      <w:r w:rsidRPr="006E16F2">
        <w:t xml:space="preserve">.  </w:t>
      </w:r>
    </w:p>
    <w:p w14:paraId="536F2508" w14:textId="59CB285F" w:rsidR="00E86839" w:rsidRDefault="00E86839" w:rsidP="007C3C55">
      <w:pPr>
        <w:pStyle w:val="Paranumber"/>
        <w:tabs>
          <w:tab w:val="num" w:pos="567"/>
        </w:tabs>
        <w:ind w:left="0" w:firstLine="0"/>
      </w:pPr>
      <w:r>
        <w:t xml:space="preserve">It is important that your privacy notice is specific to your local circumstances and the </w:t>
      </w:r>
      <w:r w:rsidR="00850D0B">
        <w:t>personal data that you process.</w:t>
      </w:r>
      <w:r>
        <w:t xml:space="preserve"> It must be kept up to date to meet any changes in your a</w:t>
      </w:r>
      <w:r w:rsidR="00850D0B">
        <w:t>pproach to processing data.</w:t>
      </w:r>
      <w:r>
        <w:t xml:space="preserve"> </w:t>
      </w:r>
      <w:r w:rsidR="007C3C55" w:rsidRPr="006E16F2">
        <w:t>Your council’s data protection/information officer will be able to help you with the co</w:t>
      </w:r>
      <w:r w:rsidR="00850D0B">
        <w:t>ntents of the required notices.</w:t>
      </w:r>
      <w:r w:rsidR="007C3C55" w:rsidRPr="006E16F2">
        <w:t xml:space="preserve"> </w:t>
      </w:r>
      <w:r w:rsidR="00FB625A" w:rsidRPr="006E16F2">
        <w:rPr>
          <w:b/>
        </w:rPr>
        <w:t>You will need to ensure you have a privacy notice published on your website.</w:t>
      </w:r>
      <w:r w:rsidR="002F3B9B" w:rsidRPr="006E16F2">
        <w:rPr>
          <w:b/>
        </w:rPr>
        <w:t xml:space="preserve"> </w:t>
      </w:r>
      <w:r w:rsidR="00EA2790" w:rsidRPr="006E16F2">
        <w:t xml:space="preserve">This can be a standalone privacy notice or can be included as part of your council’s </w:t>
      </w:r>
      <w:r w:rsidR="00951A4A" w:rsidRPr="006E16F2">
        <w:t xml:space="preserve">privacy </w:t>
      </w:r>
      <w:r w:rsidR="00EA2790" w:rsidRPr="006E16F2">
        <w:t>notice</w:t>
      </w:r>
      <w:r w:rsidR="00850D0B">
        <w:t>.</w:t>
      </w:r>
    </w:p>
    <w:p w14:paraId="029234D9" w14:textId="432E582C" w:rsidR="00FB625A" w:rsidRDefault="00E86839" w:rsidP="007C3C55">
      <w:pPr>
        <w:pStyle w:val="Paranumber"/>
        <w:tabs>
          <w:tab w:val="num" w:pos="567"/>
        </w:tabs>
        <w:ind w:left="0" w:firstLine="0"/>
      </w:pPr>
      <w:r>
        <w:t>Due to the differences across ERO</w:t>
      </w:r>
      <w:r w:rsidR="004320F4">
        <w:t>/RO</w:t>
      </w:r>
      <w:r>
        <w:t xml:space="preserve"> functions due to devolution, shared services, differences in EMS suppliers and internal structures and processes within each council it is not appropriate for the Commission to provide a template</w:t>
      </w:r>
      <w:r w:rsidR="004320F4">
        <w:t xml:space="preserve"> privacy notice. However, </w:t>
      </w:r>
      <w:hyperlink w:anchor="Appx2" w:history="1">
        <w:r w:rsidR="000F188C" w:rsidRPr="006E16F2">
          <w:rPr>
            <w:rStyle w:val="Hyperlink"/>
            <w:b/>
          </w:rPr>
          <w:t>Appendix 2</w:t>
        </w:r>
      </w:hyperlink>
      <w:r w:rsidR="000F188C" w:rsidRPr="006E16F2">
        <w:t xml:space="preserve"> provides a checklist for what a privacy notice must contain.</w:t>
      </w:r>
    </w:p>
    <w:p w14:paraId="6C0699BB" w14:textId="4D59F170" w:rsidR="009A121E" w:rsidRDefault="0060488C" w:rsidP="007C3C55">
      <w:pPr>
        <w:pStyle w:val="Paranumber"/>
        <w:tabs>
          <w:tab w:val="num" w:pos="567"/>
        </w:tabs>
        <w:ind w:left="0" w:firstLine="0"/>
      </w:pPr>
      <w:r>
        <w:t xml:space="preserve">In particular, your privacy notice needs to set out how you will use the personal </w:t>
      </w:r>
      <w:r w:rsidR="00850D0B">
        <w:t>data that is collected.</w:t>
      </w:r>
      <w:r>
        <w:t xml:space="preserve"> </w:t>
      </w:r>
      <w:r w:rsidR="009A121E">
        <w:t>The following bullet points are not an exhaustive list, but give an indication of the sort of things that could be covered in your privacy notice:</w:t>
      </w:r>
    </w:p>
    <w:p w14:paraId="3E0B0A2E" w14:textId="006F57AA" w:rsidR="009A121E" w:rsidRDefault="009A121E" w:rsidP="009A121E">
      <w:pPr>
        <w:pStyle w:val="Bulletpoints"/>
        <w:ind w:left="567" w:hanging="567"/>
      </w:pPr>
      <w:r>
        <w:t xml:space="preserve">the fact that personal data contained in the electoral register will be used to conduct an annual canvass, including issuing </w:t>
      </w:r>
      <w:r w:rsidR="00D018BB">
        <w:t xml:space="preserve">canvass communications </w:t>
      </w:r>
      <w:r>
        <w:t>to all households and following up with non-responding properties</w:t>
      </w:r>
    </w:p>
    <w:p w14:paraId="3604D769" w14:textId="30F5FF4A" w:rsidR="009A121E" w:rsidRDefault="009A121E" w:rsidP="009A121E">
      <w:pPr>
        <w:pStyle w:val="Bulletpoints"/>
        <w:ind w:left="567" w:hanging="567"/>
      </w:pPr>
      <w:r w:rsidRPr="006E16F2">
        <w:t xml:space="preserve">how </w:t>
      </w:r>
      <w:r>
        <w:t xml:space="preserve">information in </w:t>
      </w:r>
      <w:r w:rsidRPr="006E16F2">
        <w:t xml:space="preserve">the electoral register may be used using the prescribed wording to describe the electoral register and the </w:t>
      </w:r>
      <w:r w:rsidR="00377A61">
        <w:t>open/</w:t>
      </w:r>
      <w:r w:rsidRPr="006E16F2">
        <w:t>edited register (as included on the voter registration form)</w:t>
      </w:r>
    </w:p>
    <w:p w14:paraId="66D7F722" w14:textId="534358BF" w:rsidR="0060488C" w:rsidRDefault="0060488C" w:rsidP="009A121E">
      <w:pPr>
        <w:pStyle w:val="Bulletpoints"/>
        <w:ind w:left="567" w:hanging="567"/>
      </w:pPr>
      <w:r>
        <w:t xml:space="preserve">the fact that </w:t>
      </w:r>
      <w:r w:rsidR="009A121E">
        <w:t>p</w:t>
      </w:r>
      <w:r>
        <w:t xml:space="preserve">ersonal data contained in the electoral register and absent voting lists </w:t>
      </w:r>
      <w:r w:rsidR="009A121E">
        <w:t xml:space="preserve">will be used </w:t>
      </w:r>
      <w:r>
        <w:t>to issue poll cards in advance of an election</w:t>
      </w:r>
    </w:p>
    <w:p w14:paraId="44E9AA9E" w14:textId="455BAE20" w:rsidR="009A121E" w:rsidRDefault="009A121E" w:rsidP="009A121E">
      <w:pPr>
        <w:pStyle w:val="Bulletpoints"/>
        <w:ind w:left="567" w:hanging="567"/>
      </w:pPr>
      <w:r>
        <w:t xml:space="preserve">that </w:t>
      </w:r>
      <w:r w:rsidR="00377A61">
        <w:t xml:space="preserve">a postal voter’s </w:t>
      </w:r>
      <w:r>
        <w:t xml:space="preserve">signature (where required) and date of birth provided on </w:t>
      </w:r>
      <w:r w:rsidR="00377A61">
        <w:t xml:space="preserve">a </w:t>
      </w:r>
      <w:r>
        <w:t xml:space="preserve">postal voting statement will </w:t>
      </w:r>
      <w:r w:rsidR="00377A61">
        <w:t xml:space="preserve">be compared against </w:t>
      </w:r>
      <w:r w:rsidR="00023A9E">
        <w:t xml:space="preserve">that postal voter’s </w:t>
      </w:r>
      <w:r w:rsidR="00377A61">
        <w:t>signature and date of birth held on the personal identifiers record</w:t>
      </w:r>
    </w:p>
    <w:p w14:paraId="769B781B" w14:textId="77777777" w:rsidR="00023A9E" w:rsidRPr="006E16F2" w:rsidRDefault="00023A9E" w:rsidP="00023A9E">
      <w:pPr>
        <w:pStyle w:val="Bulletpoints"/>
        <w:numPr>
          <w:ilvl w:val="0"/>
          <w:numId w:val="0"/>
        </w:numPr>
        <w:ind w:left="567"/>
      </w:pPr>
    </w:p>
    <w:p w14:paraId="2D935CEF" w14:textId="561EFA9B" w:rsidR="007C3C55" w:rsidRPr="006E16F2" w:rsidRDefault="007138E6" w:rsidP="007C3C55">
      <w:pPr>
        <w:pStyle w:val="Paranumber"/>
        <w:tabs>
          <w:tab w:val="num" w:pos="567"/>
        </w:tabs>
        <w:ind w:left="0" w:firstLine="0"/>
      </w:pPr>
      <w:r w:rsidRPr="006E16F2">
        <w:t>O</w:t>
      </w:r>
      <w:r w:rsidR="007C3C55" w:rsidRPr="006E16F2">
        <w:t xml:space="preserve">ur </w:t>
      </w:r>
      <w:hyperlink r:id="rId30" w:history="1">
        <w:r w:rsidR="007C3C55" w:rsidRPr="00613AB6">
          <w:rPr>
            <w:rStyle w:val="Hyperlink"/>
          </w:rPr>
          <w:t>letter templates</w:t>
        </w:r>
      </w:hyperlink>
      <w:r w:rsidRPr="006E16F2">
        <w:t xml:space="preserve"> and </w:t>
      </w:r>
      <w:hyperlink r:id="rId31" w:history="1">
        <w:r w:rsidRPr="001556CB">
          <w:rPr>
            <w:rStyle w:val="Hyperlink"/>
          </w:rPr>
          <w:t>absent voting forms</w:t>
        </w:r>
      </w:hyperlink>
      <w:r w:rsidRPr="006E16F2">
        <w:t xml:space="preserve">, and the </w:t>
      </w:r>
      <w:hyperlink r:id="rId32" w:history="1">
        <w:r w:rsidR="00550E1E" w:rsidRPr="00550E1E">
          <w:rPr>
            <w:rStyle w:val="Hyperlink"/>
          </w:rPr>
          <w:t>voter registration forms</w:t>
        </w:r>
      </w:hyperlink>
      <w:r w:rsidR="007C3C55" w:rsidRPr="006E16F2">
        <w:t xml:space="preserve"> </w:t>
      </w:r>
      <w:r w:rsidR="00613AB6">
        <w:t>have been</w:t>
      </w:r>
      <w:r w:rsidR="007C3C55" w:rsidRPr="006E16F2">
        <w:t xml:space="preserve"> updated to reflect enhanced data protection messagi</w:t>
      </w:r>
      <w:r w:rsidR="00850D0B">
        <w:t xml:space="preserve">ng. </w:t>
      </w:r>
      <w:r w:rsidR="007C3C55" w:rsidRPr="006E16F2">
        <w:t xml:space="preserve">The Cabinet Office </w:t>
      </w:r>
      <w:r w:rsidR="00613AB6">
        <w:t xml:space="preserve">have similarly </w:t>
      </w:r>
      <w:r w:rsidR="007C3C55" w:rsidRPr="006E16F2">
        <w:t>update</w:t>
      </w:r>
      <w:r w:rsidR="00613AB6">
        <w:t>d</w:t>
      </w:r>
      <w:r w:rsidR="007C3C55" w:rsidRPr="006E16F2">
        <w:t xml:space="preserve"> </w:t>
      </w:r>
      <w:hyperlink r:id="rId33" w:history="1">
        <w:r w:rsidR="007C3C55" w:rsidRPr="006E16F2">
          <w:rPr>
            <w:rStyle w:val="Hyperlink"/>
          </w:rPr>
          <w:t>www.register-to-vote.gov.uk</w:t>
        </w:r>
      </w:hyperlink>
      <w:r w:rsidR="007C3C55" w:rsidRPr="006E16F2">
        <w:t>.</w:t>
      </w:r>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7C3C55" w:rsidRPr="006E16F2" w14:paraId="2D935CF1" w14:textId="77777777" w:rsidTr="00A06C81">
        <w:tc>
          <w:tcPr>
            <w:tcW w:w="9747" w:type="dxa"/>
            <w:tcBorders>
              <w:top w:val="single" w:sz="4" w:space="0" w:color="0099CC"/>
              <w:left w:val="single" w:sz="4" w:space="0" w:color="0099CC"/>
              <w:bottom w:val="single" w:sz="4" w:space="0" w:color="0099CC"/>
              <w:right w:val="single" w:sz="4" w:space="0" w:color="0099CC"/>
            </w:tcBorders>
            <w:hideMark/>
          </w:tcPr>
          <w:p w14:paraId="2D935CF0" w14:textId="7D0A21AA" w:rsidR="007C3C55" w:rsidRPr="006E16F2" w:rsidRDefault="007C3C55" w:rsidP="00083EEF">
            <w:r w:rsidRPr="006E16F2">
              <w:rPr>
                <w:noProof/>
              </w:rPr>
              <w:drawing>
                <wp:anchor distT="0" distB="0" distL="114300" distR="114300" simplePos="0" relativeHeight="251648000" behindDoc="0" locked="0" layoutInCell="1" allowOverlap="1" wp14:anchorId="2D935DF9" wp14:editId="2D935DFA">
                  <wp:simplePos x="0" y="0"/>
                  <wp:positionH relativeFrom="column">
                    <wp:posOffset>-33020</wp:posOffset>
                  </wp:positionH>
                  <wp:positionV relativeFrom="paragraph">
                    <wp:posOffset>6350</wp:posOffset>
                  </wp:positionV>
                  <wp:extent cx="503555" cy="685800"/>
                  <wp:effectExtent l="0" t="0" r="0" b="0"/>
                  <wp:wrapSquare wrapText="bothSides"/>
                  <wp:docPr id="10" name="Picture 10" descr="GD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DP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pic:spPr>
                      </pic:pic>
                    </a:graphicData>
                  </a:graphic>
                  <wp14:sizeRelH relativeFrom="page">
                    <wp14:pctWidth>0</wp14:pctWidth>
                  </wp14:sizeRelH>
                  <wp14:sizeRelV relativeFrom="page">
                    <wp14:pctHeight>0</wp14:pctHeight>
                  </wp14:sizeRelV>
                </wp:anchor>
              </w:drawing>
            </w:r>
            <w:r w:rsidRPr="006E16F2">
              <w:rPr>
                <w:b/>
              </w:rPr>
              <w:t xml:space="preserve">Action: </w:t>
            </w:r>
            <w:r w:rsidR="001E4C8D" w:rsidRPr="006E16F2">
              <w:t xml:space="preserve">Be clear for what purpose you collect, hold and use people’s data – and ensure that you are not using it for other unrelated purposes. </w:t>
            </w:r>
            <w:r w:rsidR="00BC7E09">
              <w:t>You should periodically</w:t>
            </w:r>
            <w:r w:rsidR="00441670">
              <w:t xml:space="preserve"> </w:t>
            </w:r>
            <w:r w:rsidR="00BC7E09">
              <w:t>r</w:t>
            </w:r>
            <w:r w:rsidRPr="006E16F2">
              <w:t xml:space="preserve">eview your privacy notices with your council’s data protection officer/information officer to ensure they </w:t>
            </w:r>
            <w:r w:rsidR="00BC7E09">
              <w:t>remain</w:t>
            </w:r>
            <w:r w:rsidRPr="006E16F2">
              <w:t xml:space="preserve"> compliant </w:t>
            </w:r>
            <w:r w:rsidR="00462283" w:rsidRPr="006E16F2">
              <w:t>with</w:t>
            </w:r>
            <w:r w:rsidRPr="006E16F2">
              <w:t xml:space="preserve"> </w:t>
            </w:r>
            <w:r w:rsidR="00083EEF">
              <w:t>the current data protection legislation.</w:t>
            </w:r>
            <w:r w:rsidR="00AB7547" w:rsidRPr="006E16F2">
              <w:t xml:space="preserve"> </w:t>
            </w:r>
            <w:r w:rsidR="000F188C" w:rsidRPr="006E16F2">
              <w:t>The checklist prov</w:t>
            </w:r>
            <w:r w:rsidR="00EA22E5" w:rsidRPr="006E16F2">
              <w:t>i</w:t>
            </w:r>
            <w:r w:rsidR="000F188C" w:rsidRPr="006E16F2">
              <w:t xml:space="preserve">ded in </w:t>
            </w:r>
            <w:hyperlink w:anchor="Appx2" w:history="1">
              <w:r w:rsidR="000F188C" w:rsidRPr="006E16F2">
                <w:rPr>
                  <w:rStyle w:val="Hyperlink"/>
                  <w:b/>
                </w:rPr>
                <w:t>Appendix 2</w:t>
              </w:r>
            </w:hyperlink>
            <w:r w:rsidR="000F188C" w:rsidRPr="006E16F2">
              <w:t xml:space="preserve"> may help you with this. </w:t>
            </w:r>
            <w:r w:rsidR="00AB7547" w:rsidRPr="006E16F2">
              <w:t xml:space="preserve">Ensure </w:t>
            </w:r>
            <w:r w:rsidR="001E4C8D" w:rsidRPr="006E16F2">
              <w:t xml:space="preserve">your </w:t>
            </w:r>
            <w:r w:rsidR="00AB7547" w:rsidRPr="006E16F2">
              <w:t>privacy notice</w:t>
            </w:r>
            <w:r w:rsidR="001E4C8D" w:rsidRPr="006E16F2">
              <w:t xml:space="preserve"> is </w:t>
            </w:r>
            <w:r w:rsidR="00AB7547" w:rsidRPr="006E16F2">
              <w:t xml:space="preserve">clearly visible on your website and </w:t>
            </w:r>
            <w:r w:rsidR="001E4C8D" w:rsidRPr="006E16F2">
              <w:t>is</w:t>
            </w:r>
            <w:r w:rsidR="00AB7547" w:rsidRPr="006E16F2">
              <w:t xml:space="preserve"> </w:t>
            </w:r>
            <w:r w:rsidR="00462283" w:rsidRPr="006E16F2">
              <w:t>referenced</w:t>
            </w:r>
            <w:r w:rsidR="00AB7547" w:rsidRPr="006E16F2">
              <w:t xml:space="preserve"> when communicating with electors and others.</w:t>
            </w:r>
          </w:p>
        </w:tc>
      </w:tr>
    </w:tbl>
    <w:p w14:paraId="5CDBC69F" w14:textId="77777777" w:rsidR="0038065E" w:rsidRPr="006E16F2" w:rsidRDefault="0038065E" w:rsidP="007C3C55"/>
    <w:p w14:paraId="5BFBB371" w14:textId="0F8DE39B" w:rsidR="00517FC6" w:rsidRDefault="00517FC6">
      <w:pPr>
        <w:spacing w:after="200" w:line="276" w:lineRule="auto"/>
      </w:pPr>
      <w:r>
        <w:br w:type="page"/>
      </w:r>
    </w:p>
    <w:p w14:paraId="2D935D1F" w14:textId="77777777" w:rsidR="007C3C55" w:rsidRPr="006E16F2" w:rsidRDefault="007C3C55" w:rsidP="00606802">
      <w:pPr>
        <w:pStyle w:val="Chapterhead"/>
      </w:pPr>
      <w:bookmarkStart w:id="45" w:name="_Toc504999076"/>
      <w:bookmarkStart w:id="46" w:name="_Toc505006035"/>
      <w:bookmarkStart w:id="47" w:name="_Toc505850150"/>
      <w:bookmarkStart w:id="48" w:name="_Toc71537493"/>
      <w:bookmarkStart w:id="49" w:name="RetentionChapter"/>
      <w:r w:rsidRPr="006E16F2">
        <w:t>Document retention</w:t>
      </w:r>
      <w:bookmarkEnd w:id="45"/>
      <w:bookmarkEnd w:id="46"/>
      <w:bookmarkEnd w:id="47"/>
      <w:bookmarkEnd w:id="48"/>
    </w:p>
    <w:bookmarkEnd w:id="49"/>
    <w:p w14:paraId="2D935D20" w14:textId="0EF84BDF" w:rsidR="007C3C55" w:rsidRPr="006E16F2" w:rsidRDefault="009F528E" w:rsidP="007C3C55">
      <w:pPr>
        <w:pStyle w:val="Paranumber"/>
        <w:tabs>
          <w:tab w:val="num" w:pos="567"/>
        </w:tabs>
        <w:ind w:left="0" w:firstLine="0"/>
      </w:pPr>
      <w:r>
        <w:t xml:space="preserve"> P</w:t>
      </w:r>
      <w:r w:rsidR="007C3C55" w:rsidRPr="006E16F2">
        <w:t>ersonal data processed for any purpose shall not be kept for longer than is necessary for that purpose. Therefore, once the purpose for collecting the data has passed, you need to consider if there is a reason for you to retain that data.</w:t>
      </w:r>
    </w:p>
    <w:p w14:paraId="3952253C" w14:textId="27073E82" w:rsidR="00843243" w:rsidRPr="006E16F2" w:rsidRDefault="005B2B3C" w:rsidP="00843243">
      <w:pPr>
        <w:pStyle w:val="Paranumber"/>
        <w:tabs>
          <w:tab w:val="num" w:pos="567"/>
        </w:tabs>
        <w:ind w:left="0" w:firstLine="0"/>
      </w:pPr>
      <w:r>
        <w:t>However, d</w:t>
      </w:r>
      <w:r w:rsidR="009F528E">
        <w:t xml:space="preserve">ata protection legislation </w:t>
      </w:r>
      <w:r w:rsidR="007C3C55" w:rsidRPr="006E16F2">
        <w:t xml:space="preserve"> does permit personal data to be stored for longer periods </w:t>
      </w:r>
      <w:r w:rsidR="00812DE0" w:rsidRPr="006E16F2">
        <w:t xml:space="preserve">if the </w:t>
      </w:r>
      <w:r w:rsidR="007C3C55" w:rsidRPr="006E16F2">
        <w:t xml:space="preserve">data will be processed solely for archiving purposes in the public interest, or </w:t>
      </w:r>
      <w:r w:rsidR="00117A01" w:rsidRPr="006E16F2">
        <w:t xml:space="preserve">for </w:t>
      </w:r>
      <w:r w:rsidR="007C3C55" w:rsidRPr="006E16F2">
        <w:t>scientific, historical, or statistical purposes and subject to the implementation of appropriate safeguards.</w:t>
      </w:r>
      <w:r w:rsidR="00850D0B">
        <w:t xml:space="preserve"> </w:t>
      </w:r>
      <w:r w:rsidR="00ED4451" w:rsidRPr="006E16F2">
        <w:t>Examples of this might include old electoral registers</w:t>
      </w:r>
      <w:r w:rsidR="00EA2790" w:rsidRPr="006E16F2">
        <w:t xml:space="preserve"> held to determine the eligibility of overseas applicants, or election results</w:t>
      </w:r>
      <w:r w:rsidR="00ED4451" w:rsidRPr="006E16F2">
        <w:t>.</w:t>
      </w:r>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843243" w:rsidRPr="006E16F2" w14:paraId="6F13E64F" w14:textId="77777777" w:rsidTr="00A06C81">
        <w:tc>
          <w:tcPr>
            <w:tcW w:w="9747" w:type="dxa"/>
            <w:tcBorders>
              <w:top w:val="single" w:sz="4" w:space="0" w:color="0099CC"/>
              <w:left w:val="single" w:sz="4" w:space="0" w:color="0099CC"/>
              <w:bottom w:val="single" w:sz="4" w:space="0" w:color="0099CC"/>
              <w:right w:val="single" w:sz="4" w:space="0" w:color="0099CC"/>
            </w:tcBorders>
            <w:hideMark/>
          </w:tcPr>
          <w:p w14:paraId="4461E6D2" w14:textId="5E24AB75" w:rsidR="00843243" w:rsidRPr="006E16F2" w:rsidRDefault="00843243" w:rsidP="00BB741E">
            <w:r w:rsidRPr="006E16F2">
              <w:rPr>
                <w:noProof/>
              </w:rPr>
              <w:drawing>
                <wp:anchor distT="0" distB="0" distL="114300" distR="114300" simplePos="0" relativeHeight="251659264" behindDoc="0" locked="0" layoutInCell="1" allowOverlap="1" wp14:anchorId="24EDDD83" wp14:editId="5457C21B">
                  <wp:simplePos x="0" y="0"/>
                  <wp:positionH relativeFrom="column">
                    <wp:posOffset>-33020</wp:posOffset>
                  </wp:positionH>
                  <wp:positionV relativeFrom="paragraph">
                    <wp:posOffset>6350</wp:posOffset>
                  </wp:positionV>
                  <wp:extent cx="503555" cy="685800"/>
                  <wp:effectExtent l="0" t="0" r="0" b="0"/>
                  <wp:wrapSquare wrapText="bothSides"/>
                  <wp:docPr id="20" name="Picture 20" descr="GD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DP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pic:spPr>
                      </pic:pic>
                    </a:graphicData>
                  </a:graphic>
                  <wp14:sizeRelH relativeFrom="page">
                    <wp14:pctWidth>0</wp14:pctWidth>
                  </wp14:sizeRelH>
                  <wp14:sizeRelV relativeFrom="page">
                    <wp14:pctHeight>0</wp14:pctHeight>
                  </wp14:sizeRelV>
                </wp:anchor>
              </w:drawing>
            </w:r>
            <w:r w:rsidRPr="006E16F2">
              <w:rPr>
                <w:b/>
              </w:rPr>
              <w:t xml:space="preserve">Action: </w:t>
            </w:r>
            <w:r w:rsidRPr="006E16F2">
              <w:t>Practice data minimisation – don’t ask for, and process, perso</w:t>
            </w:r>
            <w:r w:rsidR="00850D0B">
              <w:t xml:space="preserve">nal data if you don’t need it. </w:t>
            </w:r>
            <w:r w:rsidRPr="006E16F2">
              <w:t>For every document you possess, ask yourself “for what reason am I keeping this document?”</w:t>
            </w:r>
          </w:p>
          <w:p w14:paraId="1F6B366E" w14:textId="77777777" w:rsidR="006B378C" w:rsidRPr="006E16F2" w:rsidRDefault="006B378C" w:rsidP="00BB741E"/>
        </w:tc>
      </w:tr>
    </w:tbl>
    <w:p w14:paraId="26B8EA09" w14:textId="4FB4D16F" w:rsidR="0038065E" w:rsidRPr="006E16F2" w:rsidRDefault="0038065E" w:rsidP="0080302D">
      <w:bookmarkStart w:id="50" w:name="_Toc504999077"/>
      <w:bookmarkStart w:id="51" w:name="_Toc505006036"/>
      <w:bookmarkStart w:id="52" w:name="_Toc505850151"/>
    </w:p>
    <w:p w14:paraId="60866EE0" w14:textId="4469B08A" w:rsidR="00ED4451" w:rsidRPr="006E16F2" w:rsidRDefault="00ED4451" w:rsidP="00606802">
      <w:pPr>
        <w:pStyle w:val="B-head"/>
      </w:pPr>
      <w:bookmarkStart w:id="53" w:name="_Toc71537494"/>
      <w:bookmarkStart w:id="54" w:name="RetentionPolicy"/>
      <w:r w:rsidRPr="006E16F2">
        <w:t>Document retention policy</w:t>
      </w:r>
      <w:bookmarkEnd w:id="50"/>
      <w:bookmarkEnd w:id="51"/>
      <w:bookmarkEnd w:id="52"/>
      <w:bookmarkEnd w:id="53"/>
    </w:p>
    <w:bookmarkEnd w:id="54"/>
    <w:p w14:paraId="50ED3D86" w14:textId="630C709F" w:rsidR="00BE642F" w:rsidRPr="006E16F2" w:rsidRDefault="007C3C55" w:rsidP="00BE642F">
      <w:pPr>
        <w:pStyle w:val="Paranumber"/>
        <w:tabs>
          <w:tab w:val="num" w:pos="567"/>
        </w:tabs>
        <w:ind w:left="0" w:firstLine="0"/>
      </w:pPr>
      <w:r w:rsidRPr="006E16F2">
        <w:t xml:space="preserve">Maintaining your </w:t>
      </w:r>
      <w:r w:rsidRPr="006E16F2">
        <w:rPr>
          <w:b/>
        </w:rPr>
        <w:t>document retention policy</w:t>
      </w:r>
      <w:r w:rsidRPr="006E16F2">
        <w:t xml:space="preserve"> will help you to demonstrate that you are complying with the principles of processing personal data, ensuring that it is processed lawfully, fairly and in a transparent manner.  </w:t>
      </w:r>
    </w:p>
    <w:p w14:paraId="2D935D23" w14:textId="54865ED3" w:rsidR="007C3C55" w:rsidRPr="006E16F2" w:rsidRDefault="007C3C55" w:rsidP="007C3C55">
      <w:pPr>
        <w:pStyle w:val="Paranumber"/>
        <w:tabs>
          <w:tab w:val="num" w:pos="567"/>
        </w:tabs>
        <w:ind w:left="0" w:firstLine="0"/>
      </w:pPr>
      <w:bookmarkStart w:id="55" w:name="_Ref503955423"/>
      <w:r w:rsidRPr="006E16F2">
        <w:t>Your document retention policy should set out</w:t>
      </w:r>
      <w:r w:rsidR="00944277" w:rsidRPr="006E16F2">
        <w:t xml:space="preserve"> the following for all documents you receive and hold</w:t>
      </w:r>
      <w:r w:rsidRPr="006E16F2">
        <w:t>:</w:t>
      </w:r>
      <w:bookmarkEnd w:id="55"/>
    </w:p>
    <w:p w14:paraId="2D935D24" w14:textId="77777777" w:rsidR="007C3C55" w:rsidRPr="006E16F2" w:rsidRDefault="007C3C55" w:rsidP="007C3C55">
      <w:pPr>
        <w:pStyle w:val="Bulletpoints"/>
        <w:numPr>
          <w:ilvl w:val="0"/>
          <w:numId w:val="12"/>
        </w:numPr>
        <w:tabs>
          <w:tab w:val="num" w:pos="567"/>
        </w:tabs>
        <w:spacing w:after="240"/>
        <w:ind w:left="567" w:hanging="567"/>
        <w:contextualSpacing/>
      </w:pPr>
      <w:r w:rsidRPr="006E16F2">
        <w:t>whether the document contains personal data</w:t>
      </w:r>
    </w:p>
    <w:p w14:paraId="2D935D25" w14:textId="6B43DC2E" w:rsidR="007C3C55" w:rsidRPr="006E16F2" w:rsidRDefault="007C3C55" w:rsidP="007C3C55">
      <w:pPr>
        <w:pStyle w:val="Bulletpoints"/>
        <w:numPr>
          <w:ilvl w:val="0"/>
          <w:numId w:val="12"/>
        </w:numPr>
        <w:tabs>
          <w:tab w:val="num" w:pos="567"/>
        </w:tabs>
        <w:spacing w:after="240"/>
        <w:ind w:left="567" w:hanging="567"/>
        <w:contextualSpacing/>
      </w:pPr>
      <w:r w:rsidRPr="006E16F2">
        <w:t>the lawful basis on which any personal data was collected (see ‘</w:t>
      </w:r>
      <w:hyperlink w:anchor="LawfulBasis" w:history="1">
        <w:r w:rsidRPr="006E16F2">
          <w:rPr>
            <w:rStyle w:val="Hyperlink"/>
          </w:rPr>
          <w:t>Lawful basis for processing</w:t>
        </w:r>
      </w:hyperlink>
      <w:r w:rsidRPr="006E16F2">
        <w:t>’)</w:t>
      </w:r>
    </w:p>
    <w:p w14:paraId="2D935D26" w14:textId="77777777" w:rsidR="007C3C55" w:rsidRPr="006E16F2" w:rsidRDefault="007C3C55" w:rsidP="007C3C55">
      <w:pPr>
        <w:pStyle w:val="Bulletpoints"/>
        <w:numPr>
          <w:ilvl w:val="0"/>
          <w:numId w:val="12"/>
        </w:numPr>
        <w:tabs>
          <w:tab w:val="num" w:pos="567"/>
        </w:tabs>
        <w:spacing w:after="240"/>
        <w:ind w:left="567" w:hanging="567"/>
        <w:contextualSpacing/>
      </w:pPr>
      <w:r w:rsidRPr="006E16F2">
        <w:t>your retention period</w:t>
      </w:r>
    </w:p>
    <w:p w14:paraId="2D935D27" w14:textId="11249099" w:rsidR="007C3C55" w:rsidRPr="006E16F2" w:rsidRDefault="007C3C55" w:rsidP="007C3C55">
      <w:pPr>
        <w:pStyle w:val="Bulletpoints"/>
        <w:numPr>
          <w:ilvl w:val="0"/>
          <w:numId w:val="12"/>
        </w:numPr>
        <w:tabs>
          <w:tab w:val="num" w:pos="567"/>
        </w:tabs>
        <w:spacing w:after="240"/>
        <w:ind w:left="567" w:hanging="567"/>
        <w:contextualSpacing/>
      </w:pPr>
      <w:r w:rsidRPr="006E16F2">
        <w:t xml:space="preserve">your rationale for the retention period (which might relate to a </w:t>
      </w:r>
      <w:r w:rsidR="00FB1F7C" w:rsidRPr="006E16F2">
        <w:t>requirement in electoral law</w:t>
      </w:r>
      <w:r w:rsidR="009537D1" w:rsidRPr="006E16F2">
        <w:t xml:space="preserve">, for example, </w:t>
      </w:r>
      <w:r w:rsidR="00FB1F7C" w:rsidRPr="006E16F2">
        <w:t>home address forms at UK Parliamentary elections must be destroyed after 21 days</w:t>
      </w:r>
      <w:r w:rsidRPr="006E16F2">
        <w:t>)</w:t>
      </w:r>
    </w:p>
    <w:p w14:paraId="2D935D29" w14:textId="340A190B" w:rsidR="007C3C55" w:rsidRPr="006E16F2" w:rsidRDefault="007C3C55" w:rsidP="007C3C55">
      <w:pPr>
        <w:pStyle w:val="Paranumber"/>
        <w:tabs>
          <w:tab w:val="num" w:pos="567"/>
        </w:tabs>
        <w:ind w:left="0" w:firstLine="0"/>
      </w:pPr>
      <w:r w:rsidRPr="006E16F2">
        <w:t>In some cases this will be straightforward since electoral legislation will require a set period for</w:t>
      </w:r>
      <w:r w:rsidR="00850D0B">
        <w:t xml:space="preserve"> which documents are retained. </w:t>
      </w:r>
      <w:r w:rsidRPr="006E16F2">
        <w:t xml:space="preserve">For example, at a UK Parliamentary election, Rule 57 of the Parliamentary Election Rules requires that </w:t>
      </w:r>
      <w:r w:rsidR="00FB1F7C" w:rsidRPr="006E16F2">
        <w:t xml:space="preserve">specific </w:t>
      </w:r>
      <w:r w:rsidRPr="006E16F2">
        <w:t>documents relating to the election must be retained for one year and then, unless ot</w:t>
      </w:r>
      <w:r w:rsidR="00850D0B">
        <w:t>herwise directed, be destroyed.</w:t>
      </w:r>
      <w:r w:rsidRPr="006E16F2">
        <w:t xml:space="preserve"> In other cases, you will need to make a local decision and justify this in your document retention policy.</w:t>
      </w:r>
    </w:p>
    <w:p w14:paraId="2D935D2A" w14:textId="3D55BFCF" w:rsidR="007C3C55" w:rsidRPr="006E16F2" w:rsidRDefault="007C3C55" w:rsidP="007C3C55">
      <w:pPr>
        <w:pStyle w:val="Paranumber"/>
        <w:tabs>
          <w:tab w:val="num" w:pos="567"/>
        </w:tabs>
        <w:ind w:left="0" w:firstLine="0"/>
      </w:pPr>
      <w:r w:rsidRPr="006E16F2">
        <w:t>If you are an ERO, your document retention policy will include</w:t>
      </w:r>
      <w:r w:rsidR="002E5654">
        <w:t xml:space="preserve"> </w:t>
      </w:r>
      <w:r w:rsidR="002E5654" w:rsidRPr="006E16F2">
        <w:t xml:space="preserve">(but will not be limited to) </w:t>
      </w:r>
      <w:r w:rsidR="000D2AE6">
        <w:t>how you process and store</w:t>
      </w:r>
      <w:r w:rsidRPr="006E16F2">
        <w:t xml:space="preserve"> documents received</w:t>
      </w:r>
      <w:r w:rsidR="00944277" w:rsidRPr="006E16F2">
        <w:t xml:space="preserve"> due to</w:t>
      </w:r>
      <w:r w:rsidRPr="006E16F2">
        <w:t>:</w:t>
      </w:r>
    </w:p>
    <w:p w14:paraId="74F2F1C9" w14:textId="77777777" w:rsidR="004F66C3" w:rsidRDefault="004F66C3" w:rsidP="004F66C3">
      <w:pPr>
        <w:pStyle w:val="ECbulletstyle"/>
      </w:pPr>
    </w:p>
    <w:p w14:paraId="3971CB82" w14:textId="77777777" w:rsidR="004F66C3" w:rsidRDefault="007C3C55" w:rsidP="004F66C3">
      <w:pPr>
        <w:pStyle w:val="ECbulletstyle"/>
      </w:pPr>
      <w:r w:rsidRPr="006E16F2">
        <w:t xml:space="preserve">an application to register (i.e. application form and any documentary evidence where required) </w:t>
      </w:r>
    </w:p>
    <w:p w14:paraId="1C73DC3E" w14:textId="77777777" w:rsidR="000D2AE6" w:rsidRDefault="00947F87" w:rsidP="004F66C3">
      <w:pPr>
        <w:pStyle w:val="ECbulletstyle"/>
      </w:pPr>
      <w:r w:rsidRPr="006E16F2">
        <w:t>an application for an absent vote</w:t>
      </w:r>
      <w:r w:rsidR="004F66C3">
        <w:t xml:space="preserve"> </w:t>
      </w:r>
    </w:p>
    <w:p w14:paraId="2D935D2C" w14:textId="0DEF8898" w:rsidR="007C3C55" w:rsidRPr="006E16F2" w:rsidRDefault="007C3C55" w:rsidP="004F66C3">
      <w:pPr>
        <w:pStyle w:val="ECbulletstyle"/>
      </w:pPr>
      <w:r w:rsidRPr="006E16F2">
        <w:t>your inspection of council records or your power to require information from any other person for the purpo</w:t>
      </w:r>
      <w:r w:rsidR="000D2AE6">
        <w:t>ses of maintaining the register</w:t>
      </w:r>
    </w:p>
    <w:p w14:paraId="2D935D2D" w14:textId="0112EBC5" w:rsidR="007C3C55" w:rsidRPr="006E16F2" w:rsidRDefault="007C3C55" w:rsidP="004F66C3">
      <w:pPr>
        <w:pStyle w:val="ECbulletstyle"/>
      </w:pPr>
      <w:r w:rsidRPr="006E16F2">
        <w:t xml:space="preserve">a request to an applicant/elector for further information to help you determine if they are resident </w:t>
      </w:r>
    </w:p>
    <w:p w14:paraId="26287162" w14:textId="77777777" w:rsidR="004F66C3" w:rsidRDefault="007C3C55" w:rsidP="004F66C3">
      <w:pPr>
        <w:pStyle w:val="ECbulletstyle"/>
      </w:pPr>
      <w:r w:rsidRPr="006E16F2">
        <w:t xml:space="preserve">your power to require evidence as to age or nationality </w:t>
      </w:r>
    </w:p>
    <w:p w14:paraId="65337321" w14:textId="77777777" w:rsidR="004F66C3" w:rsidRDefault="004F66C3" w:rsidP="004F66C3">
      <w:pPr>
        <w:pStyle w:val="Bulletpoints"/>
        <w:numPr>
          <w:ilvl w:val="0"/>
          <w:numId w:val="0"/>
        </w:numPr>
        <w:tabs>
          <w:tab w:val="clear" w:pos="567"/>
        </w:tabs>
        <w:spacing w:after="240"/>
        <w:ind w:left="567"/>
        <w:contextualSpacing/>
      </w:pPr>
    </w:p>
    <w:p w14:paraId="197DA508" w14:textId="4AFAB953" w:rsidR="004F66C3" w:rsidRPr="006E16F2" w:rsidRDefault="004F66C3" w:rsidP="004F66C3">
      <w:pPr>
        <w:pStyle w:val="Paranumber"/>
        <w:ind w:left="0" w:firstLine="0"/>
      </w:pPr>
      <w:r>
        <w:t xml:space="preserve">For further information refer to the relevant section on Access and Supply in our </w:t>
      </w:r>
      <w:hyperlink r:id="rId34" w:history="1">
        <w:r w:rsidRPr="004F66C3">
          <w:rPr>
            <w:rStyle w:val="Hyperlink"/>
          </w:rPr>
          <w:t xml:space="preserve">guidance </w:t>
        </w:r>
        <w:r w:rsidR="002E5654">
          <w:rPr>
            <w:rStyle w:val="Hyperlink"/>
          </w:rPr>
          <w:t>for</w:t>
        </w:r>
        <w:r w:rsidRPr="004F66C3">
          <w:rPr>
            <w:rStyle w:val="Hyperlink"/>
          </w:rPr>
          <w:t xml:space="preserve"> EROs.</w:t>
        </w:r>
      </w:hyperlink>
    </w:p>
    <w:p w14:paraId="3A5D6407" w14:textId="3D90D6D0" w:rsidR="00446AC5" w:rsidRPr="006E16F2" w:rsidRDefault="008E09A3" w:rsidP="00446AC5">
      <w:pPr>
        <w:pStyle w:val="Paranumber"/>
        <w:ind w:left="0" w:firstLine="0"/>
      </w:pPr>
      <w:r w:rsidRPr="006E16F2">
        <w:t xml:space="preserve">Part F of our </w:t>
      </w:r>
      <w:hyperlink r:id="rId35" w:history="1">
        <w:r w:rsidRPr="006E16F2">
          <w:rPr>
            <w:rStyle w:val="Hyperlink"/>
          </w:rPr>
          <w:t>guidance for Returning Officers</w:t>
        </w:r>
      </w:hyperlink>
      <w:r w:rsidRPr="006E16F2">
        <w:t xml:space="preserve"> for each election type contains specific advice on the re</w:t>
      </w:r>
      <w:r w:rsidR="00850D0B">
        <w:t xml:space="preserve">tention of election documents. </w:t>
      </w:r>
      <w:r w:rsidRPr="006E16F2">
        <w:t>You will also need to consider n</w:t>
      </w:r>
      <w:r w:rsidR="007C3C55" w:rsidRPr="006E16F2">
        <w:t>otices published for the election</w:t>
      </w:r>
      <w:r w:rsidR="006D2E96" w:rsidRPr="006E16F2">
        <w:t xml:space="preserve"> (see paragraph </w:t>
      </w:r>
      <w:r w:rsidR="00462283" w:rsidRPr="006E16F2">
        <w:rPr>
          <w:b/>
        </w:rPr>
        <w:fldChar w:fldCharType="begin"/>
      </w:r>
      <w:r w:rsidR="00462283" w:rsidRPr="006E16F2">
        <w:rPr>
          <w:b/>
        </w:rPr>
        <w:instrText xml:space="preserve"> REF _Ref505155507 \r \h  \* MERGEFORMAT </w:instrText>
      </w:r>
      <w:r w:rsidR="00462283" w:rsidRPr="006E16F2">
        <w:rPr>
          <w:b/>
        </w:rPr>
      </w:r>
      <w:r w:rsidR="00462283" w:rsidRPr="006E16F2">
        <w:rPr>
          <w:b/>
        </w:rPr>
        <w:fldChar w:fldCharType="separate"/>
      </w:r>
      <w:r w:rsidR="00E60484" w:rsidRPr="006E16F2">
        <w:rPr>
          <w:b/>
        </w:rPr>
        <w:t>5.8</w:t>
      </w:r>
      <w:r w:rsidR="00462283" w:rsidRPr="006E16F2">
        <w:rPr>
          <w:b/>
        </w:rPr>
        <w:fldChar w:fldCharType="end"/>
      </w:r>
      <w:r w:rsidR="006D2E96" w:rsidRPr="006E16F2">
        <w:t xml:space="preserve"> below)</w:t>
      </w:r>
      <w:r w:rsidRPr="006E16F2">
        <w:t xml:space="preserve"> and s</w:t>
      </w:r>
      <w:r w:rsidR="007C3C55" w:rsidRPr="006E16F2">
        <w:t>taff records, including appointment and payment records</w:t>
      </w:r>
      <w:r w:rsidRPr="006E16F2">
        <w:t>.</w:t>
      </w:r>
      <w:r w:rsidR="007F705A" w:rsidRPr="006E16F2">
        <w:t xml:space="preserve"> </w:t>
      </w:r>
      <w:r w:rsidR="00E23B5D" w:rsidRPr="006E16F2">
        <w:t>Your retention plan should reflect your approach to the retention of all documents, for each election type.</w:t>
      </w:r>
      <w:r w:rsidR="007F705A" w:rsidRPr="006E16F2">
        <w:t xml:space="preserve"> </w:t>
      </w:r>
      <w:r w:rsidR="00446AC5" w:rsidRPr="006E16F2">
        <w:t xml:space="preserve">For example, in </w:t>
      </w:r>
      <w:r w:rsidR="00964F44" w:rsidRPr="006E16F2">
        <w:t>relation to UK Parliamentary election</w:t>
      </w:r>
      <w:r w:rsidR="00E23B5D" w:rsidRPr="006E16F2">
        <w:t xml:space="preserve"> nomination papers</w:t>
      </w:r>
      <w:r w:rsidR="00964F44" w:rsidRPr="006E16F2">
        <w:t xml:space="preserve">, </w:t>
      </w:r>
      <w:hyperlink r:id="rId36" w:history="1">
        <w:r w:rsidR="00446AC5" w:rsidRPr="006E16F2">
          <w:rPr>
            <w:rStyle w:val="Hyperlink"/>
          </w:rPr>
          <w:t>Part C: ‘Administering the poll’</w:t>
        </w:r>
      </w:hyperlink>
      <w:r w:rsidR="00446AC5" w:rsidRPr="006E16F2">
        <w:t xml:space="preserve"> of our guidance </w:t>
      </w:r>
      <w:r w:rsidR="00964F44" w:rsidRPr="006E16F2">
        <w:t xml:space="preserve">says </w:t>
      </w:r>
      <w:r w:rsidR="00446AC5" w:rsidRPr="006E16F2">
        <w:t>that: “</w:t>
      </w:r>
      <w:r w:rsidR="00964F44" w:rsidRPr="006E16F2">
        <w:t>…</w:t>
      </w:r>
      <w:r w:rsidR="00446AC5" w:rsidRPr="006E16F2">
        <w:t xml:space="preserve"> you should store the nomination papers securely for one year after the election due to the time limit for prosecution in case of an election petition. The home address form must be destroyed after 21 days.”  </w:t>
      </w:r>
    </w:p>
    <w:p w14:paraId="71722EF0" w14:textId="33A86775" w:rsidR="009763AB" w:rsidRPr="006E16F2" w:rsidRDefault="009763AB" w:rsidP="00606802">
      <w:pPr>
        <w:pStyle w:val="B-head"/>
      </w:pPr>
      <w:bookmarkStart w:id="56" w:name="_Toc504999078"/>
      <w:bookmarkStart w:id="57" w:name="_Toc505006037"/>
      <w:bookmarkStart w:id="58" w:name="_Toc505850152"/>
      <w:bookmarkStart w:id="59" w:name="_Toc71537495"/>
      <w:bookmarkStart w:id="60" w:name="_Ref504279824"/>
      <w:bookmarkStart w:id="61" w:name="_Ref504279228"/>
      <w:r w:rsidRPr="006E16F2">
        <w:t>Election notices published on your website</w:t>
      </w:r>
      <w:bookmarkEnd w:id="56"/>
      <w:bookmarkEnd w:id="57"/>
      <w:bookmarkEnd w:id="58"/>
      <w:bookmarkEnd w:id="59"/>
    </w:p>
    <w:p w14:paraId="74C7236F" w14:textId="69077382" w:rsidR="00602C64" w:rsidRPr="006E16F2" w:rsidRDefault="00944277" w:rsidP="007C3C55">
      <w:pPr>
        <w:pStyle w:val="Paranumber"/>
        <w:tabs>
          <w:tab w:val="num" w:pos="567"/>
        </w:tabs>
        <w:ind w:left="0" w:firstLine="0"/>
      </w:pPr>
      <w:bookmarkStart w:id="62" w:name="_Ref505155507"/>
      <w:r w:rsidRPr="006E16F2">
        <w:t xml:space="preserve">Notices </w:t>
      </w:r>
      <w:r w:rsidR="006D2E96" w:rsidRPr="006E16F2">
        <w:t xml:space="preserve">published for </w:t>
      </w:r>
      <w:r w:rsidR="00843243" w:rsidRPr="006E16F2">
        <w:t>an</w:t>
      </w:r>
      <w:r w:rsidR="006D2E96" w:rsidRPr="006E16F2">
        <w:t xml:space="preserve"> elect</w:t>
      </w:r>
      <w:r w:rsidR="00843243" w:rsidRPr="006E16F2">
        <w:t>i</w:t>
      </w:r>
      <w:r w:rsidR="006D2E96" w:rsidRPr="006E16F2">
        <w:t xml:space="preserve">on </w:t>
      </w:r>
      <w:r w:rsidR="00BA20E1" w:rsidRPr="006E16F2">
        <w:t xml:space="preserve">should </w:t>
      </w:r>
      <w:r w:rsidR="006D2E96" w:rsidRPr="006E16F2">
        <w:t>be ma</w:t>
      </w:r>
      <w:r w:rsidRPr="006E16F2">
        <w:t>de</w:t>
      </w:r>
      <w:r w:rsidR="006D2E96" w:rsidRPr="006E16F2">
        <w:t xml:space="preserve"> available on your website</w:t>
      </w:r>
      <w:r w:rsidRPr="006E16F2">
        <w:t xml:space="preserve"> and </w:t>
      </w:r>
      <w:r w:rsidR="00BA20E1" w:rsidRPr="006E16F2">
        <w:t xml:space="preserve">so </w:t>
      </w:r>
      <w:r w:rsidRPr="006E16F2">
        <w:t xml:space="preserve">you will need to ensure </w:t>
      </w:r>
      <w:r w:rsidR="006D2E96" w:rsidRPr="006E16F2">
        <w:t xml:space="preserve">that they are removed at the appropriate time.  </w:t>
      </w:r>
      <w:bookmarkEnd w:id="62"/>
    </w:p>
    <w:p w14:paraId="497D34D3" w14:textId="15CAE345" w:rsidR="006D2E96" w:rsidRPr="006E16F2" w:rsidRDefault="00C17E6E" w:rsidP="007C3C55">
      <w:pPr>
        <w:pStyle w:val="Paranumber"/>
        <w:tabs>
          <w:tab w:val="num" w:pos="567"/>
        </w:tabs>
        <w:ind w:left="0" w:firstLine="0"/>
      </w:pPr>
      <w:r w:rsidRPr="006E16F2">
        <w:t>Y</w:t>
      </w:r>
      <w:r w:rsidR="00E9424A" w:rsidRPr="006E16F2">
        <w:t xml:space="preserve">ou </w:t>
      </w:r>
      <w:r w:rsidR="009763AB" w:rsidRPr="006E16F2">
        <w:t>will need to</w:t>
      </w:r>
      <w:r w:rsidR="00A06C81" w:rsidRPr="006E16F2">
        <w:t xml:space="preserve"> </w:t>
      </w:r>
      <w:r w:rsidR="00E9424A" w:rsidRPr="006E16F2">
        <w:t>consider whether it is appropriate or necessary for the notices to remain published on your website beyond the expiry of the petition period for that election.</w:t>
      </w:r>
      <w:bookmarkEnd w:id="60"/>
      <w:r w:rsidR="00850D0B">
        <w:t xml:space="preserve"> </w:t>
      </w:r>
      <w:r w:rsidR="00843243" w:rsidRPr="006E16F2">
        <w:t>For example, the notices serve specific purposes, i.e. advis</w:t>
      </w:r>
      <w:r w:rsidR="00603E7D" w:rsidRPr="006E16F2">
        <w:t>ing who will be a candidate at the election</w:t>
      </w:r>
      <w:r w:rsidR="000D2AE6">
        <w:t xml:space="preserve">. </w:t>
      </w:r>
      <w:r w:rsidR="00843243" w:rsidRPr="006E16F2">
        <w:t>Once the election is over</w:t>
      </w:r>
      <w:r w:rsidR="00603E7D" w:rsidRPr="006E16F2">
        <w:t>,</w:t>
      </w:r>
      <w:r w:rsidR="00843243" w:rsidRPr="006E16F2">
        <w:t xml:space="preserve"> and the opportunity to question that election has passed, </w:t>
      </w:r>
      <w:r w:rsidR="00603E7D" w:rsidRPr="006E16F2">
        <w:t>they serve no further purpose.</w:t>
      </w:r>
      <w:r w:rsidRPr="006E16F2">
        <w:t xml:space="preserve"> </w:t>
      </w:r>
      <w:r w:rsidR="00E23B5D" w:rsidRPr="006E16F2">
        <w:t xml:space="preserve">Therefore, you should either remove notices published on your website, or remove the personal data contained in these notices, once the petition deadline for that election has passed. </w:t>
      </w:r>
    </w:p>
    <w:bookmarkEnd w:id="61"/>
    <w:p w14:paraId="2D935D36" w14:textId="0A03D957" w:rsidR="007C3C55" w:rsidRPr="006E16F2" w:rsidRDefault="006B6A4C" w:rsidP="007C3C55">
      <w:pPr>
        <w:pStyle w:val="Paranumber"/>
        <w:tabs>
          <w:tab w:val="num" w:pos="567"/>
        </w:tabs>
        <w:ind w:left="0" w:firstLine="0"/>
      </w:pPr>
      <w:r w:rsidRPr="006E16F2">
        <w:t xml:space="preserve">Part F of our </w:t>
      </w:r>
      <w:hyperlink r:id="rId37" w:history="1">
        <w:r w:rsidRPr="006E16F2">
          <w:rPr>
            <w:rStyle w:val="Hyperlink"/>
          </w:rPr>
          <w:t>guidance for Returning Officers</w:t>
        </w:r>
      </w:hyperlink>
      <w:r w:rsidRPr="006E16F2">
        <w:t xml:space="preserve"> </w:t>
      </w:r>
      <w:r w:rsidR="007C3C55" w:rsidRPr="006E16F2">
        <w:t>for each election type contains specific advice on post-election activities, including supplementary resources on the retention and inspection of election documents.</w:t>
      </w:r>
      <w:r w:rsidR="00127888" w:rsidRPr="006E16F2">
        <w:t xml:space="preserve"> </w:t>
      </w:r>
    </w:p>
    <w:p w14:paraId="2D935D37" w14:textId="3AF1CB1E" w:rsidR="007C3C55" w:rsidRPr="006E16F2" w:rsidRDefault="007C3C55" w:rsidP="007C3C55">
      <w:pPr>
        <w:pStyle w:val="Paranumber"/>
        <w:tabs>
          <w:tab w:val="num" w:pos="567"/>
        </w:tabs>
        <w:ind w:left="0" w:firstLine="0"/>
      </w:pPr>
      <w:r w:rsidRPr="006E16F2">
        <w:t xml:space="preserve">It is essential that, </w:t>
      </w:r>
      <w:r w:rsidR="00EA2790" w:rsidRPr="006E16F2">
        <w:t xml:space="preserve">unless there is a reason not to, for example </w:t>
      </w:r>
      <w:r w:rsidR="00BA20E1" w:rsidRPr="006E16F2">
        <w:t xml:space="preserve">a </w:t>
      </w:r>
      <w:r w:rsidRPr="006E16F2">
        <w:t>legal challenge, you</w:t>
      </w:r>
      <w:r w:rsidR="00BA20E1" w:rsidRPr="006E16F2">
        <w:t xml:space="preserve"> </w:t>
      </w:r>
      <w:r w:rsidRPr="006E16F2">
        <w:rPr>
          <w:b/>
        </w:rPr>
        <w:t>securely destroy</w:t>
      </w:r>
      <w:r w:rsidRPr="006E16F2">
        <w:t xml:space="preserve"> documents in accordance with y</w:t>
      </w:r>
      <w:r w:rsidR="000D2AE6">
        <w:t xml:space="preserve">our document retention policy. </w:t>
      </w:r>
      <w:r w:rsidRPr="006E16F2">
        <w:t xml:space="preserve">Therefore you will need to appropriately label documents and tag electronic files with destruction dates, and these should be referenced in your </w:t>
      </w:r>
      <w:r w:rsidR="00050FA7" w:rsidRPr="006E16F2">
        <w:t xml:space="preserve">electoral </w:t>
      </w:r>
      <w:r w:rsidRPr="006E16F2">
        <w:t>registration and election plans.</w:t>
      </w:r>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7C3C55" w:rsidRPr="006E16F2" w14:paraId="2D935D39" w14:textId="77777777" w:rsidTr="003D6095">
        <w:tc>
          <w:tcPr>
            <w:tcW w:w="9747" w:type="dxa"/>
            <w:tcBorders>
              <w:top w:val="single" w:sz="4" w:space="0" w:color="0099CC"/>
              <w:left w:val="single" w:sz="4" w:space="0" w:color="0099CC"/>
              <w:bottom w:val="single" w:sz="4" w:space="0" w:color="0099CC"/>
              <w:right w:val="single" w:sz="4" w:space="0" w:color="0099CC"/>
            </w:tcBorders>
            <w:hideMark/>
          </w:tcPr>
          <w:p w14:paraId="4EE2D0EC" w14:textId="1AB47051" w:rsidR="007C3C55" w:rsidRPr="006E16F2" w:rsidRDefault="007C3C55">
            <w:r w:rsidRPr="006E16F2">
              <w:rPr>
                <w:noProof/>
              </w:rPr>
              <w:drawing>
                <wp:anchor distT="0" distB="0" distL="114300" distR="114300" simplePos="0" relativeHeight="251650048" behindDoc="0" locked="0" layoutInCell="1" allowOverlap="1" wp14:anchorId="2D935E03" wp14:editId="2D935E04">
                  <wp:simplePos x="0" y="0"/>
                  <wp:positionH relativeFrom="column">
                    <wp:posOffset>-33020</wp:posOffset>
                  </wp:positionH>
                  <wp:positionV relativeFrom="paragraph">
                    <wp:posOffset>6350</wp:posOffset>
                  </wp:positionV>
                  <wp:extent cx="503555" cy="685800"/>
                  <wp:effectExtent l="0" t="0" r="0" b="0"/>
                  <wp:wrapSquare wrapText="bothSides"/>
                  <wp:docPr id="5" name="Picture 5" descr="GD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DP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pic:spPr>
                      </pic:pic>
                    </a:graphicData>
                  </a:graphic>
                  <wp14:sizeRelH relativeFrom="page">
                    <wp14:pctWidth>0</wp14:pctWidth>
                  </wp14:sizeRelH>
                  <wp14:sizeRelV relativeFrom="page">
                    <wp14:pctHeight>0</wp14:pctHeight>
                  </wp14:sizeRelV>
                </wp:anchor>
              </w:drawing>
            </w:r>
            <w:r w:rsidRPr="006E16F2">
              <w:rPr>
                <w:b/>
              </w:rPr>
              <w:t xml:space="preserve">Action: </w:t>
            </w:r>
            <w:r w:rsidRPr="006E16F2">
              <w:t>Ensure your document retention policy is up-to-date</w:t>
            </w:r>
            <w:r w:rsidR="00E9424A" w:rsidRPr="006E16F2">
              <w:t>, covers every document you process</w:t>
            </w:r>
            <w:r w:rsidRPr="006E16F2">
              <w:t>, and that you and your staff</w:t>
            </w:r>
            <w:r w:rsidR="00BA20E1" w:rsidRPr="006E16F2">
              <w:t xml:space="preserve"> adhere</w:t>
            </w:r>
            <w:r w:rsidRPr="006E16F2">
              <w:t xml:space="preserve"> to it.</w:t>
            </w:r>
          </w:p>
          <w:p w14:paraId="6E75D2BC" w14:textId="77777777" w:rsidR="00BA20E1" w:rsidRPr="006E16F2" w:rsidRDefault="00BA20E1"/>
          <w:p w14:paraId="2D935D38" w14:textId="0F35D1EB" w:rsidR="00BA20E1" w:rsidRPr="006E16F2" w:rsidRDefault="00BA20E1"/>
        </w:tc>
      </w:tr>
    </w:tbl>
    <w:p w14:paraId="2D935D3B" w14:textId="77777777" w:rsidR="007C3C55" w:rsidRPr="006E16F2" w:rsidRDefault="007C3C55" w:rsidP="007C3C55"/>
    <w:p w14:paraId="0D5B0B2E" w14:textId="77777777" w:rsidR="0080302D" w:rsidRPr="006E16F2" w:rsidRDefault="0080302D" w:rsidP="007C3C55"/>
    <w:p w14:paraId="2D935D3C" w14:textId="77777777" w:rsidR="007C3C55" w:rsidRPr="006E16F2" w:rsidRDefault="007C3C55" w:rsidP="00606802">
      <w:pPr>
        <w:pStyle w:val="Chapterhead"/>
      </w:pPr>
      <w:bookmarkStart w:id="63" w:name="_Toc504999079"/>
      <w:bookmarkStart w:id="64" w:name="_Toc505006038"/>
      <w:bookmarkStart w:id="65" w:name="_Toc505850153"/>
      <w:bookmarkStart w:id="66" w:name="_Toc71537496"/>
      <w:bookmarkStart w:id="67" w:name="Storage"/>
      <w:r w:rsidRPr="006E16F2">
        <w:t>Data storage</w:t>
      </w:r>
      <w:bookmarkEnd w:id="63"/>
      <w:bookmarkEnd w:id="64"/>
      <w:bookmarkEnd w:id="65"/>
      <w:bookmarkEnd w:id="66"/>
    </w:p>
    <w:bookmarkEnd w:id="67"/>
    <w:p w14:paraId="2D935D3D" w14:textId="4D4C32F4" w:rsidR="007C3C55" w:rsidRPr="006E16F2" w:rsidRDefault="007C3C55" w:rsidP="007C3C55">
      <w:pPr>
        <w:pStyle w:val="Paranumber"/>
        <w:tabs>
          <w:tab w:val="num" w:pos="567"/>
        </w:tabs>
        <w:ind w:left="0" w:firstLine="0"/>
      </w:pPr>
      <w:r w:rsidRPr="006E16F2">
        <w:t>The</w:t>
      </w:r>
      <w:r w:rsidR="009F528E">
        <w:t xml:space="preserve"> Data Controller</w:t>
      </w:r>
      <w:r w:rsidRPr="006E16F2">
        <w:t xml:space="preserve"> </w:t>
      </w:r>
      <w:r w:rsidR="005B2B3C">
        <w:t>has a duty</w:t>
      </w:r>
      <w:r w:rsidR="00451F06">
        <w:t xml:space="preserve"> </w:t>
      </w:r>
      <w:r w:rsidRPr="006E16F2">
        <w:t>to protect against unauthorised or unlawful processing and against accidental loss. Article 32</w:t>
      </w:r>
      <w:r w:rsidR="009F528E">
        <w:t xml:space="preserve"> of </w:t>
      </w:r>
      <w:r w:rsidR="00EF499E">
        <w:t xml:space="preserve">the </w:t>
      </w:r>
      <w:r w:rsidR="009F528E">
        <w:t>GDPR</w:t>
      </w:r>
      <w:r w:rsidRPr="006E16F2">
        <w:t xml:space="preserve"> requires that appropriate technical and organisational measures are in place to </w:t>
      </w:r>
      <w:r w:rsidRPr="006E16F2">
        <w:rPr>
          <w:b/>
        </w:rPr>
        <w:t>ensure a level of security, appropriate to the risk</w:t>
      </w:r>
      <w:r w:rsidRPr="006E16F2">
        <w:t>.</w:t>
      </w:r>
    </w:p>
    <w:p w14:paraId="2D935D3E" w14:textId="558224C7" w:rsidR="007C3C55" w:rsidRPr="006E16F2" w:rsidRDefault="007C3C55" w:rsidP="007C3C55">
      <w:pPr>
        <w:pStyle w:val="Paranumber"/>
        <w:tabs>
          <w:tab w:val="num" w:pos="567"/>
        </w:tabs>
        <w:ind w:left="0" w:firstLine="0"/>
      </w:pPr>
      <w:r w:rsidRPr="006E16F2">
        <w:t>Therefore, you</w:t>
      </w:r>
      <w:r w:rsidR="009F528E">
        <w:t xml:space="preserve"> must</w:t>
      </w:r>
      <w:r w:rsidRPr="006E16F2">
        <w:t xml:space="preserve"> determine </w:t>
      </w:r>
      <w:r w:rsidR="00F60CA9">
        <w:t xml:space="preserve">what </w:t>
      </w:r>
      <w:r w:rsidRPr="006E16F2">
        <w:t>appropriate security measures</w:t>
      </w:r>
      <w:r w:rsidR="009F528E">
        <w:t xml:space="preserve"> </w:t>
      </w:r>
      <w:r w:rsidRPr="006E16F2">
        <w:t xml:space="preserve">are in place to protect personal data, </w:t>
      </w:r>
      <w:r w:rsidR="005B2B3C">
        <w:t>for example ensur</w:t>
      </w:r>
      <w:r w:rsidR="0021791D">
        <w:t>ing</w:t>
      </w:r>
      <w:r w:rsidR="005B2B3C">
        <w:t xml:space="preserve"> that personal data is encrypted when it is being transferred, thus</w:t>
      </w:r>
      <w:r w:rsidR="005B2B3C" w:rsidRPr="006E16F2">
        <w:t xml:space="preserve"> </w:t>
      </w:r>
      <w:r w:rsidR="00AB7547" w:rsidRPr="006E16F2">
        <w:t xml:space="preserve">ensuring that </w:t>
      </w:r>
      <w:r w:rsidRPr="006E16F2">
        <w:t>you act as a ‘</w:t>
      </w:r>
      <w:r w:rsidRPr="006E16F2">
        <w:rPr>
          <w:b/>
        </w:rPr>
        <w:t>guardian</w:t>
      </w:r>
      <w:r w:rsidRPr="006E16F2">
        <w:t>’ for that data.</w:t>
      </w:r>
      <w:r w:rsidR="009F528E">
        <w:t xml:space="preserve"> </w:t>
      </w:r>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7C3C55" w:rsidRPr="006E16F2" w14:paraId="2D935D41" w14:textId="77777777" w:rsidTr="003D6095">
        <w:tc>
          <w:tcPr>
            <w:tcW w:w="9747" w:type="dxa"/>
            <w:tcBorders>
              <w:top w:val="single" w:sz="4" w:space="0" w:color="0099CC"/>
              <w:left w:val="single" w:sz="4" w:space="0" w:color="0099CC"/>
              <w:bottom w:val="single" w:sz="4" w:space="0" w:color="0099CC"/>
              <w:right w:val="single" w:sz="4" w:space="0" w:color="0099CC"/>
            </w:tcBorders>
            <w:hideMark/>
          </w:tcPr>
          <w:p w14:paraId="2D935D40" w14:textId="32413357" w:rsidR="007C3C55" w:rsidRPr="006E16F2" w:rsidRDefault="007C3C55" w:rsidP="00BA20E1">
            <w:r w:rsidRPr="006E16F2">
              <w:rPr>
                <w:noProof/>
              </w:rPr>
              <w:drawing>
                <wp:anchor distT="0" distB="0" distL="114300" distR="114300" simplePos="0" relativeHeight="251651072" behindDoc="0" locked="0" layoutInCell="1" allowOverlap="1" wp14:anchorId="2D935E05" wp14:editId="2D935E06">
                  <wp:simplePos x="0" y="0"/>
                  <wp:positionH relativeFrom="column">
                    <wp:posOffset>-33020</wp:posOffset>
                  </wp:positionH>
                  <wp:positionV relativeFrom="paragraph">
                    <wp:posOffset>6350</wp:posOffset>
                  </wp:positionV>
                  <wp:extent cx="503555" cy="685800"/>
                  <wp:effectExtent l="0" t="0" r="0" b="0"/>
                  <wp:wrapSquare wrapText="bothSides"/>
                  <wp:docPr id="4" name="Picture 4" descr="GD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P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pic:spPr>
                      </pic:pic>
                    </a:graphicData>
                  </a:graphic>
                  <wp14:sizeRelH relativeFrom="page">
                    <wp14:pctWidth>0</wp14:pctWidth>
                  </wp14:sizeRelH>
                  <wp14:sizeRelV relativeFrom="page">
                    <wp14:pctHeight>0</wp14:pctHeight>
                  </wp14:sizeRelV>
                </wp:anchor>
              </w:drawing>
            </w:r>
            <w:r w:rsidRPr="006E16F2">
              <w:rPr>
                <w:b/>
              </w:rPr>
              <w:t xml:space="preserve">Action: </w:t>
            </w:r>
            <w:r w:rsidRPr="006E16F2">
              <w:t>Your council will have corporate standards and processes for data handl</w:t>
            </w:r>
            <w:r w:rsidR="000D2AE6">
              <w:t xml:space="preserve">ing and security. </w:t>
            </w:r>
            <w:r w:rsidRPr="006E16F2">
              <w:t xml:space="preserve">You should review your processes with advice from your data protection officer and </w:t>
            </w:r>
            <w:r w:rsidR="00465CEB" w:rsidRPr="006E16F2">
              <w:t>information management/</w:t>
            </w:r>
            <w:r w:rsidRPr="006E16F2">
              <w:t>IT</w:t>
            </w:r>
            <w:r w:rsidR="00050FA7" w:rsidRPr="006E16F2">
              <w:t xml:space="preserve"> departments</w:t>
            </w:r>
            <w:r w:rsidR="00850D0B">
              <w:t xml:space="preserve">. </w:t>
            </w:r>
            <w:r w:rsidRPr="006E16F2">
              <w:t>They will be able to help you identify any risks to the security of the data you hold, whether on paper</w:t>
            </w:r>
            <w:r w:rsidR="00050FA7" w:rsidRPr="006E16F2">
              <w:t xml:space="preserve"> </w:t>
            </w:r>
            <w:r w:rsidRPr="006E16F2">
              <w:t>or stored electronically on your systems.</w:t>
            </w:r>
            <w:r w:rsidR="000D2AE6">
              <w:t xml:space="preserve"> </w:t>
            </w:r>
            <w:r w:rsidR="00465CEB" w:rsidRPr="006E16F2">
              <w:t>E</w:t>
            </w:r>
            <w:r w:rsidRPr="006E16F2">
              <w:t>nsure you have processes in place to retrieve data and securely destroy it at the appropriate time, in accordance with your document retention policy.</w:t>
            </w:r>
          </w:p>
        </w:tc>
      </w:tr>
    </w:tbl>
    <w:p w14:paraId="10EEC62E" w14:textId="465A5C16" w:rsidR="00517FC6" w:rsidRDefault="00517FC6" w:rsidP="003F0271"/>
    <w:p w14:paraId="138B89BE" w14:textId="77777777" w:rsidR="00517FC6" w:rsidRDefault="00517FC6">
      <w:pPr>
        <w:spacing w:after="200" w:line="276" w:lineRule="auto"/>
      </w:pPr>
      <w:r>
        <w:br w:type="page"/>
      </w:r>
    </w:p>
    <w:p w14:paraId="62D90BF3" w14:textId="2626D14F" w:rsidR="00AF30DD" w:rsidRPr="006E16F2" w:rsidRDefault="00AF30DD" w:rsidP="00606802">
      <w:pPr>
        <w:pStyle w:val="Chapterhead"/>
      </w:pPr>
      <w:bookmarkStart w:id="68" w:name="_Toc504999080"/>
      <w:bookmarkStart w:id="69" w:name="_Toc505006039"/>
      <w:bookmarkStart w:id="70" w:name="_Toc505850154"/>
      <w:bookmarkStart w:id="71" w:name="_Toc71537497"/>
      <w:bookmarkStart w:id="72" w:name="Contracters"/>
      <w:r w:rsidRPr="006E16F2">
        <w:t>Using contractors</w:t>
      </w:r>
      <w:r w:rsidR="00F02824" w:rsidRPr="006E16F2">
        <w:t xml:space="preserve"> and </w:t>
      </w:r>
      <w:r w:rsidRPr="006E16F2">
        <w:t>suppliers</w:t>
      </w:r>
      <w:bookmarkEnd w:id="68"/>
      <w:bookmarkEnd w:id="69"/>
      <w:bookmarkEnd w:id="70"/>
      <w:bookmarkEnd w:id="71"/>
    </w:p>
    <w:bookmarkEnd w:id="72"/>
    <w:p w14:paraId="3BAC5A6B" w14:textId="7F81FE8E" w:rsidR="00AF30DD" w:rsidRPr="006E16F2" w:rsidRDefault="00AF30DD" w:rsidP="00AF30DD">
      <w:pPr>
        <w:pStyle w:val="Paranumber"/>
        <w:tabs>
          <w:tab w:val="num" w:pos="567"/>
        </w:tabs>
        <w:ind w:left="0" w:firstLine="0"/>
      </w:pPr>
      <w:r w:rsidRPr="006E16F2">
        <w:t>As a data controller, you may use a ‘processor’ to act o</w:t>
      </w:r>
      <w:r w:rsidR="000D2AE6">
        <w:t xml:space="preserve">n your behalf to process data. </w:t>
      </w:r>
      <w:r w:rsidRPr="006E16F2">
        <w:t>For example, if you send register data to a contractor to provide an automated response facility during the canvass</w:t>
      </w:r>
      <w:r w:rsidR="00050FA7" w:rsidRPr="006E16F2">
        <w:t xml:space="preserve"> or </w:t>
      </w:r>
      <w:r w:rsidRPr="006E16F2">
        <w:t>send absent vote data to a contractor to produce postal ballot packs for an election, you are using a processor.</w:t>
      </w:r>
    </w:p>
    <w:p w14:paraId="5E159F59" w14:textId="3342F5FD" w:rsidR="00AF30DD" w:rsidRPr="006E16F2" w:rsidRDefault="00AF30DD" w:rsidP="00606802">
      <w:pPr>
        <w:pStyle w:val="B-head"/>
      </w:pPr>
      <w:bookmarkStart w:id="73" w:name="_Toc504999081"/>
      <w:bookmarkStart w:id="74" w:name="_Toc505006040"/>
      <w:bookmarkStart w:id="75" w:name="_Toc505850155"/>
      <w:bookmarkStart w:id="76" w:name="_Toc71537498"/>
      <w:r w:rsidRPr="006E16F2">
        <w:t xml:space="preserve">Requirement for a written </w:t>
      </w:r>
      <w:r w:rsidR="00706706">
        <w:t>contract</w:t>
      </w:r>
      <w:bookmarkEnd w:id="73"/>
      <w:bookmarkEnd w:id="74"/>
      <w:bookmarkEnd w:id="75"/>
      <w:bookmarkEnd w:id="76"/>
    </w:p>
    <w:p w14:paraId="7E8F096C" w14:textId="62C8CC4F" w:rsidR="00AF30DD" w:rsidRPr="006E16F2" w:rsidRDefault="00AF30DD" w:rsidP="00AF30DD">
      <w:pPr>
        <w:pStyle w:val="Paranumber"/>
        <w:tabs>
          <w:tab w:val="num" w:pos="567"/>
        </w:tabs>
        <w:ind w:left="0" w:firstLine="0"/>
      </w:pPr>
      <w:bookmarkStart w:id="77" w:name="_Ref503945952"/>
      <w:r w:rsidRPr="006E16F2">
        <w:t xml:space="preserve">Whenever you use a processor, </w:t>
      </w:r>
      <w:r w:rsidR="005B2B3C">
        <w:t>current data protection legislation</w:t>
      </w:r>
      <w:r w:rsidRPr="006E16F2">
        <w:t xml:space="preserve"> imposes a </w:t>
      </w:r>
      <w:r w:rsidRPr="006E16F2">
        <w:rPr>
          <w:b/>
        </w:rPr>
        <w:t>legal obligation</w:t>
      </w:r>
      <w:r w:rsidRPr="006E16F2">
        <w:t xml:space="preserve"> to formalise the working relationship in a written contract which sets out:</w:t>
      </w:r>
      <w:bookmarkEnd w:id="77"/>
    </w:p>
    <w:p w14:paraId="50696A3F" w14:textId="56FCCF1A" w:rsidR="00AF30DD" w:rsidRPr="006E16F2" w:rsidRDefault="00AF30DD" w:rsidP="00AF30DD">
      <w:pPr>
        <w:pStyle w:val="Bulletpoints"/>
        <w:numPr>
          <w:ilvl w:val="0"/>
          <w:numId w:val="12"/>
        </w:numPr>
        <w:tabs>
          <w:tab w:val="num" w:pos="567"/>
        </w:tabs>
        <w:spacing w:after="240"/>
        <w:ind w:left="567" w:hanging="567"/>
        <w:contextualSpacing/>
      </w:pPr>
      <w:r w:rsidRPr="006E16F2">
        <w:t xml:space="preserve">the </w:t>
      </w:r>
      <w:r w:rsidR="00650BDF" w:rsidRPr="006E16F2">
        <w:t>subject matter</w:t>
      </w:r>
      <w:r w:rsidRPr="006E16F2">
        <w:t>, natur</w:t>
      </w:r>
      <w:r w:rsidR="00E01EE6">
        <w:t>e and purpose of the processing</w:t>
      </w:r>
    </w:p>
    <w:p w14:paraId="1B079EBA" w14:textId="3788358D" w:rsidR="00650BDF" w:rsidRPr="006E16F2" w:rsidRDefault="00650BDF" w:rsidP="00AF30DD">
      <w:pPr>
        <w:pStyle w:val="Bulletpoints"/>
        <w:numPr>
          <w:ilvl w:val="0"/>
          <w:numId w:val="12"/>
        </w:numPr>
        <w:tabs>
          <w:tab w:val="num" w:pos="567"/>
        </w:tabs>
        <w:spacing w:after="240"/>
        <w:ind w:left="567" w:hanging="567"/>
        <w:contextualSpacing/>
      </w:pPr>
      <w:r w:rsidRPr="006E16F2">
        <w:t>the obligations and rights of the data controller</w:t>
      </w:r>
    </w:p>
    <w:p w14:paraId="771DD005" w14:textId="5C609218" w:rsidR="00AF30DD" w:rsidRPr="006E16F2" w:rsidRDefault="00AF30DD" w:rsidP="00AF30DD">
      <w:pPr>
        <w:pStyle w:val="Bulletpoints"/>
        <w:numPr>
          <w:ilvl w:val="0"/>
          <w:numId w:val="12"/>
        </w:numPr>
        <w:tabs>
          <w:tab w:val="num" w:pos="567"/>
        </w:tabs>
        <w:spacing w:after="240"/>
        <w:ind w:left="567" w:hanging="567"/>
        <w:contextualSpacing/>
      </w:pPr>
      <w:r w:rsidRPr="006E16F2">
        <w:t>duration of the processi</w:t>
      </w:r>
      <w:r w:rsidR="00E01EE6">
        <w:t>ng</w:t>
      </w:r>
      <w:r w:rsidRPr="006E16F2">
        <w:t xml:space="preserve"> and</w:t>
      </w:r>
    </w:p>
    <w:p w14:paraId="4DC2478D" w14:textId="57A267F6" w:rsidR="00AF30DD" w:rsidRPr="006E16F2" w:rsidRDefault="00AF30DD" w:rsidP="00AF30DD">
      <w:pPr>
        <w:pStyle w:val="Bulletpoints"/>
        <w:numPr>
          <w:ilvl w:val="0"/>
          <w:numId w:val="12"/>
        </w:numPr>
        <w:tabs>
          <w:tab w:val="num" w:pos="567"/>
        </w:tabs>
        <w:spacing w:after="240"/>
        <w:ind w:left="567" w:hanging="567"/>
        <w:contextualSpacing/>
      </w:pPr>
      <w:r w:rsidRPr="006E16F2">
        <w:t xml:space="preserve">the types of personal data </w:t>
      </w:r>
      <w:r w:rsidR="00377F40">
        <w:t>and categories of data subjects</w:t>
      </w:r>
    </w:p>
    <w:p w14:paraId="313FD01A" w14:textId="1805F239" w:rsidR="00AF30DD" w:rsidRPr="006E16F2" w:rsidRDefault="00AF30DD" w:rsidP="00AF30DD">
      <w:pPr>
        <w:pStyle w:val="Paranumber"/>
        <w:tabs>
          <w:tab w:val="num" w:pos="567"/>
        </w:tabs>
        <w:ind w:left="0" w:firstLine="0"/>
      </w:pPr>
      <w:bookmarkStart w:id="78" w:name="_Ref503945960"/>
      <w:r w:rsidRPr="006E16F2">
        <w:t>In addition,</w:t>
      </w:r>
      <w:r w:rsidR="00CE5DB5">
        <w:t xml:space="preserve"> it is</w:t>
      </w:r>
      <w:r w:rsidR="00975821" w:rsidRPr="006E16F2">
        <w:t xml:space="preserve"> </w:t>
      </w:r>
      <w:r w:rsidR="0021791D" w:rsidRPr="006E16F2">
        <w:t>require</w:t>
      </w:r>
      <w:r w:rsidR="0021791D">
        <w:t>d</w:t>
      </w:r>
      <w:r w:rsidR="0021791D" w:rsidRPr="006E16F2">
        <w:t xml:space="preserve"> </w:t>
      </w:r>
      <w:r w:rsidR="00975821" w:rsidRPr="006E16F2">
        <w:t xml:space="preserve">that the </w:t>
      </w:r>
      <w:r w:rsidRPr="006E16F2">
        <w:t>contract must set out specific obligations on the processor, including that they:</w:t>
      </w:r>
      <w:bookmarkEnd w:id="78"/>
    </w:p>
    <w:p w14:paraId="781F5427" w14:textId="77777777" w:rsidR="00AF30DD" w:rsidRPr="006E16F2" w:rsidRDefault="00AF30DD" w:rsidP="00AF30DD">
      <w:pPr>
        <w:pStyle w:val="Bulletpoints"/>
        <w:numPr>
          <w:ilvl w:val="0"/>
          <w:numId w:val="12"/>
        </w:numPr>
        <w:tabs>
          <w:tab w:val="num" w:pos="567"/>
        </w:tabs>
        <w:spacing w:after="240"/>
        <w:ind w:left="567" w:hanging="567"/>
        <w:contextualSpacing/>
      </w:pPr>
      <w:r w:rsidRPr="006E16F2">
        <w:t>comply with your instructions</w:t>
      </w:r>
    </w:p>
    <w:p w14:paraId="536FBA80" w14:textId="1D8C9911" w:rsidR="00650BDF" w:rsidRPr="006E16F2" w:rsidRDefault="00650BDF" w:rsidP="00AF30DD">
      <w:pPr>
        <w:pStyle w:val="Bulletpoints"/>
        <w:numPr>
          <w:ilvl w:val="0"/>
          <w:numId w:val="12"/>
        </w:numPr>
        <w:tabs>
          <w:tab w:val="num" w:pos="567"/>
        </w:tabs>
        <w:spacing w:after="240"/>
        <w:ind w:left="567" w:hanging="567"/>
        <w:contextualSpacing/>
      </w:pPr>
      <w:r w:rsidRPr="006E16F2">
        <w:t>are subject to a duty of confidentiality</w:t>
      </w:r>
    </w:p>
    <w:p w14:paraId="64EC4CC9" w14:textId="77777777" w:rsidR="00AF30DD" w:rsidRPr="006E16F2" w:rsidRDefault="00AF30DD" w:rsidP="00AF30DD">
      <w:pPr>
        <w:pStyle w:val="Bulletpoints"/>
        <w:numPr>
          <w:ilvl w:val="0"/>
          <w:numId w:val="12"/>
        </w:numPr>
        <w:tabs>
          <w:tab w:val="num" w:pos="567"/>
        </w:tabs>
        <w:spacing w:after="240"/>
        <w:ind w:left="567" w:hanging="567"/>
        <w:contextualSpacing/>
      </w:pPr>
      <w:r w:rsidRPr="006E16F2">
        <w:t>keep personal data secure and notify you of any breach</w:t>
      </w:r>
    </w:p>
    <w:p w14:paraId="584A9528" w14:textId="77777777" w:rsidR="00AF30DD" w:rsidRPr="006E16F2" w:rsidRDefault="00AF30DD" w:rsidP="00AF30DD">
      <w:pPr>
        <w:pStyle w:val="Bulletpoints"/>
        <w:numPr>
          <w:ilvl w:val="0"/>
          <w:numId w:val="12"/>
        </w:numPr>
        <w:tabs>
          <w:tab w:val="num" w:pos="567"/>
        </w:tabs>
        <w:spacing w:after="240"/>
        <w:ind w:left="567" w:hanging="567"/>
        <w:contextualSpacing/>
      </w:pPr>
      <w:r w:rsidRPr="006E16F2">
        <w:t>maintain written records of the processing activities they carry out for you</w:t>
      </w:r>
    </w:p>
    <w:p w14:paraId="40490D14" w14:textId="77777777" w:rsidR="00AF30DD" w:rsidRPr="006E16F2" w:rsidRDefault="00AF30DD" w:rsidP="00AF30DD">
      <w:pPr>
        <w:pStyle w:val="Bulletpoints"/>
        <w:numPr>
          <w:ilvl w:val="0"/>
          <w:numId w:val="12"/>
        </w:numPr>
        <w:tabs>
          <w:tab w:val="num" w:pos="567"/>
        </w:tabs>
        <w:spacing w:after="240"/>
        <w:ind w:left="567" w:hanging="567"/>
        <w:contextualSpacing/>
      </w:pPr>
      <w:r w:rsidRPr="006E16F2">
        <w:t>only use a sub-processor with your consent</w:t>
      </w:r>
    </w:p>
    <w:p w14:paraId="4D87812C" w14:textId="6BB34EE3" w:rsidR="00AF30DD" w:rsidRPr="006E16F2" w:rsidRDefault="00AF30DD" w:rsidP="00AF30DD">
      <w:pPr>
        <w:pStyle w:val="Bulletpoints"/>
        <w:numPr>
          <w:ilvl w:val="0"/>
          <w:numId w:val="12"/>
        </w:numPr>
        <w:tabs>
          <w:tab w:val="num" w:pos="567"/>
        </w:tabs>
        <w:spacing w:after="240"/>
        <w:ind w:left="567" w:hanging="567"/>
        <w:contextualSpacing/>
      </w:pPr>
      <w:r w:rsidRPr="006E16F2">
        <w:t>submit to audits and inspections and provide you with whatever information you need to ensure compliance</w:t>
      </w:r>
      <w:r w:rsidR="00CE5DB5">
        <w:t xml:space="preserve"> with current data protection legislation</w:t>
      </w:r>
    </w:p>
    <w:p w14:paraId="627344B5" w14:textId="6F05FBC7" w:rsidR="00AF30DD" w:rsidRPr="006E16F2" w:rsidRDefault="00AF30DD" w:rsidP="00AF30DD">
      <w:pPr>
        <w:pStyle w:val="Bulletpoints"/>
        <w:numPr>
          <w:ilvl w:val="0"/>
          <w:numId w:val="12"/>
        </w:numPr>
        <w:tabs>
          <w:tab w:val="num" w:pos="567"/>
        </w:tabs>
        <w:spacing w:after="240"/>
        <w:ind w:left="567" w:hanging="567"/>
        <w:contextualSpacing/>
      </w:pPr>
      <w:r w:rsidRPr="006E16F2">
        <w:t>delete or return all personal data to you as reque</w:t>
      </w:r>
      <w:r w:rsidR="00E01EE6">
        <w:t>sted at the end of the contract</w:t>
      </w:r>
    </w:p>
    <w:p w14:paraId="25D0C43E" w14:textId="6A4FD833" w:rsidR="00985C5B" w:rsidRDefault="00AF30DD" w:rsidP="0014608F">
      <w:pPr>
        <w:pStyle w:val="Paranumber"/>
        <w:tabs>
          <w:tab w:val="num" w:pos="567"/>
        </w:tabs>
        <w:ind w:left="0" w:firstLine="0"/>
      </w:pPr>
      <w:r w:rsidRPr="006E16F2">
        <w:t>As the data controller, you remain ultimately responsible</w:t>
      </w:r>
      <w:r w:rsidRPr="006E16F2">
        <w:rPr>
          <w:b/>
        </w:rPr>
        <w:t xml:space="preserve"> </w:t>
      </w:r>
      <w:r w:rsidRPr="006E16F2">
        <w:t xml:space="preserve">for ensuring that personal data is processed in accordance with </w:t>
      </w:r>
      <w:r w:rsidR="00CE5DB5">
        <w:t>data protection principles</w:t>
      </w:r>
      <w:r w:rsidRPr="006E16F2">
        <w:t>. However, if a processor fails to meet any of its obligations, or acts against your instructions, then it may also be liable to pay damages or be subject to fines or other pen</w:t>
      </w:r>
      <w:r w:rsidR="00850D0B">
        <w:t xml:space="preserve">alties or corrective measures. </w:t>
      </w:r>
      <w:r w:rsidRPr="006E16F2">
        <w:t>The ICO has provided guidance ‘</w:t>
      </w:r>
      <w:hyperlink r:id="rId38" w:history="1">
        <w:r w:rsidRPr="006E16F2">
          <w:rPr>
            <w:rStyle w:val="Hyperlink"/>
          </w:rPr>
          <w:t>Contracts and liabilities between controllers and processors</w:t>
        </w:r>
      </w:hyperlink>
      <w:r w:rsidRPr="006E16F2">
        <w:t xml:space="preserve">’ </w:t>
      </w:r>
      <w:r w:rsidR="00050FA7" w:rsidRPr="006E16F2">
        <w:t>which you should consider in relation to your contracts with data processors.</w:t>
      </w:r>
      <w:bookmarkStart w:id="79" w:name="_Toc504999082"/>
      <w:bookmarkStart w:id="80" w:name="_Toc505006041"/>
      <w:bookmarkStart w:id="81" w:name="_Toc505850156"/>
    </w:p>
    <w:p w14:paraId="76AD5258" w14:textId="777A31AD" w:rsidR="00AF30DD" w:rsidRPr="006E16F2" w:rsidRDefault="00AF30DD" w:rsidP="00606802">
      <w:pPr>
        <w:pStyle w:val="B-head"/>
      </w:pPr>
      <w:bookmarkStart w:id="82" w:name="_Toc71537499"/>
      <w:r w:rsidRPr="006E16F2">
        <w:t>Appointing processors</w:t>
      </w:r>
      <w:bookmarkEnd w:id="79"/>
      <w:bookmarkEnd w:id="80"/>
      <w:bookmarkEnd w:id="81"/>
      <w:bookmarkEnd w:id="82"/>
    </w:p>
    <w:p w14:paraId="723CFB24" w14:textId="1BF01279" w:rsidR="00AF30DD" w:rsidRPr="006E16F2" w:rsidRDefault="00CE5DB5" w:rsidP="00AF30DD">
      <w:pPr>
        <w:pStyle w:val="Paranumber"/>
        <w:tabs>
          <w:tab w:val="num" w:pos="567"/>
        </w:tabs>
        <w:ind w:left="0" w:firstLine="0"/>
      </w:pPr>
      <w:r>
        <w:t>The law</w:t>
      </w:r>
      <w:r w:rsidR="00AF30DD" w:rsidRPr="006E16F2">
        <w:t xml:space="preserve"> requires that you only appoint a processor that can provide ‘</w:t>
      </w:r>
      <w:r w:rsidR="00AF30DD" w:rsidRPr="006E16F2">
        <w:rPr>
          <w:b/>
        </w:rPr>
        <w:t>sufficient guarantees</w:t>
      </w:r>
      <w:r w:rsidR="00AF30DD" w:rsidRPr="006E16F2">
        <w:t>’ that the requirements of the</w:t>
      </w:r>
      <w:r>
        <w:t xml:space="preserve"> current data protection legislation </w:t>
      </w:r>
      <w:r w:rsidR="00AF30DD" w:rsidRPr="006E16F2">
        <w:t>will be met.</w:t>
      </w:r>
    </w:p>
    <w:p w14:paraId="410450FC" w14:textId="76F5AC62" w:rsidR="00E23B5D" w:rsidRPr="006E16F2" w:rsidRDefault="00CE5DB5" w:rsidP="00E23B5D">
      <w:pPr>
        <w:pStyle w:val="Paranumber"/>
        <w:ind w:left="0" w:firstLine="0"/>
      </w:pPr>
      <w:r>
        <w:t>T</w:t>
      </w:r>
      <w:r w:rsidR="00E23B5D" w:rsidRPr="006E16F2">
        <w:t>his resource</w:t>
      </w:r>
      <w:r>
        <w:t xml:space="preserve"> was</w:t>
      </w:r>
      <w:r w:rsidR="00E23B5D" w:rsidRPr="006E16F2">
        <w:t xml:space="preserve"> </w:t>
      </w:r>
      <w:r w:rsidR="00F60CA9">
        <w:t xml:space="preserve">shared </w:t>
      </w:r>
      <w:r w:rsidR="00E23B5D" w:rsidRPr="006E16F2">
        <w:t xml:space="preserve">with the Cabinet Office’s Suppliers’ Group network to help them prepare to support you in managing the impact </w:t>
      </w:r>
      <w:r>
        <w:t xml:space="preserve">data protection obligations will have </w:t>
      </w:r>
      <w:r w:rsidR="00E23B5D" w:rsidRPr="006E16F2">
        <w:t>on your delivery of well-run elections and electoral registration.</w:t>
      </w:r>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AF30DD" w:rsidRPr="006E16F2" w14:paraId="2CB59A4F" w14:textId="77777777" w:rsidTr="003D6095">
        <w:tc>
          <w:tcPr>
            <w:tcW w:w="9606" w:type="dxa"/>
            <w:tcBorders>
              <w:top w:val="single" w:sz="4" w:space="0" w:color="0099CC"/>
              <w:left w:val="single" w:sz="4" w:space="0" w:color="0099CC"/>
              <w:bottom w:val="single" w:sz="4" w:space="0" w:color="0099CC"/>
              <w:right w:val="single" w:sz="4" w:space="0" w:color="0099CC"/>
            </w:tcBorders>
            <w:hideMark/>
          </w:tcPr>
          <w:p w14:paraId="28CED613" w14:textId="77777777" w:rsidR="00AF30DD" w:rsidRPr="006E16F2" w:rsidRDefault="00AF30DD" w:rsidP="00F66D81">
            <w:pPr>
              <w:spacing w:after="120"/>
            </w:pPr>
            <w:r w:rsidRPr="006E16F2">
              <w:rPr>
                <w:noProof/>
              </w:rPr>
              <w:drawing>
                <wp:anchor distT="0" distB="0" distL="114300" distR="114300" simplePos="0" relativeHeight="251654144" behindDoc="0" locked="0" layoutInCell="1" allowOverlap="1" wp14:anchorId="64AFDA44" wp14:editId="49555C16">
                  <wp:simplePos x="0" y="0"/>
                  <wp:positionH relativeFrom="column">
                    <wp:posOffset>-33020</wp:posOffset>
                  </wp:positionH>
                  <wp:positionV relativeFrom="paragraph">
                    <wp:posOffset>6350</wp:posOffset>
                  </wp:positionV>
                  <wp:extent cx="503555" cy="685800"/>
                  <wp:effectExtent l="0" t="0" r="0" b="0"/>
                  <wp:wrapSquare wrapText="bothSides"/>
                  <wp:docPr id="2" name="Picture 2" descr="GD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DP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pic:spPr>
                      </pic:pic>
                    </a:graphicData>
                  </a:graphic>
                  <wp14:sizeRelH relativeFrom="page">
                    <wp14:pctWidth>0</wp14:pctWidth>
                  </wp14:sizeRelH>
                  <wp14:sizeRelV relativeFrom="page">
                    <wp14:pctHeight>0</wp14:pctHeight>
                  </wp14:sizeRelV>
                </wp:anchor>
              </w:drawing>
            </w:r>
            <w:r w:rsidRPr="006E16F2">
              <w:rPr>
                <w:b/>
              </w:rPr>
              <w:t xml:space="preserve">Action: </w:t>
            </w:r>
            <w:r w:rsidRPr="006E16F2">
              <w:t xml:space="preserve">Ensure that data protection is integral in any tender exercise (documenting your decision-making process) and that the requirements in paragraphs </w:t>
            </w:r>
            <w:r w:rsidRPr="006E16F2">
              <w:rPr>
                <w:b/>
              </w:rPr>
              <w:fldChar w:fldCharType="begin"/>
            </w:r>
            <w:r w:rsidRPr="006E16F2">
              <w:rPr>
                <w:b/>
              </w:rPr>
              <w:instrText xml:space="preserve"> REF _Ref503945952 \r \h  \* MERGEFORMAT </w:instrText>
            </w:r>
            <w:r w:rsidRPr="006E16F2">
              <w:rPr>
                <w:b/>
              </w:rPr>
            </w:r>
            <w:r w:rsidRPr="006E16F2">
              <w:rPr>
                <w:b/>
              </w:rPr>
              <w:fldChar w:fldCharType="separate"/>
            </w:r>
            <w:r w:rsidR="00E60484" w:rsidRPr="006E16F2">
              <w:rPr>
                <w:b/>
              </w:rPr>
              <w:t>7.2</w:t>
            </w:r>
            <w:r w:rsidRPr="006E16F2">
              <w:rPr>
                <w:b/>
              </w:rPr>
              <w:fldChar w:fldCharType="end"/>
            </w:r>
            <w:r w:rsidRPr="006E16F2">
              <w:t xml:space="preserve"> and </w:t>
            </w:r>
            <w:r w:rsidRPr="006E16F2">
              <w:rPr>
                <w:b/>
              </w:rPr>
              <w:fldChar w:fldCharType="begin"/>
            </w:r>
            <w:r w:rsidRPr="006E16F2">
              <w:rPr>
                <w:b/>
              </w:rPr>
              <w:instrText xml:space="preserve"> REF _Ref503945960 \r \h  \* MERGEFORMAT </w:instrText>
            </w:r>
            <w:r w:rsidRPr="006E16F2">
              <w:rPr>
                <w:b/>
              </w:rPr>
            </w:r>
            <w:r w:rsidRPr="006E16F2">
              <w:rPr>
                <w:b/>
              </w:rPr>
              <w:fldChar w:fldCharType="separate"/>
            </w:r>
            <w:r w:rsidR="00E60484" w:rsidRPr="006E16F2">
              <w:rPr>
                <w:b/>
              </w:rPr>
              <w:t>7.3</w:t>
            </w:r>
            <w:r w:rsidRPr="006E16F2">
              <w:rPr>
                <w:b/>
              </w:rPr>
              <w:fldChar w:fldCharType="end"/>
            </w:r>
            <w:r w:rsidRPr="006E16F2">
              <w:t xml:space="preserve"> are met in any contract awarded.</w:t>
            </w:r>
          </w:p>
          <w:p w14:paraId="21F770F8" w14:textId="535959D3" w:rsidR="00AF30DD" w:rsidRPr="006E16F2" w:rsidRDefault="00AF30DD" w:rsidP="00F60CA9">
            <w:pPr>
              <w:spacing w:after="120"/>
            </w:pPr>
            <w:r w:rsidRPr="006E16F2">
              <w:t xml:space="preserve">Satisfy yourself that your existing contractors/suppliers are aware of their obligations under the </w:t>
            </w:r>
            <w:r w:rsidR="00CE5DB5">
              <w:t>current data protection legislation</w:t>
            </w:r>
            <w:r w:rsidRPr="006E16F2">
              <w:t xml:space="preserve">, and that any existing contracts meet the requirements in paragraphs </w:t>
            </w:r>
            <w:r w:rsidRPr="006E16F2">
              <w:rPr>
                <w:b/>
              </w:rPr>
              <w:fldChar w:fldCharType="begin"/>
            </w:r>
            <w:r w:rsidRPr="006E16F2">
              <w:rPr>
                <w:b/>
              </w:rPr>
              <w:instrText xml:space="preserve"> REF _Ref503945952 \r \h  \* MERGEFORMAT </w:instrText>
            </w:r>
            <w:r w:rsidRPr="006E16F2">
              <w:rPr>
                <w:b/>
              </w:rPr>
            </w:r>
            <w:r w:rsidRPr="006E16F2">
              <w:rPr>
                <w:b/>
              </w:rPr>
              <w:fldChar w:fldCharType="separate"/>
            </w:r>
            <w:r w:rsidR="00E60484" w:rsidRPr="006E16F2">
              <w:rPr>
                <w:b/>
              </w:rPr>
              <w:t>7.2</w:t>
            </w:r>
            <w:r w:rsidRPr="006E16F2">
              <w:rPr>
                <w:b/>
              </w:rPr>
              <w:fldChar w:fldCharType="end"/>
            </w:r>
            <w:r w:rsidRPr="006E16F2">
              <w:t xml:space="preserve"> and </w:t>
            </w:r>
            <w:r w:rsidRPr="006E16F2">
              <w:rPr>
                <w:b/>
              </w:rPr>
              <w:fldChar w:fldCharType="begin"/>
            </w:r>
            <w:r w:rsidRPr="006E16F2">
              <w:rPr>
                <w:b/>
              </w:rPr>
              <w:instrText xml:space="preserve"> REF _Ref503945960 \r \h  \* MERGEFORMAT </w:instrText>
            </w:r>
            <w:r w:rsidRPr="006E16F2">
              <w:rPr>
                <w:b/>
              </w:rPr>
            </w:r>
            <w:r w:rsidRPr="006E16F2">
              <w:rPr>
                <w:b/>
              </w:rPr>
              <w:fldChar w:fldCharType="separate"/>
            </w:r>
            <w:r w:rsidR="00E60484" w:rsidRPr="006E16F2">
              <w:rPr>
                <w:b/>
              </w:rPr>
              <w:t>7.3</w:t>
            </w:r>
            <w:r w:rsidRPr="006E16F2">
              <w:rPr>
                <w:b/>
              </w:rPr>
              <w:fldChar w:fldCharType="end"/>
            </w:r>
            <w:r w:rsidRPr="006E16F2">
              <w:t xml:space="preserve"> </w:t>
            </w:r>
          </w:p>
        </w:tc>
      </w:tr>
    </w:tbl>
    <w:p w14:paraId="15B0EA66" w14:textId="68A1854D" w:rsidR="00517FC6" w:rsidRDefault="00517FC6" w:rsidP="00506736"/>
    <w:p w14:paraId="1783BE08" w14:textId="77777777" w:rsidR="00517FC6" w:rsidRDefault="00517FC6">
      <w:pPr>
        <w:spacing w:after="200" w:line="276" w:lineRule="auto"/>
      </w:pPr>
      <w:r>
        <w:br w:type="page"/>
      </w:r>
    </w:p>
    <w:p w14:paraId="200FDE69" w14:textId="011EC20E" w:rsidR="00CE37BF" w:rsidRPr="006E16F2" w:rsidRDefault="00CE37BF" w:rsidP="00606802">
      <w:pPr>
        <w:pStyle w:val="Chapterhead"/>
      </w:pPr>
      <w:bookmarkStart w:id="83" w:name="_Toc504999083"/>
      <w:bookmarkStart w:id="84" w:name="_Toc505006042"/>
      <w:bookmarkStart w:id="85" w:name="_Toc505850157"/>
      <w:bookmarkStart w:id="86" w:name="_Toc71537500"/>
      <w:bookmarkStart w:id="87" w:name="DataShare"/>
      <w:r w:rsidRPr="006E16F2">
        <w:t>Data sharing agreements with external organisations</w:t>
      </w:r>
      <w:bookmarkEnd w:id="83"/>
      <w:bookmarkEnd w:id="84"/>
      <w:bookmarkEnd w:id="85"/>
      <w:bookmarkEnd w:id="86"/>
    </w:p>
    <w:bookmarkEnd w:id="87"/>
    <w:p w14:paraId="7B376157" w14:textId="643ABE34" w:rsidR="00CE37BF" w:rsidRPr="006E16F2" w:rsidRDefault="00CE37BF" w:rsidP="00CE37BF">
      <w:pPr>
        <w:pStyle w:val="Paranumber"/>
        <w:tabs>
          <w:tab w:val="num" w:pos="567"/>
        </w:tabs>
        <w:ind w:left="0" w:firstLine="0"/>
      </w:pPr>
      <w:r w:rsidRPr="006E16F2">
        <w:t>As ERO, you may be obtaining personal data from partners (for example</w:t>
      </w:r>
      <w:r w:rsidR="00BA20E1" w:rsidRPr="006E16F2">
        <w:t>:</w:t>
      </w:r>
      <w:r w:rsidRPr="006E16F2">
        <w:t xml:space="preserve"> student data from universities; resident data from care homes</w:t>
      </w:r>
      <w:r w:rsidR="00850D0B">
        <w:t>).</w:t>
      </w:r>
      <w:r w:rsidRPr="006E16F2">
        <w:t xml:space="preserve"> In this situation, the partner will be a data controller in their own right.</w:t>
      </w:r>
    </w:p>
    <w:p w14:paraId="47586DA1" w14:textId="626F3FF2" w:rsidR="00A274A2" w:rsidRPr="006E16F2" w:rsidRDefault="009E297E" w:rsidP="00A274A2">
      <w:pPr>
        <w:pStyle w:val="Paranumber"/>
        <w:tabs>
          <w:tab w:val="num" w:pos="567"/>
        </w:tabs>
        <w:ind w:left="0" w:firstLine="0"/>
      </w:pPr>
      <w:r>
        <w:t>Although</w:t>
      </w:r>
      <w:r w:rsidR="00CE5DB5">
        <w:t xml:space="preserve"> current data protection legislation</w:t>
      </w:r>
      <w:r w:rsidR="00CE37BF" w:rsidRPr="006E16F2">
        <w:t xml:space="preserve"> does not require a written agreement when sharing data between data controllers, it is strongly recommended that you agree with your partner a da</w:t>
      </w:r>
      <w:r w:rsidR="00850D0B">
        <w:t xml:space="preserve">ta sharing agreement/protocol. </w:t>
      </w:r>
      <w:r w:rsidR="00CE37BF" w:rsidRPr="006E16F2">
        <w:t xml:space="preserve">This will help you both demonstrate that you are acting in accordance with the </w:t>
      </w:r>
      <w:r w:rsidR="00CE5DB5">
        <w:t>data protection principles</w:t>
      </w:r>
      <w:r w:rsidR="00CE5DB5" w:rsidRPr="006E16F2">
        <w:t xml:space="preserve"> </w:t>
      </w:r>
      <w:r w:rsidR="00CE37BF" w:rsidRPr="006E16F2">
        <w:t>and, importantly, will help to avoid any liability implications of one party being seen as a controller and the other being seen as a processor.</w:t>
      </w:r>
    </w:p>
    <w:p w14:paraId="083ADEC5" w14:textId="62EA635A" w:rsidR="00CE37BF" w:rsidRDefault="00CE37BF" w:rsidP="00CE37BF">
      <w:pPr>
        <w:pStyle w:val="Paranumber"/>
        <w:tabs>
          <w:tab w:val="num" w:pos="567"/>
        </w:tabs>
        <w:ind w:left="0" w:firstLine="0"/>
      </w:pPr>
      <w:r w:rsidRPr="006E16F2">
        <w:t xml:space="preserve">In </w:t>
      </w:r>
      <w:hyperlink w:anchor="Appx4" w:history="1">
        <w:r w:rsidR="00F41A5F" w:rsidRPr="006E16F2">
          <w:rPr>
            <w:rStyle w:val="Hyperlink"/>
            <w:b/>
          </w:rPr>
          <w:t xml:space="preserve">Appendix </w:t>
        </w:r>
        <w:r w:rsidR="00F7573C" w:rsidRPr="006E16F2">
          <w:rPr>
            <w:rStyle w:val="Hyperlink"/>
            <w:b/>
          </w:rPr>
          <w:t>4</w:t>
        </w:r>
      </w:hyperlink>
      <w:r w:rsidRPr="006E16F2">
        <w:t xml:space="preserve"> we have made available a </w:t>
      </w:r>
      <w:r w:rsidR="00B63ED1" w:rsidRPr="006E16F2">
        <w:t xml:space="preserve">checklist that you can use when developing a </w:t>
      </w:r>
      <w:r w:rsidRPr="006E16F2">
        <w:t>d</w:t>
      </w:r>
      <w:r w:rsidR="00850D0B">
        <w:t>ata sharing agreement/protocol.</w:t>
      </w:r>
      <w:r w:rsidRPr="006E16F2">
        <w:t xml:space="preserve"> Your council may have developed a template agreement and</w:t>
      </w:r>
      <w:r w:rsidR="00F41A5F" w:rsidRPr="006E16F2">
        <w:t>,</w:t>
      </w:r>
      <w:r w:rsidRPr="006E16F2">
        <w:t xml:space="preserve"> </w:t>
      </w:r>
      <w:r w:rsidR="00F41A5F" w:rsidRPr="006E16F2">
        <w:t xml:space="preserve">in any case, </w:t>
      </w:r>
      <w:r w:rsidRPr="006E16F2">
        <w:t xml:space="preserve">you should discuss any data sharing agreement with your council’s Data Protection Officer/Information Officer. </w:t>
      </w:r>
    </w:p>
    <w:p w14:paraId="64D4AFC1" w14:textId="14E3EF89" w:rsidR="00A274A2" w:rsidRPr="00A274A2" w:rsidRDefault="00A274A2" w:rsidP="00606802">
      <w:pPr>
        <w:pStyle w:val="B-head"/>
      </w:pPr>
      <w:bookmarkStart w:id="88" w:name="_Toc71537501"/>
      <w:r w:rsidRPr="00A274A2">
        <w:t>Supply of the register</w:t>
      </w:r>
      <w:bookmarkEnd w:id="88"/>
    </w:p>
    <w:p w14:paraId="7E3F61F8" w14:textId="5D9028D1" w:rsidR="00A274A2" w:rsidRPr="006E16F2" w:rsidRDefault="00A274A2" w:rsidP="00613AB6">
      <w:pPr>
        <w:pStyle w:val="Paranumber"/>
        <w:tabs>
          <w:tab w:val="num" w:pos="567"/>
        </w:tabs>
        <w:ind w:left="0" w:firstLine="0"/>
      </w:pPr>
      <w:r>
        <w:t>The RPR 2001 provides a statutory framework for the supply of the electoral register, and the ERO must supply the register in acc</w:t>
      </w:r>
      <w:r w:rsidR="00850D0B">
        <w:t>ordance with those Regulations.</w:t>
      </w:r>
      <w:r>
        <w:t xml:space="preserve"> Similarly, the recipient must only use the register for the purposes specified in those Regulations. Whilst an ERO could have a </w:t>
      </w:r>
      <w:r w:rsidR="0014608F">
        <w:t>data sharing agreement</w:t>
      </w:r>
      <w:r>
        <w:t xml:space="preserve"> with an organisation in relation to the supply of the register</w:t>
      </w:r>
      <w:r w:rsidR="00277623">
        <w:t xml:space="preserve"> (for example, a credit reference agency)</w:t>
      </w:r>
      <w:r>
        <w:t>, there is no requirement for them to do so and each ERO would need to be careful that the provisions contained in any such agreement did not go beyond the requirements in the Regulations.</w:t>
      </w:r>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CE37BF" w:rsidRPr="006E16F2" w14:paraId="4CF38F6B" w14:textId="77777777" w:rsidTr="003D6095">
        <w:tc>
          <w:tcPr>
            <w:tcW w:w="9606" w:type="dxa"/>
          </w:tcPr>
          <w:p w14:paraId="71C5F9BF" w14:textId="37BF97D9" w:rsidR="00CE37BF" w:rsidRPr="006E16F2" w:rsidRDefault="00CE37BF" w:rsidP="00F41A5F">
            <w:r w:rsidRPr="006E16F2">
              <w:rPr>
                <w:rFonts w:cs="Arial"/>
                <w:noProof/>
              </w:rPr>
              <w:drawing>
                <wp:anchor distT="0" distB="0" distL="114300" distR="114300" simplePos="0" relativeHeight="251662336" behindDoc="0" locked="0" layoutInCell="1" allowOverlap="1" wp14:anchorId="36D1C800" wp14:editId="28F27075">
                  <wp:simplePos x="0" y="0"/>
                  <wp:positionH relativeFrom="column">
                    <wp:posOffset>-33020</wp:posOffset>
                  </wp:positionH>
                  <wp:positionV relativeFrom="paragraph">
                    <wp:posOffset>8255</wp:posOffset>
                  </wp:positionV>
                  <wp:extent cx="503555" cy="685800"/>
                  <wp:effectExtent l="0" t="0" r="0" b="0"/>
                  <wp:wrapSquare wrapText="bothSides"/>
                  <wp:docPr id="13" name="Picture 13" descr="\\ecs_media\rharris$\my documents\GD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_media\rharris$\my documents\GDPR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6F2">
              <w:rPr>
                <w:b/>
              </w:rPr>
              <w:t xml:space="preserve">Action: </w:t>
            </w:r>
            <w:r w:rsidR="00CE5DB5" w:rsidRPr="009E297E">
              <w:t xml:space="preserve">Ensure that you have </w:t>
            </w:r>
            <w:r w:rsidRPr="006E16F2">
              <w:t xml:space="preserve">written data-sharing agreements </w:t>
            </w:r>
            <w:r w:rsidR="00CE5DB5">
              <w:t xml:space="preserve">in place </w:t>
            </w:r>
            <w:r w:rsidRPr="006E16F2">
              <w:t>with external organisations where you are receiving/sharing data on an ongoing basis.</w:t>
            </w:r>
            <w:r w:rsidR="00B63ED1" w:rsidRPr="006E16F2">
              <w:t xml:space="preserve"> </w:t>
            </w:r>
            <w:r w:rsidR="00864C43" w:rsidRPr="006E16F2">
              <w:t xml:space="preserve">The </w:t>
            </w:r>
            <w:r w:rsidR="00B63ED1" w:rsidRPr="006E16F2">
              <w:t xml:space="preserve">checklist in </w:t>
            </w:r>
            <w:hyperlink w:anchor="Appx4" w:history="1">
              <w:r w:rsidR="00B63ED1" w:rsidRPr="006E16F2">
                <w:rPr>
                  <w:rStyle w:val="Hyperlink"/>
                  <w:b/>
                </w:rPr>
                <w:t xml:space="preserve">Appendix </w:t>
              </w:r>
              <w:r w:rsidR="00F7573C" w:rsidRPr="006E16F2">
                <w:rPr>
                  <w:rStyle w:val="Hyperlink"/>
                  <w:b/>
                </w:rPr>
                <w:t>4</w:t>
              </w:r>
            </w:hyperlink>
            <w:r w:rsidR="00B63ED1" w:rsidRPr="006E16F2">
              <w:t xml:space="preserve"> </w:t>
            </w:r>
            <w:r w:rsidR="00864C43" w:rsidRPr="006E16F2">
              <w:t>may help you with this</w:t>
            </w:r>
            <w:r w:rsidR="00B63ED1" w:rsidRPr="006E16F2">
              <w:t>.</w:t>
            </w:r>
          </w:p>
          <w:p w14:paraId="5580E58F" w14:textId="530B0FF1" w:rsidR="00F41A5F" w:rsidRPr="006E16F2" w:rsidRDefault="00F41A5F" w:rsidP="00F41A5F"/>
        </w:tc>
      </w:tr>
    </w:tbl>
    <w:p w14:paraId="578B8568" w14:textId="77777777" w:rsidR="00F7573C" w:rsidRPr="006E16F2" w:rsidRDefault="00F7573C" w:rsidP="00F7573C"/>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F7573C" w:rsidRPr="006E16F2" w14:paraId="0C05F037" w14:textId="77777777" w:rsidTr="005A2B6E">
        <w:tc>
          <w:tcPr>
            <w:tcW w:w="9747" w:type="dxa"/>
          </w:tcPr>
          <w:p w14:paraId="1E89BE3A" w14:textId="0FAD2583" w:rsidR="00F7573C" w:rsidRPr="006E16F2" w:rsidRDefault="00F7573C" w:rsidP="005A2B6E">
            <w:pPr>
              <w:rPr>
                <w:rFonts w:cs="Arial"/>
                <w:b/>
              </w:rPr>
            </w:pPr>
            <w:r w:rsidRPr="006E16F2">
              <w:rPr>
                <w:rFonts w:cs="Arial"/>
                <w:noProof/>
              </w:rPr>
              <w:drawing>
                <wp:anchor distT="0" distB="0" distL="114300" distR="114300" simplePos="0" relativeHeight="251665408" behindDoc="0" locked="0" layoutInCell="1" allowOverlap="1" wp14:anchorId="728F9DB2" wp14:editId="0AA1AF34">
                  <wp:simplePos x="0" y="0"/>
                  <wp:positionH relativeFrom="column">
                    <wp:posOffset>-34925</wp:posOffset>
                  </wp:positionH>
                  <wp:positionV relativeFrom="paragraph">
                    <wp:posOffset>2540</wp:posOffset>
                  </wp:positionV>
                  <wp:extent cx="593725" cy="633095"/>
                  <wp:effectExtent l="0" t="0" r="0" b="0"/>
                  <wp:wrapSquare wrapText="bothSides"/>
                  <wp:docPr id="21" name="Picture 21" descr="\\ecs_media\rharris$\my documents\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_media\rharris$\my documents\Lightbulb.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3725"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6F2">
              <w:rPr>
                <w:rFonts w:cs="Arial"/>
                <w:b/>
              </w:rPr>
              <w:t>Sharing good practice</w:t>
            </w:r>
          </w:p>
          <w:p w14:paraId="56D06BCA" w14:textId="5742B40B" w:rsidR="00F7573C" w:rsidRPr="006E16F2" w:rsidRDefault="00F7573C" w:rsidP="00B00403">
            <w:r w:rsidRPr="006E16F2">
              <w:rPr>
                <w:rFonts w:cs="Arial"/>
              </w:rPr>
              <w:t xml:space="preserve">The </w:t>
            </w:r>
            <w:r w:rsidRPr="006E16F2">
              <w:t xml:space="preserve">Scottish Assessors Association (SAA) have made available the </w:t>
            </w:r>
            <w:hyperlink r:id="rId40" w:history="1">
              <w:r w:rsidRPr="006E16F2">
                <w:rPr>
                  <w:rStyle w:val="Hyperlink"/>
                </w:rPr>
                <w:t>data sharing agreement</w:t>
              </w:r>
            </w:hyperlink>
            <w:r w:rsidRPr="006E16F2">
              <w:t xml:space="preserve"> being used by EROs to share data in Scotland.</w:t>
            </w:r>
          </w:p>
          <w:p w14:paraId="25536993" w14:textId="2AF3171B" w:rsidR="00870E0E" w:rsidRPr="006E16F2" w:rsidRDefault="00870E0E" w:rsidP="00B00403"/>
        </w:tc>
      </w:tr>
    </w:tbl>
    <w:p w14:paraId="5ADD3037" w14:textId="77777777" w:rsidR="00F7573C" w:rsidRPr="006E16F2" w:rsidRDefault="00F7573C" w:rsidP="00F7573C"/>
    <w:p w14:paraId="2F8C7C94" w14:textId="5B1DE578" w:rsidR="00517FC6" w:rsidRDefault="00517FC6">
      <w:pPr>
        <w:spacing w:after="200" w:line="276" w:lineRule="auto"/>
      </w:pPr>
      <w:r>
        <w:br w:type="page"/>
      </w:r>
    </w:p>
    <w:p w14:paraId="445651EC" w14:textId="77777777" w:rsidR="00AF30DD" w:rsidRPr="006E16F2" w:rsidRDefault="00AF30DD" w:rsidP="00606802">
      <w:pPr>
        <w:pStyle w:val="Chapterhead"/>
      </w:pPr>
      <w:bookmarkStart w:id="89" w:name="_Toc504999084"/>
      <w:bookmarkStart w:id="90" w:name="_Toc505006043"/>
      <w:bookmarkStart w:id="91" w:name="_Toc505850158"/>
      <w:bookmarkStart w:id="92" w:name="_Toc71537502"/>
      <w:bookmarkStart w:id="93" w:name="Special"/>
      <w:r w:rsidRPr="006E16F2">
        <w:t>Special categories of personal data</w:t>
      </w:r>
      <w:bookmarkEnd w:id="89"/>
      <w:bookmarkEnd w:id="90"/>
      <w:bookmarkEnd w:id="91"/>
      <w:bookmarkEnd w:id="92"/>
    </w:p>
    <w:bookmarkEnd w:id="93"/>
    <w:p w14:paraId="683A6688" w14:textId="2DD1222C" w:rsidR="00643DBC" w:rsidRPr="006E16F2" w:rsidRDefault="00906E9F" w:rsidP="00AF30DD">
      <w:pPr>
        <w:pStyle w:val="Paranumber"/>
        <w:numPr>
          <w:ilvl w:val="1"/>
          <w:numId w:val="3"/>
        </w:numPr>
        <w:tabs>
          <w:tab w:val="num" w:pos="567"/>
        </w:tabs>
        <w:ind w:left="0" w:firstLine="0"/>
      </w:pPr>
      <w:r w:rsidRPr="006E16F2">
        <w:t>Regulation 26 of the RPR 2001 requires an</w:t>
      </w:r>
      <w:r w:rsidR="00643DBC" w:rsidRPr="006E16F2">
        <w:t xml:space="preserve"> applicant for registration to provide their nationality or nationalities, or, if they are not able to provide that information, the reason they are not able to do so</w:t>
      </w:r>
      <w:r w:rsidR="00850D0B">
        <w:t>.</w:t>
      </w:r>
      <w:r w:rsidR="00643DBC" w:rsidRPr="006E16F2">
        <w:t xml:space="preserve"> The </w:t>
      </w:r>
      <w:r w:rsidRPr="006E16F2">
        <w:t>ERO process</w:t>
      </w:r>
      <w:r w:rsidR="00643DBC" w:rsidRPr="006E16F2">
        <w:t>es this</w:t>
      </w:r>
      <w:r w:rsidRPr="006E16F2">
        <w:t xml:space="preserve"> nationality data in order to determine </w:t>
      </w:r>
      <w:r w:rsidR="00643DBC" w:rsidRPr="006E16F2">
        <w:t xml:space="preserve">which elections the elector is entitled </w:t>
      </w:r>
      <w:r w:rsidR="00AD1071" w:rsidRPr="006E16F2">
        <w:t xml:space="preserve">to vote </w:t>
      </w:r>
      <w:r w:rsidR="00643DBC" w:rsidRPr="006E16F2">
        <w:t>at</w:t>
      </w:r>
      <w:r w:rsidRPr="006E16F2">
        <w:t xml:space="preserve">. </w:t>
      </w:r>
      <w:r w:rsidR="0051605D">
        <w:t>Current data protection legislation does</w:t>
      </w:r>
      <w:r w:rsidR="00BE057C" w:rsidRPr="006E16F2">
        <w:t xml:space="preserve"> not affect the requirement for nationality information to be provided, however</w:t>
      </w:r>
      <w:r w:rsidR="00AF30DD" w:rsidRPr="006E16F2">
        <w:t xml:space="preserve">, nationality data </w:t>
      </w:r>
      <w:r w:rsidR="00B63ED1" w:rsidRPr="006E16F2">
        <w:t>is</w:t>
      </w:r>
      <w:r w:rsidR="00AF30DD" w:rsidRPr="006E16F2">
        <w:t xml:space="preserve"> classed as a special category of personal data because it may reveal an individual’s racial or ethnic origin. </w:t>
      </w:r>
    </w:p>
    <w:p w14:paraId="3E91A59F" w14:textId="237C4BDF" w:rsidR="00AF30DD" w:rsidRPr="006E16F2" w:rsidRDefault="00AF30DD" w:rsidP="00AF30DD">
      <w:pPr>
        <w:pStyle w:val="Paranumber"/>
        <w:tabs>
          <w:tab w:val="num" w:pos="567"/>
        </w:tabs>
        <w:ind w:left="0" w:firstLine="0"/>
      </w:pPr>
      <w:r w:rsidRPr="006E16F2">
        <w:t xml:space="preserve">You may also deal with special categories of personal data through: documents received as part of the documentary exceptions process; </w:t>
      </w:r>
      <w:r w:rsidR="00864C43" w:rsidRPr="006E16F2">
        <w:t>documents received as part of an application for anonymous registration</w:t>
      </w:r>
      <w:r w:rsidRPr="006E16F2">
        <w:t>; or staff appointment information.</w:t>
      </w:r>
    </w:p>
    <w:p w14:paraId="55AEB476" w14:textId="363388F0" w:rsidR="00320DD6" w:rsidRPr="006E16F2" w:rsidRDefault="000820DB" w:rsidP="00AF30DD">
      <w:pPr>
        <w:pStyle w:val="Paranumber"/>
        <w:tabs>
          <w:tab w:val="num" w:pos="567"/>
        </w:tabs>
        <w:ind w:left="0" w:firstLine="0"/>
      </w:pPr>
      <w:r>
        <w:t>Data protection legislation</w:t>
      </w:r>
      <w:r w:rsidR="00320DD6" w:rsidRPr="006E16F2">
        <w:t xml:space="preserve"> prohibits the processing of special catego</w:t>
      </w:r>
      <w:r w:rsidR="00F641A5" w:rsidRPr="006E16F2">
        <w:t xml:space="preserve">ries of personal data unless an </w:t>
      </w:r>
      <w:r w:rsidR="00320DD6" w:rsidRPr="006E16F2">
        <w:t xml:space="preserve">additional </w:t>
      </w:r>
      <w:r w:rsidR="00E60484" w:rsidRPr="006E16F2">
        <w:t>lawful</w:t>
      </w:r>
      <w:r w:rsidR="00320DD6" w:rsidRPr="006E16F2">
        <w:t xml:space="preserve"> basis beyond those for the main purposes of processing data </w:t>
      </w:r>
      <w:r w:rsidR="00B72D4B">
        <w:t>is</w:t>
      </w:r>
      <w:r w:rsidR="00850D0B">
        <w:t xml:space="preserve"> met.</w:t>
      </w:r>
      <w:r w:rsidR="00320DD6" w:rsidRPr="006E16F2">
        <w:t xml:space="preserve"> The appropriate </w:t>
      </w:r>
      <w:r w:rsidR="00E60484" w:rsidRPr="006E16F2">
        <w:t>lawful</w:t>
      </w:r>
      <w:r w:rsidR="00320DD6" w:rsidRPr="006E16F2">
        <w:t xml:space="preserve"> basis for processing special categories of personal data for electoral purposes would be that it is necessary for reasons of substantial public interest and with a basis in UK law (see for example, paragraph </w:t>
      </w:r>
      <w:r w:rsidR="00985C5B" w:rsidRPr="006E16F2">
        <w:rPr>
          <w:b/>
        </w:rPr>
        <w:fldChar w:fldCharType="begin"/>
      </w:r>
      <w:r w:rsidR="00985C5B" w:rsidRPr="006E16F2">
        <w:rPr>
          <w:b/>
        </w:rPr>
        <w:instrText xml:space="preserve"> REF _Ref506386294 \r \h  \* MERGEFORMAT </w:instrText>
      </w:r>
      <w:r w:rsidR="00985C5B" w:rsidRPr="006E16F2">
        <w:rPr>
          <w:b/>
        </w:rPr>
      </w:r>
      <w:r w:rsidR="00985C5B" w:rsidRPr="006E16F2">
        <w:rPr>
          <w:b/>
        </w:rPr>
        <w:fldChar w:fldCharType="separate"/>
      </w:r>
      <w:r w:rsidR="00E60484" w:rsidRPr="006E16F2">
        <w:rPr>
          <w:b/>
        </w:rPr>
        <w:t>3.7</w:t>
      </w:r>
      <w:r w:rsidR="00985C5B" w:rsidRPr="006E16F2">
        <w:rPr>
          <w:b/>
        </w:rPr>
        <w:fldChar w:fldCharType="end"/>
      </w:r>
      <w:r w:rsidR="00320DD6" w:rsidRPr="006E16F2">
        <w:t>).</w:t>
      </w:r>
    </w:p>
    <w:p w14:paraId="748BAB43" w14:textId="154C4ACF" w:rsidR="00AF30DD" w:rsidRPr="006E16F2" w:rsidRDefault="00594465" w:rsidP="00AF30DD">
      <w:pPr>
        <w:pStyle w:val="Paranumber"/>
        <w:tabs>
          <w:tab w:val="num" w:pos="567"/>
        </w:tabs>
        <w:ind w:left="0" w:firstLine="0"/>
      </w:pPr>
      <w:r>
        <w:t>I</w:t>
      </w:r>
      <w:r w:rsidR="00AF30DD" w:rsidRPr="006E16F2">
        <w:t>n</w:t>
      </w:r>
      <w:r>
        <w:t xml:space="preserve"> accordance with legislation,</w:t>
      </w:r>
      <w:r w:rsidR="00AF30DD" w:rsidRPr="006E16F2">
        <w:t xml:space="preserve"> to process nationality data</w:t>
      </w:r>
      <w:r w:rsidR="00643DBC" w:rsidRPr="006E16F2">
        <w:t xml:space="preserve"> – whether as part of an application to register, or in relation to staff appointments</w:t>
      </w:r>
      <w:r w:rsidR="00865458" w:rsidRPr="006E16F2">
        <w:t xml:space="preserve"> – you </w:t>
      </w:r>
      <w:r w:rsidR="00AF30DD" w:rsidRPr="006E16F2">
        <w:t xml:space="preserve">must have in place a </w:t>
      </w:r>
      <w:r w:rsidR="00AF30DD" w:rsidRPr="006E16F2">
        <w:rPr>
          <w:b/>
        </w:rPr>
        <w:t>policy document</w:t>
      </w:r>
      <w:r w:rsidR="00AF30DD" w:rsidRPr="006E16F2">
        <w:t xml:space="preserve"> which, amongst other things, must explain:</w:t>
      </w:r>
    </w:p>
    <w:p w14:paraId="2D3615C3" w14:textId="77777777" w:rsidR="00AF30DD" w:rsidRPr="006E16F2" w:rsidRDefault="00AF30DD" w:rsidP="00AF30DD">
      <w:pPr>
        <w:pStyle w:val="Bulletpoints"/>
        <w:numPr>
          <w:ilvl w:val="0"/>
          <w:numId w:val="12"/>
        </w:numPr>
        <w:tabs>
          <w:tab w:val="num" w:pos="567"/>
        </w:tabs>
        <w:spacing w:after="240"/>
        <w:ind w:left="567" w:hanging="567"/>
        <w:contextualSpacing/>
      </w:pPr>
      <w:r w:rsidRPr="006E16F2">
        <w:t>the procedures for complying with the data protection principles</w:t>
      </w:r>
    </w:p>
    <w:p w14:paraId="0EEDAD63" w14:textId="5433FD79" w:rsidR="00AF30DD" w:rsidRPr="006E16F2" w:rsidRDefault="00AF30DD" w:rsidP="00AF30DD">
      <w:pPr>
        <w:pStyle w:val="Bulletpoints"/>
        <w:numPr>
          <w:ilvl w:val="0"/>
          <w:numId w:val="12"/>
        </w:numPr>
        <w:tabs>
          <w:tab w:val="num" w:pos="567"/>
        </w:tabs>
        <w:spacing w:after="240"/>
        <w:ind w:left="567" w:hanging="567"/>
        <w:contextualSpacing/>
      </w:pPr>
      <w:r w:rsidRPr="006E16F2">
        <w:t>the policies for retention and erasure</w:t>
      </w:r>
    </w:p>
    <w:p w14:paraId="22346F5D" w14:textId="444D9FDE" w:rsidR="0038065E" w:rsidRPr="006E16F2" w:rsidRDefault="00C73BE2" w:rsidP="0038065E">
      <w:pPr>
        <w:pStyle w:val="Paranumber"/>
        <w:numPr>
          <w:ilvl w:val="1"/>
          <w:numId w:val="3"/>
        </w:numPr>
        <w:tabs>
          <w:tab w:val="num" w:pos="567"/>
        </w:tabs>
        <w:ind w:left="0" w:firstLine="0"/>
      </w:pPr>
      <w:r w:rsidRPr="006E16F2">
        <w:t xml:space="preserve">Therefore, your policy document will need to reflect your local processing procedures and your policies for the retention and erasure of personal data. </w:t>
      </w:r>
      <w:r w:rsidR="0044346B" w:rsidRPr="006E16F2">
        <w:t>This policy document must be kept until six months after the processing ceases, be reviewed and updated at appropriate times and be made av</w:t>
      </w:r>
      <w:r w:rsidR="00850D0B">
        <w:t xml:space="preserve">ailable to the ICO on request. </w:t>
      </w:r>
      <w:r w:rsidRPr="006E16F2">
        <w:t xml:space="preserve">We </w:t>
      </w:r>
      <w:r w:rsidR="00D843B3">
        <w:t>can provide a copy of the</w:t>
      </w:r>
      <w:r w:rsidR="00951A4A" w:rsidRPr="006E16F2">
        <w:t xml:space="preserve"> Commission’s own policy document</w:t>
      </w:r>
      <w:r w:rsidR="00D843B3">
        <w:t xml:space="preserve"> upon request</w:t>
      </w:r>
      <w:r w:rsidR="00951A4A" w:rsidRPr="006E16F2">
        <w:t xml:space="preserve"> for your reference</w:t>
      </w:r>
      <w:r w:rsidR="00D843B3">
        <w:t>.</w:t>
      </w:r>
      <w:r w:rsidR="00AF30DD" w:rsidRPr="006E16F2">
        <w:t xml:space="preserve"> </w:t>
      </w:r>
      <w:r w:rsidR="00D843B3">
        <w:t>However it is important to note that the Electoral Commission processes different data to ERO’s and RO’s.</w:t>
      </w:r>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AF30DD" w:rsidRPr="006E16F2" w14:paraId="00915CF8" w14:textId="77777777" w:rsidTr="003D6095">
        <w:trPr>
          <w:trHeight w:val="1237"/>
        </w:trPr>
        <w:tc>
          <w:tcPr>
            <w:tcW w:w="9606" w:type="dxa"/>
          </w:tcPr>
          <w:p w14:paraId="51D557AD" w14:textId="5C5F83ED" w:rsidR="00AF30DD" w:rsidRPr="006E16F2" w:rsidRDefault="00AF30DD" w:rsidP="0078351E">
            <w:pPr>
              <w:spacing w:after="120"/>
            </w:pPr>
            <w:r w:rsidRPr="006E16F2">
              <w:rPr>
                <w:rFonts w:cs="Arial"/>
                <w:noProof/>
              </w:rPr>
              <w:drawing>
                <wp:anchor distT="0" distB="0" distL="114300" distR="114300" simplePos="0" relativeHeight="251655168" behindDoc="0" locked="0" layoutInCell="1" allowOverlap="1" wp14:anchorId="6ABA9BB8" wp14:editId="13F4D8FC">
                  <wp:simplePos x="0" y="0"/>
                  <wp:positionH relativeFrom="column">
                    <wp:posOffset>-33020</wp:posOffset>
                  </wp:positionH>
                  <wp:positionV relativeFrom="paragraph">
                    <wp:posOffset>6350</wp:posOffset>
                  </wp:positionV>
                  <wp:extent cx="503555" cy="685800"/>
                  <wp:effectExtent l="0" t="0" r="0" b="0"/>
                  <wp:wrapSquare wrapText="bothSides"/>
                  <wp:docPr id="17" name="Picture 17" descr="\\ecs_media\rharris$\my documents\GD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_media\rharris$\my documents\GDPR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6F2">
              <w:rPr>
                <w:b/>
              </w:rPr>
              <w:t xml:space="preserve">Action: </w:t>
            </w:r>
            <w:r w:rsidRPr="006E16F2">
              <w:t xml:space="preserve"> </w:t>
            </w:r>
            <w:r w:rsidR="00DC1259" w:rsidRPr="006E16F2">
              <w:t xml:space="preserve">Ensure you have </w:t>
            </w:r>
            <w:r w:rsidRPr="006E16F2">
              <w:t>a policy document which will enable you to process special categories of personal data in accordance with data protection legislation.</w:t>
            </w:r>
            <w:r w:rsidR="00DC1259" w:rsidRPr="006E16F2">
              <w:t xml:space="preserve"> </w:t>
            </w:r>
          </w:p>
        </w:tc>
      </w:tr>
    </w:tbl>
    <w:p w14:paraId="6095D256" w14:textId="03E9AF78" w:rsidR="00F641A5" w:rsidRPr="006E16F2" w:rsidRDefault="00F641A5" w:rsidP="00AF30DD">
      <w:pPr>
        <w:pStyle w:val="Paranumber"/>
        <w:numPr>
          <w:ilvl w:val="0"/>
          <w:numId w:val="0"/>
        </w:numPr>
        <w:tabs>
          <w:tab w:val="left" w:pos="720"/>
        </w:tabs>
      </w:pPr>
    </w:p>
    <w:p w14:paraId="619DF2BA" w14:textId="77777777" w:rsidR="00AF30DD" w:rsidRPr="006E16F2" w:rsidRDefault="00AF30DD" w:rsidP="00606802">
      <w:pPr>
        <w:pStyle w:val="Chapterhead"/>
      </w:pPr>
      <w:bookmarkStart w:id="94" w:name="_Toc504999085"/>
      <w:bookmarkStart w:id="95" w:name="_Toc505006044"/>
      <w:bookmarkStart w:id="96" w:name="_Toc505850159"/>
      <w:bookmarkStart w:id="97" w:name="_Toc71537503"/>
      <w:bookmarkStart w:id="98" w:name="DPIAs"/>
      <w:r w:rsidRPr="006E16F2">
        <w:t>Data protection impact assessments (DPIAs)</w:t>
      </w:r>
      <w:bookmarkEnd w:id="94"/>
      <w:bookmarkEnd w:id="95"/>
      <w:bookmarkEnd w:id="96"/>
      <w:bookmarkEnd w:id="97"/>
    </w:p>
    <w:bookmarkEnd w:id="98"/>
    <w:p w14:paraId="0375AB5B" w14:textId="25934C1B" w:rsidR="00AF30DD" w:rsidRPr="006E16F2" w:rsidRDefault="00AF30DD" w:rsidP="00AF30DD">
      <w:pPr>
        <w:pStyle w:val="Paranumber"/>
        <w:tabs>
          <w:tab w:val="num" w:pos="567"/>
        </w:tabs>
        <w:ind w:left="0" w:firstLine="0"/>
      </w:pPr>
      <w:r w:rsidRPr="006E16F2">
        <w:t xml:space="preserve">Data protection impact assessments (known </w:t>
      </w:r>
      <w:r w:rsidR="004B2042" w:rsidRPr="006E16F2">
        <w:t xml:space="preserve">previously </w:t>
      </w:r>
      <w:r w:rsidRPr="006E16F2">
        <w:t xml:space="preserve">as </w:t>
      </w:r>
      <w:r w:rsidRPr="006E16F2">
        <w:rPr>
          <w:b/>
        </w:rPr>
        <w:t>privacy impact assessments</w:t>
      </w:r>
      <w:r w:rsidRPr="006E16F2">
        <w:t>) help to identify, assess and mitigate risks, ensuring that data protection principles are integral to the design</w:t>
      </w:r>
      <w:r w:rsidR="00850D0B">
        <w:t xml:space="preserve"> of processes. </w:t>
      </w:r>
      <w:r w:rsidR="000820DB">
        <w:t>Current data protection legislation</w:t>
      </w:r>
      <w:r w:rsidRPr="006E16F2">
        <w:t xml:space="preserve"> </w:t>
      </w:r>
      <w:r w:rsidRPr="006E16F2">
        <w:rPr>
          <w:b/>
        </w:rPr>
        <w:t>require</w:t>
      </w:r>
      <w:r w:rsidR="000820DB">
        <w:rPr>
          <w:b/>
        </w:rPr>
        <w:t>s</w:t>
      </w:r>
      <w:r w:rsidRPr="006E16F2">
        <w:rPr>
          <w:b/>
        </w:rPr>
        <w:t xml:space="preserve"> </w:t>
      </w:r>
      <w:r w:rsidRPr="006E16F2">
        <w:t xml:space="preserve">that a DPIA is undertaken </w:t>
      </w:r>
      <w:r w:rsidRPr="006E16F2">
        <w:rPr>
          <w:b/>
        </w:rPr>
        <w:t>before</w:t>
      </w:r>
      <w:r w:rsidRPr="006E16F2">
        <w:t xml:space="preserve"> processing when:</w:t>
      </w:r>
    </w:p>
    <w:p w14:paraId="543B771B" w14:textId="56E5C9D8" w:rsidR="00AF30DD" w:rsidRPr="006E16F2" w:rsidRDefault="00B72D4B" w:rsidP="00AF30DD">
      <w:pPr>
        <w:pStyle w:val="Bulletpoints"/>
        <w:numPr>
          <w:ilvl w:val="0"/>
          <w:numId w:val="12"/>
        </w:numPr>
        <w:tabs>
          <w:tab w:val="num" w:pos="567"/>
        </w:tabs>
        <w:spacing w:after="240"/>
        <w:ind w:left="567" w:hanging="567"/>
        <w:contextualSpacing/>
      </w:pPr>
      <w:r>
        <w:t>Y</w:t>
      </w:r>
      <w:r w:rsidR="00AF30DD" w:rsidRPr="006E16F2">
        <w:t xml:space="preserve">ou are using </w:t>
      </w:r>
      <w:r w:rsidR="00AF30DD" w:rsidRPr="006E16F2">
        <w:rPr>
          <w:b/>
        </w:rPr>
        <w:t>new data processing technologies</w:t>
      </w:r>
      <w:r w:rsidR="00AF30DD" w:rsidRPr="006E16F2">
        <w:t xml:space="preserve">.  For example, if you have a new initiative to issue canvassers with tablets, you </w:t>
      </w:r>
      <w:r w:rsidR="000D2AE6">
        <w:t>need to undertake a DPIA first.</w:t>
      </w:r>
      <w:r w:rsidR="00AF30DD" w:rsidRPr="006E16F2">
        <w:t xml:space="preserve"> Where your processing is already underway (i.e. your canvasse</w:t>
      </w:r>
      <w:r w:rsidR="000D2AE6">
        <w:t xml:space="preserve">rs are already using tablets), </w:t>
      </w:r>
      <w:r w:rsidR="000820DB">
        <w:t xml:space="preserve">you </w:t>
      </w:r>
      <w:r w:rsidR="0021791D">
        <w:t>are</w:t>
      </w:r>
      <w:r w:rsidR="00AF30DD" w:rsidRPr="006E16F2">
        <w:t xml:space="preserve"> </w:t>
      </w:r>
      <w:r w:rsidR="00AF30DD" w:rsidRPr="006E16F2">
        <w:rPr>
          <w:b/>
        </w:rPr>
        <w:t>not</w:t>
      </w:r>
      <w:r w:rsidR="00AF30DD" w:rsidRPr="006E16F2">
        <w:t xml:space="preserve"> require</w:t>
      </w:r>
      <w:r w:rsidR="0021791D">
        <w:t>d</w:t>
      </w:r>
      <w:r w:rsidR="000820DB">
        <w:t xml:space="preserve"> to conduct</w:t>
      </w:r>
      <w:r w:rsidR="00AF30DD" w:rsidRPr="006E16F2">
        <w:t xml:space="preserve"> a retrospective DPIA.  However, you should ensure that data protection principles are integral to your existing processing operations, and a DPIA can help evidence this.</w:t>
      </w:r>
    </w:p>
    <w:p w14:paraId="085537BB" w14:textId="7C50DADF" w:rsidR="00AF30DD" w:rsidRPr="006E16F2" w:rsidRDefault="00B72D4B" w:rsidP="00AF30DD">
      <w:pPr>
        <w:pStyle w:val="Bulletpoints"/>
        <w:numPr>
          <w:ilvl w:val="0"/>
          <w:numId w:val="12"/>
        </w:numPr>
        <w:tabs>
          <w:tab w:val="num" w:pos="567"/>
        </w:tabs>
        <w:spacing w:after="240"/>
        <w:ind w:left="567" w:hanging="567"/>
        <w:contextualSpacing/>
      </w:pPr>
      <w:r>
        <w:t>T</w:t>
      </w:r>
      <w:r w:rsidR="00AF30DD" w:rsidRPr="006E16F2">
        <w:t xml:space="preserve">he processing is likely to result in a </w:t>
      </w:r>
      <w:hyperlink r:id="rId41" w:history="1">
        <w:r w:rsidR="00AF30DD" w:rsidRPr="00850D0B">
          <w:rPr>
            <w:rStyle w:val="Hyperlink"/>
            <w:b/>
          </w:rPr>
          <w:t>high risk</w:t>
        </w:r>
        <w:r w:rsidR="00AF30DD" w:rsidRPr="00850D0B">
          <w:rPr>
            <w:rStyle w:val="Hyperlink"/>
          </w:rPr>
          <w:t xml:space="preserve"> to the rights and freedoms of individuals.</w:t>
        </w:r>
      </w:hyperlink>
      <w:r w:rsidR="001A0EFF" w:rsidRPr="006E16F2">
        <w:t xml:space="preserve">  Processing applications for anonymous registration is an example of high risk processing (see paragraph </w:t>
      </w:r>
      <w:r w:rsidR="001A0EFF" w:rsidRPr="006E16F2">
        <w:rPr>
          <w:b/>
        </w:rPr>
        <w:fldChar w:fldCharType="begin"/>
      </w:r>
      <w:r w:rsidR="001A0EFF" w:rsidRPr="006E16F2">
        <w:rPr>
          <w:b/>
        </w:rPr>
        <w:instrText xml:space="preserve"> REF _Ref505170858 \r \h  \* MERGEFORMAT </w:instrText>
      </w:r>
      <w:r w:rsidR="001A0EFF" w:rsidRPr="006E16F2">
        <w:rPr>
          <w:b/>
        </w:rPr>
      </w:r>
      <w:r w:rsidR="001A0EFF" w:rsidRPr="006E16F2">
        <w:rPr>
          <w:b/>
        </w:rPr>
        <w:fldChar w:fldCharType="separate"/>
      </w:r>
      <w:r w:rsidR="00E60484" w:rsidRPr="006E16F2">
        <w:rPr>
          <w:b/>
        </w:rPr>
        <w:t>10.3</w:t>
      </w:r>
      <w:r w:rsidR="001A0EFF" w:rsidRPr="006E16F2">
        <w:rPr>
          <w:b/>
        </w:rPr>
        <w:fldChar w:fldCharType="end"/>
      </w:r>
      <w:r w:rsidR="001A0EFF" w:rsidRPr="006E16F2">
        <w:t xml:space="preserve"> for further information).</w:t>
      </w:r>
    </w:p>
    <w:p w14:paraId="4847AA25" w14:textId="7AEAA6BE" w:rsidR="00AF30DD" w:rsidRPr="006E16F2" w:rsidRDefault="00AF30DD" w:rsidP="00AF30DD">
      <w:pPr>
        <w:pStyle w:val="Paranumber"/>
        <w:tabs>
          <w:tab w:val="num" w:pos="567"/>
        </w:tabs>
        <w:ind w:left="0" w:firstLine="0"/>
      </w:pPr>
      <w:r w:rsidRPr="006E16F2">
        <w:t xml:space="preserve">A DPIA is </w:t>
      </w:r>
      <w:r w:rsidRPr="006E16F2">
        <w:rPr>
          <w:b/>
        </w:rPr>
        <w:t>not</w:t>
      </w:r>
      <w:r w:rsidRPr="006E16F2">
        <w:t xml:space="preserve"> required where a processing operation has a </w:t>
      </w:r>
      <w:r w:rsidR="00E60484" w:rsidRPr="006E16F2">
        <w:t>lawful</w:t>
      </w:r>
      <w:r w:rsidRPr="006E16F2">
        <w:t xml:space="preserve"> basis that regulates the processing </w:t>
      </w:r>
      <w:r w:rsidRPr="006E16F2">
        <w:rPr>
          <w:b/>
        </w:rPr>
        <w:t>and</w:t>
      </w:r>
      <w:r w:rsidRPr="006E16F2">
        <w:t xml:space="preserve"> a DPIA has already been undertaken.  </w:t>
      </w:r>
    </w:p>
    <w:p w14:paraId="1A6B876F" w14:textId="4F023C7E" w:rsidR="00F41A5F" w:rsidRPr="006E16F2" w:rsidRDefault="00AF30DD" w:rsidP="00AF30DD">
      <w:pPr>
        <w:pStyle w:val="Paranumber"/>
        <w:tabs>
          <w:tab w:val="num" w:pos="567"/>
        </w:tabs>
        <w:ind w:left="0" w:firstLine="0"/>
      </w:pPr>
      <w:bookmarkStart w:id="99" w:name="_Ref505170858"/>
      <w:r w:rsidRPr="006E16F2">
        <w:t xml:space="preserve">In relation to applications for </w:t>
      </w:r>
      <w:r w:rsidRPr="006E16F2">
        <w:rPr>
          <w:b/>
        </w:rPr>
        <w:t>anonymous registration</w:t>
      </w:r>
      <w:r w:rsidRPr="006E16F2">
        <w:t xml:space="preserve">, the </w:t>
      </w:r>
      <w:r w:rsidR="00E60484" w:rsidRPr="006E16F2">
        <w:t>lawful</w:t>
      </w:r>
      <w:r w:rsidRPr="006E16F2">
        <w:t xml:space="preserve"> basis for these is Section 9B of the RPA 1983 and Regulations 31G to 31J of the RPR 2001 which </w:t>
      </w:r>
      <w:r w:rsidR="00BB2C7C">
        <w:t>detail the processing required.</w:t>
      </w:r>
      <w:r w:rsidRPr="006E16F2">
        <w:t xml:space="preserve"> This processing is high risk to anonymous electors/applicants since it relates to personal safety.  </w:t>
      </w:r>
      <w:r w:rsidRPr="006E16F2">
        <w:rPr>
          <w:b/>
        </w:rPr>
        <w:t>If you do not have a DPIA in place for processing anonymous registration applications, you should undertake one</w:t>
      </w:r>
      <w:r w:rsidRPr="006E16F2">
        <w:t>.</w:t>
      </w:r>
      <w:bookmarkEnd w:id="99"/>
      <w:r w:rsidR="003F0556" w:rsidRPr="006E16F2">
        <w:t xml:space="preserve">  </w:t>
      </w:r>
    </w:p>
    <w:p w14:paraId="0057238A" w14:textId="0AE6B7F6" w:rsidR="00AF30DD" w:rsidRDefault="003F0556" w:rsidP="00AF30DD">
      <w:pPr>
        <w:pStyle w:val="Paranumber"/>
        <w:tabs>
          <w:tab w:val="num" w:pos="567"/>
        </w:tabs>
        <w:ind w:left="0" w:firstLine="0"/>
      </w:pPr>
      <w:r w:rsidRPr="006E16F2">
        <w:t>You should undertak</w:t>
      </w:r>
      <w:r w:rsidR="00F41A5F" w:rsidRPr="006E16F2">
        <w:t>e</w:t>
      </w:r>
      <w:r w:rsidRPr="006E16F2">
        <w:t xml:space="preserve"> DPIAs as a matter of best practice when you undertake </w:t>
      </w:r>
      <w:r w:rsidRPr="006E16F2">
        <w:rPr>
          <w:i/>
        </w:rPr>
        <w:t>any</w:t>
      </w:r>
      <w:r w:rsidR="00BB2C7C">
        <w:t xml:space="preserve"> new process. </w:t>
      </w:r>
      <w:r w:rsidRPr="006E16F2">
        <w:t>This will support the accountability principle enabling you to demonstrate that data protection is integral to the process.</w:t>
      </w:r>
      <w:r w:rsidR="007F5EE3" w:rsidRPr="006E16F2">
        <w:t xml:space="preserve"> At </w:t>
      </w:r>
      <w:hyperlink w:anchor="Appx5" w:history="1">
        <w:r w:rsidR="007F5EE3" w:rsidRPr="006E16F2">
          <w:rPr>
            <w:rStyle w:val="Hyperlink"/>
            <w:b/>
          </w:rPr>
          <w:t>Appendix 5</w:t>
        </w:r>
      </w:hyperlink>
      <w:r w:rsidR="007F5EE3" w:rsidRPr="006E16F2">
        <w:t xml:space="preserve"> we have included a template DPIA used by the Electoral C</w:t>
      </w:r>
      <w:r w:rsidR="00BB2C7C">
        <w:t>ommission.</w:t>
      </w:r>
      <w:r w:rsidR="007F5EE3" w:rsidRPr="006E16F2">
        <w:t xml:space="preserve"> It relates to our activities, so you will need to adapt it to make it relevant, but it may support you in undertaking your own DPIAs. You should speak to your council’s Data Protection Officer/Information Officer before undertaking a DPIA.</w:t>
      </w:r>
    </w:p>
    <w:p w14:paraId="29FB0D4C" w14:textId="17D7A196" w:rsidR="00AF30DD" w:rsidRPr="006E16F2" w:rsidRDefault="00AF30DD" w:rsidP="00606802">
      <w:pPr>
        <w:pStyle w:val="B-head"/>
      </w:pPr>
      <w:bookmarkStart w:id="100" w:name="_Toc504999086"/>
      <w:bookmarkStart w:id="101" w:name="_Toc505006045"/>
      <w:bookmarkStart w:id="102" w:name="_Toc505850160"/>
      <w:bookmarkStart w:id="103" w:name="_Toc71537504"/>
      <w:r w:rsidRPr="006E16F2">
        <w:t>Requirements of a DPIA</w:t>
      </w:r>
      <w:bookmarkEnd w:id="100"/>
      <w:bookmarkEnd w:id="101"/>
      <w:bookmarkEnd w:id="102"/>
      <w:bookmarkEnd w:id="103"/>
    </w:p>
    <w:p w14:paraId="1F39DDE0" w14:textId="1317DEBA" w:rsidR="00AF30DD" w:rsidRPr="006E16F2" w:rsidRDefault="0021791D" w:rsidP="00AF30DD">
      <w:pPr>
        <w:pStyle w:val="Paranumber"/>
        <w:tabs>
          <w:tab w:val="num" w:pos="567"/>
        </w:tabs>
        <w:ind w:left="0" w:firstLine="0"/>
      </w:pPr>
      <w:bookmarkStart w:id="104" w:name="_Ref504033757"/>
      <w:r>
        <w:t>D</w:t>
      </w:r>
      <w:r w:rsidR="00451F06">
        <w:t xml:space="preserve">ata protection legislation </w:t>
      </w:r>
      <w:r w:rsidR="00AF30DD" w:rsidRPr="006E16F2">
        <w:t>does not specify a particular process to be followed when undertaking a DPIA but does set out minimum required features:</w:t>
      </w:r>
      <w:bookmarkEnd w:id="104"/>
    </w:p>
    <w:p w14:paraId="0A01A442" w14:textId="77777777" w:rsidR="00AF30DD" w:rsidRPr="006E16F2" w:rsidRDefault="00AF30DD" w:rsidP="00AF30DD">
      <w:pPr>
        <w:pStyle w:val="Bulletpoints"/>
        <w:numPr>
          <w:ilvl w:val="0"/>
          <w:numId w:val="12"/>
        </w:numPr>
        <w:tabs>
          <w:tab w:val="num" w:pos="567"/>
        </w:tabs>
        <w:spacing w:after="240"/>
        <w:ind w:left="567" w:hanging="567"/>
        <w:contextualSpacing/>
      </w:pPr>
      <w:r w:rsidRPr="006E16F2">
        <w:t>A description of the proposed processing and the purposes – in relation to anonymous registration, this should include what the personal data is; who will have access; how it will be stored; who it will disclosed to</w:t>
      </w:r>
    </w:p>
    <w:p w14:paraId="7C072F32" w14:textId="18526331" w:rsidR="00AF30DD" w:rsidRPr="006E16F2" w:rsidRDefault="00AF30DD" w:rsidP="00AF30DD">
      <w:pPr>
        <w:pStyle w:val="Bulletpoints"/>
        <w:numPr>
          <w:ilvl w:val="0"/>
          <w:numId w:val="12"/>
        </w:numPr>
        <w:tabs>
          <w:tab w:val="num" w:pos="567"/>
        </w:tabs>
        <w:spacing w:after="240"/>
        <w:ind w:left="567" w:hanging="567"/>
        <w:contextualSpacing/>
      </w:pPr>
      <w:r w:rsidRPr="006E16F2">
        <w:t>An assessment of the necessity and proportiona</w:t>
      </w:r>
      <w:r w:rsidR="00A87B72" w:rsidRPr="006E16F2">
        <w:t>lity of the processing – in most</w:t>
      </w:r>
      <w:r w:rsidRPr="006E16F2">
        <w:t xml:space="preserve"> cases for an ERO or RO this will be </w:t>
      </w:r>
      <w:r w:rsidR="004B2042" w:rsidRPr="006E16F2">
        <w:t xml:space="preserve">processing for the performance of a public task (see for example, paragraph </w:t>
      </w:r>
      <w:r w:rsidR="004B2042" w:rsidRPr="006E16F2">
        <w:rPr>
          <w:b/>
        </w:rPr>
        <w:fldChar w:fldCharType="begin"/>
      </w:r>
      <w:r w:rsidR="004B2042" w:rsidRPr="006E16F2">
        <w:rPr>
          <w:b/>
        </w:rPr>
        <w:instrText xml:space="preserve"> REF _Ref506386294 \r \h  \* MERGEFORMAT </w:instrText>
      </w:r>
      <w:r w:rsidR="004B2042" w:rsidRPr="006E16F2">
        <w:rPr>
          <w:b/>
        </w:rPr>
      </w:r>
      <w:r w:rsidR="004B2042" w:rsidRPr="006E16F2">
        <w:rPr>
          <w:b/>
        </w:rPr>
        <w:fldChar w:fldCharType="separate"/>
      </w:r>
      <w:r w:rsidR="00E60484" w:rsidRPr="006E16F2">
        <w:rPr>
          <w:b/>
        </w:rPr>
        <w:t>3.7</w:t>
      </w:r>
      <w:r w:rsidR="004B2042" w:rsidRPr="006E16F2">
        <w:rPr>
          <w:b/>
        </w:rPr>
        <w:fldChar w:fldCharType="end"/>
      </w:r>
      <w:r w:rsidR="004B2042" w:rsidRPr="006E16F2">
        <w:t>)</w:t>
      </w:r>
    </w:p>
    <w:p w14:paraId="3AAA8C59" w14:textId="77777777" w:rsidR="00AF30DD" w:rsidRPr="006E16F2" w:rsidRDefault="00AF30DD" w:rsidP="00AF30DD">
      <w:pPr>
        <w:pStyle w:val="Bulletpoints"/>
        <w:numPr>
          <w:ilvl w:val="0"/>
          <w:numId w:val="12"/>
        </w:numPr>
        <w:tabs>
          <w:tab w:val="num" w:pos="567"/>
        </w:tabs>
        <w:spacing w:after="240"/>
        <w:ind w:left="567" w:hanging="567"/>
        <w:contextualSpacing/>
      </w:pPr>
      <w:r w:rsidRPr="006E16F2">
        <w:t>An assessment of the risks to the rights of the individuals affected</w:t>
      </w:r>
    </w:p>
    <w:p w14:paraId="3BD6FD7C" w14:textId="4BBBBBA9" w:rsidR="00AF30DD" w:rsidRPr="006E16F2" w:rsidRDefault="00AF30DD" w:rsidP="00AF30DD">
      <w:pPr>
        <w:pStyle w:val="Bulletpoints"/>
        <w:numPr>
          <w:ilvl w:val="0"/>
          <w:numId w:val="12"/>
        </w:numPr>
        <w:tabs>
          <w:tab w:val="num" w:pos="567"/>
        </w:tabs>
        <w:spacing w:after="240"/>
        <w:ind w:left="567" w:hanging="567"/>
        <w:contextualSpacing/>
      </w:pPr>
      <w:r w:rsidRPr="006E16F2">
        <w:t xml:space="preserve">The measures envisaged to address the risks and demonstrate compliance with </w:t>
      </w:r>
      <w:r w:rsidR="00451F06">
        <w:t>data protection rules</w:t>
      </w:r>
      <w:r w:rsidRPr="006E16F2">
        <w:t xml:space="preserve">. </w:t>
      </w:r>
      <w:r w:rsidR="00F41A5F" w:rsidRPr="006E16F2">
        <w:t>For example, i</w:t>
      </w:r>
      <w:r w:rsidRPr="006E16F2">
        <w:t>n relation to anonymous registration, the measures you put in place to keep the identity of anonymous electors secure.</w:t>
      </w:r>
    </w:p>
    <w:p w14:paraId="41C75F01" w14:textId="77777777" w:rsidR="00AF30DD" w:rsidRPr="006E16F2" w:rsidRDefault="00AF30DD" w:rsidP="00AF30DD">
      <w:pPr>
        <w:pStyle w:val="Paranumber"/>
        <w:tabs>
          <w:tab w:val="num" w:pos="567"/>
        </w:tabs>
        <w:ind w:left="0" w:firstLine="0"/>
      </w:pPr>
      <w:r w:rsidRPr="006E16F2">
        <w:t>Where a set of similar processing operations present similar high risks, a single DPIA may be undertaken to address all of those processing operations.</w:t>
      </w:r>
    </w:p>
    <w:p w14:paraId="189484DA" w14:textId="553C1889" w:rsidR="00AF30DD" w:rsidRPr="006E16F2" w:rsidRDefault="00AF30DD" w:rsidP="00AF30DD">
      <w:pPr>
        <w:pStyle w:val="Paranumber"/>
        <w:tabs>
          <w:tab w:val="num" w:pos="567"/>
        </w:tabs>
        <w:ind w:left="0" w:firstLine="0"/>
      </w:pPr>
      <w:r w:rsidRPr="006E16F2">
        <w:t>The ICO has pro</w:t>
      </w:r>
      <w:r w:rsidR="000376B2" w:rsidRPr="006E16F2">
        <w:t>vided</w:t>
      </w:r>
      <w:r w:rsidRPr="006E16F2">
        <w:t xml:space="preserve"> </w:t>
      </w:r>
      <w:hyperlink r:id="rId42" w:history="1">
        <w:r w:rsidRPr="006E16F2">
          <w:rPr>
            <w:rStyle w:val="Hyperlink"/>
          </w:rPr>
          <w:t>guidance on DPIAs</w:t>
        </w:r>
      </w:hyperlink>
      <w:r w:rsidRPr="006E16F2">
        <w:t xml:space="preserve"> </w:t>
      </w:r>
      <w:r w:rsidR="000376B2" w:rsidRPr="006E16F2">
        <w:t>on their website</w:t>
      </w:r>
      <w:r w:rsidR="00865458" w:rsidRPr="006E16F2">
        <w:t xml:space="preserve"> which includes examples of good practice</w:t>
      </w:r>
      <w:r w:rsidRPr="006E16F2">
        <w:t>.</w:t>
      </w:r>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AF30DD" w:rsidRPr="006E16F2" w14:paraId="29260E4C" w14:textId="77777777" w:rsidTr="003D6095">
        <w:tc>
          <w:tcPr>
            <w:tcW w:w="9606" w:type="dxa"/>
          </w:tcPr>
          <w:p w14:paraId="11E45EBD" w14:textId="7BC0055A" w:rsidR="00B5348B" w:rsidRPr="006E16F2" w:rsidRDefault="00AF30DD" w:rsidP="00B5348B">
            <w:pPr>
              <w:spacing w:after="120"/>
            </w:pPr>
            <w:r w:rsidRPr="006E16F2">
              <w:rPr>
                <w:rFonts w:cs="Arial"/>
                <w:noProof/>
              </w:rPr>
              <w:drawing>
                <wp:anchor distT="0" distB="0" distL="114300" distR="114300" simplePos="0" relativeHeight="251656192" behindDoc="0" locked="0" layoutInCell="1" allowOverlap="1" wp14:anchorId="3334E7AE" wp14:editId="0FA8D787">
                  <wp:simplePos x="0" y="0"/>
                  <wp:positionH relativeFrom="column">
                    <wp:posOffset>-33020</wp:posOffset>
                  </wp:positionH>
                  <wp:positionV relativeFrom="paragraph">
                    <wp:posOffset>6350</wp:posOffset>
                  </wp:positionV>
                  <wp:extent cx="503555" cy="685800"/>
                  <wp:effectExtent l="0" t="0" r="0" b="0"/>
                  <wp:wrapSquare wrapText="bothSides"/>
                  <wp:docPr id="18" name="Picture 18" descr="\\ecs_media\rharris$\my documents\GD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_media\rharris$\my documents\GDPR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6F2">
              <w:rPr>
                <w:b/>
              </w:rPr>
              <w:t xml:space="preserve">Action: </w:t>
            </w:r>
            <w:r w:rsidR="00451F06" w:rsidRPr="00EB62C4">
              <w:t xml:space="preserve">Keep </w:t>
            </w:r>
            <w:r w:rsidRPr="006E16F2">
              <w:t>any DPIAs you have in place</w:t>
            </w:r>
            <w:r w:rsidR="00451F06">
              <w:t xml:space="preserve"> under review</w:t>
            </w:r>
            <w:r w:rsidRPr="006E16F2">
              <w:t xml:space="preserve"> </w:t>
            </w:r>
            <w:r w:rsidR="00451F06">
              <w:t>to</w:t>
            </w:r>
            <w:r w:rsidRPr="006E16F2">
              <w:t xml:space="preserve"> determine if your processing operations require any further DPIA to be undertaken.</w:t>
            </w:r>
          </w:p>
          <w:p w14:paraId="14B970B8" w14:textId="7E7586BD" w:rsidR="00AF30DD" w:rsidRPr="006E16F2" w:rsidRDefault="0091773F" w:rsidP="00F66D81">
            <w:pPr>
              <w:spacing w:after="120"/>
            </w:pPr>
            <w:r w:rsidRPr="006E16F2">
              <w:t xml:space="preserve">Consider how you can ensure data protection </w:t>
            </w:r>
            <w:r w:rsidR="00B5348B" w:rsidRPr="006E16F2">
              <w:t xml:space="preserve">is </w:t>
            </w:r>
            <w:r w:rsidRPr="006E16F2">
              <w:t xml:space="preserve">integral to </w:t>
            </w:r>
            <w:r w:rsidR="00B5348B" w:rsidRPr="006E16F2">
              <w:rPr>
                <w:b/>
              </w:rPr>
              <w:t>all</w:t>
            </w:r>
            <w:r w:rsidR="00A87B72" w:rsidRPr="006E16F2">
              <w:t xml:space="preserve"> </w:t>
            </w:r>
            <w:r w:rsidR="009537D1" w:rsidRPr="006E16F2">
              <w:t xml:space="preserve">of </w:t>
            </w:r>
            <w:r w:rsidR="00B5348B" w:rsidRPr="006E16F2">
              <w:t>y</w:t>
            </w:r>
            <w:r w:rsidR="00BB2C7C">
              <w:t xml:space="preserve">our processing. </w:t>
            </w:r>
            <w:r w:rsidR="00B5348B" w:rsidRPr="006E16F2">
              <w:t>In addition to undertaking DPIAs, you should ensure that all your training – whether for canvassers, polling station staff, or your electoral services team – reflect data protection requirem</w:t>
            </w:r>
            <w:r w:rsidR="00BB2C7C">
              <w:t xml:space="preserve">ents. </w:t>
            </w:r>
            <w:r w:rsidR="00B5348B" w:rsidRPr="006E16F2">
              <w:t xml:space="preserve">This </w:t>
            </w:r>
            <w:r w:rsidRPr="006E16F2">
              <w:t xml:space="preserve">will help you to embed the data protection principles in your work and demonstrate compliance.  </w:t>
            </w:r>
            <w:r w:rsidR="00B5348B" w:rsidRPr="006E16F2">
              <w:t xml:space="preserve">Ensure you discuss any </w:t>
            </w:r>
            <w:r w:rsidRPr="006E16F2">
              <w:t>data protection training with your council’s Data Protection Officer/Information Officer</w:t>
            </w:r>
            <w:r w:rsidR="00B5348B" w:rsidRPr="006E16F2">
              <w:t>.</w:t>
            </w:r>
          </w:p>
        </w:tc>
      </w:tr>
    </w:tbl>
    <w:p w14:paraId="29A62421" w14:textId="0A280AE2" w:rsidR="00517FC6" w:rsidRDefault="00517FC6" w:rsidP="007C3C55"/>
    <w:p w14:paraId="3D363CDE" w14:textId="77777777" w:rsidR="00517FC6" w:rsidRDefault="00517FC6">
      <w:pPr>
        <w:spacing w:after="200" w:line="276" w:lineRule="auto"/>
      </w:pPr>
      <w:r>
        <w:br w:type="page"/>
      </w:r>
    </w:p>
    <w:p w14:paraId="2D935D55" w14:textId="77777777" w:rsidR="007C3C55" w:rsidRPr="006E16F2" w:rsidRDefault="007C3C55" w:rsidP="00606802">
      <w:pPr>
        <w:pStyle w:val="Chapterhead"/>
      </w:pPr>
      <w:bookmarkStart w:id="105" w:name="_Toc504999087"/>
      <w:bookmarkStart w:id="106" w:name="_Toc505006046"/>
      <w:bookmarkStart w:id="107" w:name="_Toc505850161"/>
      <w:bookmarkStart w:id="108" w:name="_Toc71537505"/>
      <w:bookmarkStart w:id="109" w:name="Inspect"/>
      <w:r w:rsidRPr="006E16F2">
        <w:t>Inspecting council records</w:t>
      </w:r>
      <w:bookmarkEnd w:id="105"/>
      <w:bookmarkEnd w:id="106"/>
      <w:bookmarkEnd w:id="107"/>
      <w:bookmarkEnd w:id="108"/>
    </w:p>
    <w:p w14:paraId="74017CB9" w14:textId="2AEC905C" w:rsidR="000376B2" w:rsidRPr="006E16F2" w:rsidRDefault="000376B2" w:rsidP="000376B2">
      <w:pPr>
        <w:pStyle w:val="Paranumber"/>
        <w:ind w:left="0" w:firstLine="0"/>
      </w:pPr>
      <w:bookmarkStart w:id="110" w:name="_Ref504287099"/>
      <w:bookmarkEnd w:id="109"/>
      <w:r w:rsidRPr="006E16F2">
        <w:t>Guidance on inspecting council records</w:t>
      </w:r>
      <w:r w:rsidR="00FB2F94" w:rsidRPr="006E16F2">
        <w:t xml:space="preserve"> (under Regulation 35 and 35A of the RPR 2001)</w:t>
      </w:r>
      <w:r w:rsidRPr="006E16F2">
        <w:t xml:space="preserve">, is contained in </w:t>
      </w:r>
      <w:r w:rsidR="0021791D">
        <w:t xml:space="preserve">our guidance for </w:t>
      </w:r>
      <w:hyperlink r:id="rId43" w:history="1">
        <w:r w:rsidR="0021791D" w:rsidRPr="00EB62C4">
          <w:rPr>
            <w:rStyle w:val="Hyperlink"/>
          </w:rPr>
          <w:t>EROs on Running electoral registration.</w:t>
        </w:r>
      </w:hyperlink>
    </w:p>
    <w:p w14:paraId="2D935D62" w14:textId="0E525B23" w:rsidR="007C3C55" w:rsidRPr="006E16F2" w:rsidRDefault="007C3C55" w:rsidP="00AB7547">
      <w:pPr>
        <w:pStyle w:val="Paranumber"/>
        <w:ind w:left="0" w:firstLine="0"/>
      </w:pPr>
      <w:bookmarkStart w:id="111" w:name="_Ref505159238"/>
      <w:r w:rsidRPr="006E16F2">
        <w:t>As ERO, you will need to demonstrate that all information obtained – whether from ins</w:t>
      </w:r>
      <w:r w:rsidR="003E6642" w:rsidRPr="006E16F2">
        <w:t>pecting council records, or</w:t>
      </w:r>
      <w:r w:rsidRPr="006E16F2">
        <w:t xml:space="preserve"> disclosed by your council – complies with the principles of processing personal data, ensuring that it is processed lawfully, fairl</w:t>
      </w:r>
      <w:r w:rsidR="00BB2C7C">
        <w:t xml:space="preserve">y and in a transparent manner. </w:t>
      </w:r>
      <w:r w:rsidRPr="006E16F2">
        <w:t>Therefore, you</w:t>
      </w:r>
      <w:r w:rsidR="00F41A5F" w:rsidRPr="006E16F2">
        <w:t xml:space="preserve"> should record details of</w:t>
      </w:r>
      <w:r w:rsidRPr="006E16F2">
        <w:t>:</w:t>
      </w:r>
      <w:bookmarkEnd w:id="110"/>
      <w:bookmarkEnd w:id="111"/>
    </w:p>
    <w:p w14:paraId="2D935D63" w14:textId="486D7268" w:rsidR="007C3C55" w:rsidRPr="006E16F2" w:rsidRDefault="00E0063A" w:rsidP="007C3C55">
      <w:pPr>
        <w:pStyle w:val="Bulletpoints"/>
        <w:numPr>
          <w:ilvl w:val="0"/>
          <w:numId w:val="12"/>
        </w:numPr>
        <w:tabs>
          <w:tab w:val="num" w:pos="567"/>
        </w:tabs>
        <w:spacing w:after="240"/>
        <w:ind w:left="567" w:hanging="567"/>
        <w:contextualSpacing/>
      </w:pPr>
      <w:r>
        <w:t>T</w:t>
      </w:r>
      <w:r w:rsidR="007C3C55" w:rsidRPr="006E16F2">
        <w:t>he records to be checked</w:t>
      </w:r>
      <w:r>
        <w:t>.</w:t>
      </w:r>
    </w:p>
    <w:p w14:paraId="2D935D64" w14:textId="08642E98" w:rsidR="007C3C55" w:rsidRPr="006E16F2" w:rsidRDefault="00E0063A" w:rsidP="007C3C55">
      <w:pPr>
        <w:pStyle w:val="Bulletpoints"/>
        <w:numPr>
          <w:ilvl w:val="0"/>
          <w:numId w:val="12"/>
        </w:numPr>
        <w:tabs>
          <w:tab w:val="num" w:pos="567"/>
        </w:tabs>
        <w:spacing w:after="240"/>
        <w:ind w:left="567" w:hanging="567"/>
        <w:contextualSpacing/>
      </w:pPr>
      <w:r>
        <w:t>A</w:t>
      </w:r>
      <w:r w:rsidR="007C3C55" w:rsidRPr="006E16F2">
        <w:t xml:space="preserve"> schedule of when those checks are carried out</w:t>
      </w:r>
      <w:r>
        <w:t>.</w:t>
      </w:r>
    </w:p>
    <w:p w14:paraId="2D935D65" w14:textId="124F3BB6" w:rsidR="007C3C55" w:rsidRPr="006E16F2" w:rsidRDefault="00E0063A" w:rsidP="007C3C55">
      <w:pPr>
        <w:pStyle w:val="Bulletpoints"/>
        <w:numPr>
          <w:ilvl w:val="0"/>
          <w:numId w:val="12"/>
        </w:numPr>
        <w:tabs>
          <w:tab w:val="num" w:pos="567"/>
        </w:tabs>
        <w:spacing w:after="240"/>
        <w:ind w:left="567" w:hanging="567"/>
        <w:contextualSpacing/>
      </w:pPr>
      <w:r>
        <w:t>T</w:t>
      </w:r>
      <w:r w:rsidR="007C3C55" w:rsidRPr="006E16F2">
        <w:t>he lawful basis on which you a</w:t>
      </w:r>
      <w:r w:rsidR="00BB2C7C">
        <w:t>re processing that information.</w:t>
      </w:r>
      <w:r w:rsidR="007C3C55" w:rsidRPr="006E16F2">
        <w:t xml:space="preserve"> For example, Section 9A places an obligation on the ERO to inspect records that they are permitted to inspect as part of their duty to maintain the electoral register.  Section 9A therefore provides the </w:t>
      </w:r>
      <w:r w:rsidR="004B2042" w:rsidRPr="006E16F2">
        <w:t>statutory</w:t>
      </w:r>
      <w:r w:rsidR="007C3C55" w:rsidRPr="006E16F2">
        <w:t xml:space="preserve"> basis by which you process personal data obtained through council records</w:t>
      </w:r>
      <w:r>
        <w:t>.</w:t>
      </w:r>
    </w:p>
    <w:p w14:paraId="2D935D66" w14:textId="0124DB72" w:rsidR="007C3C55" w:rsidRPr="006E16F2" w:rsidRDefault="00E0063A" w:rsidP="007C3C55">
      <w:pPr>
        <w:pStyle w:val="Bulletpoints"/>
        <w:numPr>
          <w:ilvl w:val="0"/>
          <w:numId w:val="12"/>
        </w:numPr>
        <w:tabs>
          <w:tab w:val="num" w:pos="567"/>
        </w:tabs>
        <w:spacing w:after="240"/>
        <w:ind w:left="567" w:hanging="567"/>
        <w:contextualSpacing/>
      </w:pPr>
      <w:r>
        <w:t>M</w:t>
      </w:r>
      <w:r w:rsidR="007C3C55" w:rsidRPr="006E16F2">
        <w:t xml:space="preserve">easures to ensure appropriate security </w:t>
      </w:r>
      <w:r>
        <w:t>are</w:t>
      </w:r>
      <w:r w:rsidR="007C3C55" w:rsidRPr="006E16F2">
        <w:t xml:space="preserve"> in place to protect the data (for example, encrypting/password protecting data whenever it is transmitted, and using secure storage)</w:t>
      </w:r>
      <w:r>
        <w:t>.</w:t>
      </w:r>
    </w:p>
    <w:p w14:paraId="2D935D67" w14:textId="7E035EB4" w:rsidR="007C3C55" w:rsidRPr="006E16F2" w:rsidRDefault="00E0063A" w:rsidP="007C3C55">
      <w:pPr>
        <w:pStyle w:val="Bulletpoints"/>
        <w:numPr>
          <w:ilvl w:val="0"/>
          <w:numId w:val="12"/>
        </w:numPr>
        <w:tabs>
          <w:tab w:val="num" w:pos="567"/>
        </w:tabs>
        <w:spacing w:after="240"/>
        <w:ind w:left="567" w:hanging="567"/>
        <w:contextualSpacing/>
      </w:pPr>
      <w:r>
        <w:t>W</w:t>
      </w:r>
      <w:r w:rsidR="007C3C55" w:rsidRPr="006E16F2">
        <w:t>hat action you have taken on the basis of the information you have obtained</w:t>
      </w:r>
      <w:r>
        <w:t>.</w:t>
      </w:r>
    </w:p>
    <w:p w14:paraId="2D935D68" w14:textId="50ED7A97" w:rsidR="007C3C55" w:rsidRPr="006E16F2" w:rsidRDefault="00E0063A" w:rsidP="007C3C55">
      <w:pPr>
        <w:pStyle w:val="Bulletpoints"/>
        <w:numPr>
          <w:ilvl w:val="0"/>
          <w:numId w:val="12"/>
        </w:numPr>
        <w:tabs>
          <w:tab w:val="num" w:pos="567"/>
        </w:tabs>
        <w:spacing w:after="240"/>
        <w:ind w:left="567" w:hanging="567"/>
        <w:contextualSpacing/>
      </w:pPr>
      <w:r>
        <w:t>R</w:t>
      </w:r>
      <w:r w:rsidR="007C3C55" w:rsidRPr="006E16F2">
        <w:t>etention and secure disposal of data (in accordance with your document retention plan)</w:t>
      </w:r>
      <w:r>
        <w:t>.</w:t>
      </w:r>
    </w:p>
    <w:p w14:paraId="47A7387E" w14:textId="1C758AB8" w:rsidR="00AB7547" w:rsidRPr="006E16F2" w:rsidRDefault="007C3C55" w:rsidP="00AB7547">
      <w:pPr>
        <w:pStyle w:val="Paranumber"/>
        <w:tabs>
          <w:tab w:val="num" w:pos="567"/>
        </w:tabs>
        <w:ind w:left="0" w:firstLine="0"/>
      </w:pPr>
      <w:r w:rsidRPr="006E16F2">
        <w:t>Maintaining such records will help you to demonstrate that you are complying with your obligations under the GDPR</w:t>
      </w:r>
      <w:r w:rsidRPr="006E16F2" w:rsidDel="000376B2">
        <w:t xml:space="preserve"> and your duties under Regulati</w:t>
      </w:r>
      <w:r w:rsidR="00AB7547" w:rsidRPr="006E16F2" w:rsidDel="000376B2">
        <w:t>on 35 and 35A of the RPR 2001</w:t>
      </w:r>
      <w:r w:rsidR="00AB7547" w:rsidRPr="006E16F2">
        <w:t xml:space="preserve">. </w:t>
      </w:r>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AB7547" w:rsidRPr="006E16F2" w14:paraId="2A4C9CFE" w14:textId="77777777" w:rsidTr="003E6642">
        <w:tc>
          <w:tcPr>
            <w:tcW w:w="9606" w:type="dxa"/>
          </w:tcPr>
          <w:p w14:paraId="252CC9E0" w14:textId="02FE317E" w:rsidR="00AB7547" w:rsidRPr="006E16F2" w:rsidRDefault="00AB7547" w:rsidP="00F41A5F">
            <w:r w:rsidRPr="006E16F2">
              <w:rPr>
                <w:rFonts w:cs="Arial"/>
                <w:noProof/>
              </w:rPr>
              <w:drawing>
                <wp:anchor distT="0" distB="0" distL="114300" distR="114300" simplePos="0" relativeHeight="251653120" behindDoc="0" locked="0" layoutInCell="1" allowOverlap="1" wp14:anchorId="3317B9CC" wp14:editId="303F9184">
                  <wp:simplePos x="0" y="0"/>
                  <wp:positionH relativeFrom="column">
                    <wp:posOffset>-33020</wp:posOffset>
                  </wp:positionH>
                  <wp:positionV relativeFrom="paragraph">
                    <wp:posOffset>8255</wp:posOffset>
                  </wp:positionV>
                  <wp:extent cx="503555" cy="685800"/>
                  <wp:effectExtent l="0" t="0" r="0" b="0"/>
                  <wp:wrapSquare wrapText="bothSides"/>
                  <wp:docPr id="14" name="Picture 14" descr="\\ecs_media\rharris$\my documents\GD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_media\rharris$\my documents\GDPR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6F2">
              <w:rPr>
                <w:b/>
              </w:rPr>
              <w:t xml:space="preserve">Action: </w:t>
            </w:r>
            <w:r w:rsidRPr="006E16F2">
              <w:t xml:space="preserve">Ensure you maintain records of the council records you inspect, </w:t>
            </w:r>
            <w:r w:rsidR="00A87EDE" w:rsidRPr="006E16F2">
              <w:t xml:space="preserve">in accordance with </w:t>
            </w:r>
            <w:r w:rsidRPr="006E16F2">
              <w:t>paragraph</w:t>
            </w:r>
            <w:r w:rsidRPr="006E16F2">
              <w:rPr>
                <w:b/>
              </w:rPr>
              <w:t xml:space="preserve"> </w:t>
            </w:r>
            <w:r w:rsidR="00F41A5F" w:rsidRPr="006E16F2">
              <w:rPr>
                <w:b/>
              </w:rPr>
              <w:fldChar w:fldCharType="begin"/>
            </w:r>
            <w:r w:rsidR="00F41A5F" w:rsidRPr="006E16F2">
              <w:rPr>
                <w:b/>
              </w:rPr>
              <w:instrText xml:space="preserve"> REF _Ref505159238 \r \h </w:instrText>
            </w:r>
            <w:r w:rsidR="006E16F2">
              <w:rPr>
                <w:b/>
              </w:rPr>
              <w:instrText xml:space="preserve"> \* MERGEFORMAT </w:instrText>
            </w:r>
            <w:r w:rsidR="00F41A5F" w:rsidRPr="006E16F2">
              <w:rPr>
                <w:b/>
              </w:rPr>
            </w:r>
            <w:r w:rsidR="00F41A5F" w:rsidRPr="006E16F2">
              <w:rPr>
                <w:b/>
              </w:rPr>
              <w:fldChar w:fldCharType="separate"/>
            </w:r>
            <w:r w:rsidR="00E60484" w:rsidRPr="006E16F2">
              <w:rPr>
                <w:b/>
              </w:rPr>
              <w:t>11.2</w:t>
            </w:r>
            <w:r w:rsidR="00F41A5F" w:rsidRPr="006E16F2">
              <w:rPr>
                <w:b/>
              </w:rPr>
              <w:fldChar w:fldCharType="end"/>
            </w:r>
            <w:r w:rsidRPr="006E16F2">
              <w:t>.</w:t>
            </w:r>
            <w:r w:rsidR="00F41A5F" w:rsidRPr="006E16F2">
              <w:t xml:space="preserve">  You could make these records form part of your registration plan.</w:t>
            </w:r>
          </w:p>
          <w:p w14:paraId="752F152F" w14:textId="424949B3" w:rsidR="00F41A5F" w:rsidRPr="006E16F2" w:rsidRDefault="00F41A5F" w:rsidP="00F41A5F"/>
        </w:tc>
      </w:tr>
    </w:tbl>
    <w:p w14:paraId="6045F121" w14:textId="3F89D3A9" w:rsidR="00517FC6" w:rsidRDefault="00517FC6" w:rsidP="007C3C55">
      <w:pPr>
        <w:pStyle w:val="Paranumber"/>
        <w:numPr>
          <w:ilvl w:val="0"/>
          <w:numId w:val="0"/>
        </w:numPr>
        <w:tabs>
          <w:tab w:val="left" w:pos="720"/>
        </w:tabs>
      </w:pPr>
    </w:p>
    <w:p w14:paraId="2589C673" w14:textId="77777777" w:rsidR="00517FC6" w:rsidRDefault="00517FC6">
      <w:pPr>
        <w:spacing w:after="200" w:line="276" w:lineRule="auto"/>
      </w:pPr>
      <w:r>
        <w:br w:type="page"/>
      </w:r>
    </w:p>
    <w:p w14:paraId="0F988B53" w14:textId="77777777" w:rsidR="00560D77" w:rsidRPr="006E16F2" w:rsidRDefault="00560D77" w:rsidP="00606802">
      <w:pPr>
        <w:pStyle w:val="Chapterhead"/>
      </w:pPr>
      <w:bookmarkStart w:id="112" w:name="_Toc504999088"/>
      <w:bookmarkStart w:id="113" w:name="_Toc505006047"/>
      <w:bookmarkStart w:id="114" w:name="_Toc505850162"/>
      <w:bookmarkStart w:id="115" w:name="_Toc71537506"/>
      <w:bookmarkStart w:id="116" w:name="SAR"/>
      <w:r w:rsidRPr="006E16F2">
        <w:t>Subject access requests</w:t>
      </w:r>
      <w:bookmarkEnd w:id="112"/>
      <w:bookmarkEnd w:id="113"/>
      <w:bookmarkEnd w:id="114"/>
      <w:bookmarkEnd w:id="115"/>
    </w:p>
    <w:bookmarkEnd w:id="116"/>
    <w:p w14:paraId="6A25B4AF" w14:textId="4AA08836" w:rsidR="00560D77" w:rsidRPr="006E16F2" w:rsidRDefault="00560D77" w:rsidP="00560D77">
      <w:pPr>
        <w:pStyle w:val="Paranumber"/>
        <w:tabs>
          <w:tab w:val="num" w:pos="567"/>
        </w:tabs>
        <w:ind w:left="0" w:firstLine="0"/>
      </w:pPr>
      <w:r w:rsidRPr="006E16F2">
        <w:t xml:space="preserve">Subject access requests (SARs) remain under the GDPR.  </w:t>
      </w:r>
      <w:r w:rsidR="00F35D5E">
        <w:t>S</w:t>
      </w:r>
      <w:r w:rsidRPr="006E16F2">
        <w:t xml:space="preserve">ubject to a few conditions, these must be provided </w:t>
      </w:r>
      <w:r w:rsidRPr="006E16F2">
        <w:rPr>
          <w:b/>
        </w:rPr>
        <w:t>free of charge</w:t>
      </w:r>
      <w:r w:rsidRPr="006E16F2">
        <w:t>, i.e.</w:t>
      </w:r>
      <w:r w:rsidR="00BB2C7C">
        <w:t xml:space="preserve"> the £10 fee has been removed. </w:t>
      </w:r>
      <w:r w:rsidRPr="006E16F2">
        <w:t>Subsequent copies may be charged for, but the charge must be “reasonable” and “based on administrative costs”.</w:t>
      </w:r>
    </w:p>
    <w:p w14:paraId="43918CFE" w14:textId="5C2B57B9" w:rsidR="00560D77" w:rsidRPr="006E16F2" w:rsidRDefault="00CA0289" w:rsidP="00560D77">
      <w:pPr>
        <w:pStyle w:val="Paranumber"/>
        <w:tabs>
          <w:tab w:val="num" w:pos="567"/>
        </w:tabs>
        <w:ind w:left="0" w:firstLine="0"/>
      </w:pPr>
      <w:r w:rsidRPr="006E16F2">
        <w:rPr>
          <w:b/>
        </w:rPr>
        <w:t>A data subject is entitled to see personal information that is held about them.</w:t>
      </w:r>
      <w:r w:rsidRPr="006E16F2">
        <w:t xml:space="preserve"> </w:t>
      </w:r>
      <w:r w:rsidR="00560D77" w:rsidRPr="006E16F2">
        <w:t>Information requested by data subjects must be provided without delay and in any event within one month (</w:t>
      </w:r>
      <w:r w:rsidR="00F41A5F" w:rsidRPr="006E16F2">
        <w:t xml:space="preserve">although </w:t>
      </w:r>
      <w:r w:rsidR="00560D77" w:rsidRPr="006E16F2">
        <w:t>it can be extended to two months in certain conditions).</w:t>
      </w:r>
    </w:p>
    <w:p w14:paraId="64B499F8" w14:textId="1ADF6FC9" w:rsidR="00CB2436" w:rsidRPr="006E16F2" w:rsidRDefault="00CB2436" w:rsidP="00560D77">
      <w:pPr>
        <w:pStyle w:val="Paranumber"/>
        <w:tabs>
          <w:tab w:val="num" w:pos="567"/>
        </w:tabs>
        <w:ind w:left="0" w:firstLine="0"/>
      </w:pPr>
      <w:r w:rsidRPr="006E16F2">
        <w:t xml:space="preserve">There is no </w:t>
      </w:r>
      <w:r w:rsidR="00695A07" w:rsidRPr="006E16F2">
        <w:t>requirement</w:t>
      </w:r>
      <w:r w:rsidRPr="006E16F2">
        <w:t xml:space="preserve"> for the request to be made in writing</w:t>
      </w:r>
      <w:r w:rsidR="00F35D5E">
        <w:t>, however,</w:t>
      </w:r>
      <w:r w:rsidR="00EB62C4">
        <w:t xml:space="preserve"> </w:t>
      </w:r>
      <w:r w:rsidR="00F35D5E">
        <w:t>y</w:t>
      </w:r>
      <w:r w:rsidRPr="006E16F2">
        <w:t xml:space="preserve">ou must be satisfied of the requesters’ identity before fulfilling the request.  </w:t>
      </w:r>
    </w:p>
    <w:p w14:paraId="66AAC322" w14:textId="4C2536F6" w:rsidR="00750532" w:rsidRPr="006E16F2" w:rsidRDefault="00750532" w:rsidP="00606802">
      <w:pPr>
        <w:pStyle w:val="B-head"/>
      </w:pPr>
      <w:bookmarkStart w:id="117" w:name="_Toc504999089"/>
      <w:bookmarkStart w:id="118" w:name="_Toc505006048"/>
      <w:bookmarkStart w:id="119" w:name="_Toc505850163"/>
      <w:bookmarkStart w:id="120" w:name="_Toc71537507"/>
      <w:r w:rsidRPr="006E16F2">
        <w:t>Postal voting statements</w:t>
      </w:r>
      <w:bookmarkEnd w:id="117"/>
      <w:bookmarkEnd w:id="118"/>
      <w:bookmarkEnd w:id="119"/>
      <w:bookmarkEnd w:id="120"/>
    </w:p>
    <w:p w14:paraId="03363872" w14:textId="34E4856F" w:rsidR="002840FA" w:rsidRPr="006E16F2" w:rsidRDefault="00D05738" w:rsidP="00560D77">
      <w:pPr>
        <w:pStyle w:val="Paranumber"/>
        <w:numPr>
          <w:ilvl w:val="1"/>
          <w:numId w:val="3"/>
        </w:numPr>
        <w:tabs>
          <w:tab w:val="num" w:pos="567"/>
        </w:tabs>
        <w:ind w:left="0" w:firstLine="0"/>
      </w:pPr>
      <w:r w:rsidRPr="006E16F2">
        <w:t>Candidates and agents are not entitled to inspect the application form of an absent voter, unless it is their own</w:t>
      </w:r>
      <w:r w:rsidR="00A87B72" w:rsidRPr="006E16F2">
        <w:t xml:space="preserve"> personal application form</w:t>
      </w:r>
      <w:r w:rsidR="00BB2C7C">
        <w:t xml:space="preserve">. </w:t>
      </w:r>
      <w:r w:rsidRPr="006E16F2">
        <w:t xml:space="preserve">However, </w:t>
      </w:r>
      <w:r w:rsidR="002840FA" w:rsidRPr="006E16F2">
        <w:t>Regulation 85</w:t>
      </w:r>
      <w:r w:rsidR="00FB319B" w:rsidRPr="006E16F2">
        <w:t>A</w:t>
      </w:r>
      <w:r w:rsidR="002840FA" w:rsidRPr="006E16F2">
        <w:t xml:space="preserve"> of the RPR 2001 permit</w:t>
      </w:r>
      <w:r w:rsidR="00FB319B" w:rsidRPr="006E16F2">
        <w:t>s</w:t>
      </w:r>
      <w:r w:rsidR="002840FA" w:rsidRPr="006E16F2">
        <w:t xml:space="preserve"> </w:t>
      </w:r>
      <w:r w:rsidR="00FB319B" w:rsidRPr="006E16F2">
        <w:t>the RO</w:t>
      </w:r>
      <w:r w:rsidR="002840FA" w:rsidRPr="006E16F2">
        <w:t xml:space="preserve"> to show the </w:t>
      </w:r>
      <w:r w:rsidR="00FB319B" w:rsidRPr="006E16F2">
        <w:t xml:space="preserve">relevant entry in the </w:t>
      </w:r>
      <w:r w:rsidR="002840FA" w:rsidRPr="006E16F2">
        <w:t xml:space="preserve">personal identifiers record (i.e. the name, signature </w:t>
      </w:r>
      <w:r w:rsidR="00102922" w:rsidRPr="006E16F2">
        <w:t xml:space="preserve">(unless a waiver has been granted) </w:t>
      </w:r>
      <w:r w:rsidR="002840FA" w:rsidRPr="006E16F2">
        <w:t xml:space="preserve">and date of birth of </w:t>
      </w:r>
      <w:r w:rsidR="00FB319B" w:rsidRPr="006E16F2">
        <w:t xml:space="preserve">the relevant </w:t>
      </w:r>
      <w:r w:rsidR="002840FA" w:rsidRPr="006E16F2">
        <w:t>absent voter) to agents</w:t>
      </w:r>
      <w:r w:rsidR="003F1DD8" w:rsidRPr="006E16F2">
        <w:t xml:space="preserve"> when personal identifiers</w:t>
      </w:r>
      <w:r w:rsidR="002840FA" w:rsidRPr="006E16F2">
        <w:t xml:space="preserve"> </w:t>
      </w:r>
      <w:r w:rsidR="003F1DD8" w:rsidRPr="006E16F2">
        <w:t>are being verified.</w:t>
      </w:r>
    </w:p>
    <w:p w14:paraId="7D683B94" w14:textId="333CC6E0" w:rsidR="00750532" w:rsidRPr="006E16F2" w:rsidRDefault="00750532" w:rsidP="00560D77">
      <w:pPr>
        <w:pStyle w:val="Paranumber"/>
        <w:tabs>
          <w:tab w:val="num" w:pos="567"/>
        </w:tabs>
        <w:ind w:left="0" w:firstLine="0"/>
      </w:pPr>
      <w:r w:rsidRPr="006E16F2">
        <w:t xml:space="preserve">As set out in our </w:t>
      </w:r>
      <w:hyperlink r:id="rId44" w:history="1">
        <w:r w:rsidRPr="006E16F2">
          <w:rPr>
            <w:rStyle w:val="Hyperlink"/>
          </w:rPr>
          <w:t>FAQs for postal vote rejection notices</w:t>
        </w:r>
      </w:hyperlink>
      <w:r w:rsidRPr="006E16F2">
        <w:t xml:space="preserve">, a postal voter who has received a postal vote identifier rejection notice </w:t>
      </w:r>
      <w:r w:rsidR="00A87B72" w:rsidRPr="006E16F2">
        <w:t xml:space="preserve">for example </w:t>
      </w:r>
      <w:r w:rsidRPr="006E16F2">
        <w:t>may request to see</w:t>
      </w:r>
      <w:r w:rsidR="00BB2C7C">
        <w:t xml:space="preserve"> their postal voting statement.</w:t>
      </w:r>
      <w:r w:rsidRPr="006E16F2">
        <w:t xml:space="preserve"> Such a request should be treated as a subject access request and, as </w:t>
      </w:r>
      <w:r w:rsidRPr="006E16F2">
        <w:rPr>
          <w:b/>
        </w:rPr>
        <w:t>a data subject is entitled to see personal information that is held about them</w:t>
      </w:r>
      <w:r w:rsidRPr="006E16F2">
        <w:t xml:space="preserve">, the postal voter should be permitted to see the information held on </w:t>
      </w:r>
      <w:r w:rsidR="00F41A5F" w:rsidRPr="006E16F2">
        <w:t xml:space="preserve">their </w:t>
      </w:r>
      <w:r w:rsidRPr="006E16F2">
        <w:t>postal voting statement.</w:t>
      </w:r>
    </w:p>
    <w:p w14:paraId="41DAC9EF" w14:textId="0734830A" w:rsidR="00560D77" w:rsidRPr="006E16F2" w:rsidRDefault="00560D77" w:rsidP="00606802">
      <w:pPr>
        <w:pStyle w:val="B-head"/>
      </w:pPr>
      <w:bookmarkStart w:id="121" w:name="_Toc504999090"/>
      <w:bookmarkStart w:id="122" w:name="_Toc505006049"/>
      <w:bookmarkStart w:id="123" w:name="_Toc505850164"/>
      <w:bookmarkStart w:id="124" w:name="_Toc71537508"/>
      <w:r w:rsidRPr="006E16F2">
        <w:t>Certificate</w:t>
      </w:r>
      <w:r w:rsidR="00750532" w:rsidRPr="006E16F2">
        <w:t>s</w:t>
      </w:r>
      <w:r w:rsidRPr="006E16F2">
        <w:t xml:space="preserve"> of registration</w:t>
      </w:r>
      <w:bookmarkEnd w:id="121"/>
      <w:bookmarkEnd w:id="122"/>
      <w:bookmarkEnd w:id="123"/>
      <w:bookmarkEnd w:id="124"/>
    </w:p>
    <w:p w14:paraId="0181B19E" w14:textId="0A1033E7" w:rsidR="00560D77" w:rsidRPr="006E16F2" w:rsidRDefault="00560D77" w:rsidP="00560D77">
      <w:pPr>
        <w:pStyle w:val="Paranumber"/>
        <w:tabs>
          <w:tab w:val="num" w:pos="567"/>
        </w:tabs>
        <w:ind w:left="0" w:firstLine="0"/>
      </w:pPr>
      <w:r w:rsidRPr="006E16F2">
        <w:t xml:space="preserve">We </w:t>
      </w:r>
      <w:r w:rsidR="00F41A5F" w:rsidRPr="006E16F2">
        <w:t xml:space="preserve">are aware that </w:t>
      </w:r>
      <w:r w:rsidRPr="006E16F2">
        <w:t xml:space="preserve">some EROs </w:t>
      </w:r>
      <w:r w:rsidR="00F35D5E">
        <w:t xml:space="preserve">have historically </w:t>
      </w:r>
      <w:r w:rsidRPr="006E16F2">
        <w:t>charge</w:t>
      </w:r>
      <w:r w:rsidR="00F35D5E">
        <w:t>d</w:t>
      </w:r>
      <w:r w:rsidRPr="006E16F2">
        <w:t xml:space="preserve"> electors for a letter confirming their residency, known as a “certificate of registration”.</w:t>
      </w:r>
    </w:p>
    <w:p w14:paraId="3B9A7573" w14:textId="4F501E5D" w:rsidR="00B67886" w:rsidRPr="006E16F2" w:rsidRDefault="0080260D" w:rsidP="00B67886">
      <w:pPr>
        <w:pStyle w:val="Paranumber"/>
        <w:numPr>
          <w:ilvl w:val="1"/>
          <w:numId w:val="3"/>
        </w:numPr>
        <w:tabs>
          <w:tab w:val="num" w:pos="567"/>
        </w:tabs>
        <w:ind w:left="0" w:firstLine="0"/>
      </w:pPr>
      <w:r w:rsidRPr="006E16F2">
        <w:t xml:space="preserve">Under </w:t>
      </w:r>
      <w:r w:rsidR="00F35D5E">
        <w:t>current data protection legislation</w:t>
      </w:r>
      <w:r w:rsidR="00F35D5E" w:rsidRPr="006E16F2">
        <w:t xml:space="preserve"> </w:t>
      </w:r>
      <w:r w:rsidRPr="006E16F2">
        <w:t>no charge can be made for fulfilling a subject access request unless the request can be deemed excessive or repetitive. In the majority of instances, providing confirmation of a data subject</w:t>
      </w:r>
      <w:r w:rsidR="003E6642" w:rsidRPr="006E16F2">
        <w:t>’</w:t>
      </w:r>
      <w:r w:rsidRPr="006E16F2">
        <w:t xml:space="preserve">s entry on the register </w:t>
      </w:r>
      <w:r w:rsidR="00D13208" w:rsidRPr="006E16F2">
        <w:t xml:space="preserve">via a certificate of registration </w:t>
      </w:r>
      <w:r w:rsidRPr="006E16F2">
        <w:t>will not meet this test and therefore no charge should be made.</w:t>
      </w:r>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560D77" w:rsidRPr="006E16F2" w14:paraId="5170823A" w14:textId="77777777" w:rsidTr="003E6642">
        <w:trPr>
          <w:trHeight w:val="1125"/>
        </w:trPr>
        <w:tc>
          <w:tcPr>
            <w:tcW w:w="9747" w:type="dxa"/>
            <w:tcBorders>
              <w:top w:val="single" w:sz="4" w:space="0" w:color="0099CC"/>
              <w:left w:val="single" w:sz="4" w:space="0" w:color="0099CC"/>
              <w:bottom w:val="single" w:sz="4" w:space="0" w:color="0099CC"/>
              <w:right w:val="single" w:sz="4" w:space="0" w:color="0099CC"/>
            </w:tcBorders>
            <w:hideMark/>
          </w:tcPr>
          <w:p w14:paraId="712FCA4B" w14:textId="5FE7EC4F" w:rsidR="00560D77" w:rsidRPr="006E16F2" w:rsidRDefault="00560D77" w:rsidP="0080260D">
            <w:r w:rsidRPr="006E16F2">
              <w:rPr>
                <w:noProof/>
              </w:rPr>
              <w:drawing>
                <wp:anchor distT="0" distB="0" distL="114300" distR="114300" simplePos="0" relativeHeight="251657216" behindDoc="0" locked="0" layoutInCell="1" allowOverlap="1" wp14:anchorId="238433AE" wp14:editId="295BD67E">
                  <wp:simplePos x="0" y="0"/>
                  <wp:positionH relativeFrom="column">
                    <wp:posOffset>-33020</wp:posOffset>
                  </wp:positionH>
                  <wp:positionV relativeFrom="paragraph">
                    <wp:posOffset>8255</wp:posOffset>
                  </wp:positionV>
                  <wp:extent cx="503555" cy="685800"/>
                  <wp:effectExtent l="0" t="0" r="0" b="0"/>
                  <wp:wrapSquare wrapText="bothSides"/>
                  <wp:docPr id="3" name="Picture 3" descr="GD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PR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pic:spPr>
                      </pic:pic>
                    </a:graphicData>
                  </a:graphic>
                  <wp14:sizeRelH relativeFrom="page">
                    <wp14:pctWidth>0</wp14:pctWidth>
                  </wp14:sizeRelH>
                  <wp14:sizeRelV relativeFrom="page">
                    <wp14:pctHeight>0</wp14:pctHeight>
                  </wp14:sizeRelV>
                </wp:anchor>
              </w:drawing>
            </w:r>
            <w:r w:rsidRPr="006E16F2">
              <w:rPr>
                <w:b/>
              </w:rPr>
              <w:t xml:space="preserve">Action: </w:t>
            </w:r>
            <w:r w:rsidR="00D84E44" w:rsidRPr="006E16F2">
              <w:t>Taking account of the fact that subject access requests must be provided free of charge,</w:t>
            </w:r>
            <w:r w:rsidR="00D84E44" w:rsidRPr="006E16F2">
              <w:rPr>
                <w:b/>
              </w:rPr>
              <w:t xml:space="preserve"> </w:t>
            </w:r>
            <w:r w:rsidR="003E6642" w:rsidRPr="006E16F2">
              <w:t xml:space="preserve">you should </w:t>
            </w:r>
            <w:r w:rsidR="00D84E44" w:rsidRPr="006E16F2">
              <w:t>r</w:t>
            </w:r>
            <w:r w:rsidRPr="006E16F2">
              <w:t>eview any charges you apply that are not set out in law</w:t>
            </w:r>
            <w:r w:rsidR="00D84E44" w:rsidRPr="006E16F2">
              <w:t>.</w:t>
            </w:r>
          </w:p>
        </w:tc>
      </w:tr>
    </w:tbl>
    <w:p w14:paraId="2907BB4A" w14:textId="77777777" w:rsidR="00B72381" w:rsidRPr="006E16F2" w:rsidRDefault="00B72381" w:rsidP="00E811AE">
      <w:bookmarkStart w:id="125" w:name="_Toc505850165"/>
    </w:p>
    <w:p w14:paraId="1ABC3B16" w14:textId="28A8BDDB" w:rsidR="008906C4" w:rsidRPr="006E16F2" w:rsidRDefault="008906C4" w:rsidP="00606802">
      <w:pPr>
        <w:pStyle w:val="B-head"/>
      </w:pPr>
      <w:bookmarkStart w:id="126" w:name="_Toc71537509"/>
      <w:r w:rsidRPr="006E16F2">
        <w:t>Access requests for crime prevention</w:t>
      </w:r>
      <w:bookmarkEnd w:id="125"/>
      <w:bookmarkEnd w:id="126"/>
    </w:p>
    <w:p w14:paraId="42338685" w14:textId="3FB96453" w:rsidR="008906C4" w:rsidRPr="006E16F2" w:rsidRDefault="00CD4E26" w:rsidP="008906C4">
      <w:pPr>
        <w:pStyle w:val="Paranumber"/>
        <w:numPr>
          <w:ilvl w:val="1"/>
          <w:numId w:val="3"/>
        </w:numPr>
        <w:ind w:left="0" w:firstLine="0"/>
      </w:pPr>
      <w:r>
        <w:t>Schedule 2</w:t>
      </w:r>
      <w:r w:rsidR="008906C4" w:rsidRPr="006E16F2">
        <w:t xml:space="preserve"> of the DPA </w:t>
      </w:r>
      <w:r>
        <w:t>2018</w:t>
      </w:r>
      <w:r w:rsidR="008906C4" w:rsidRPr="006E16F2">
        <w:t xml:space="preserve"> provided an exemption to data processing rules for the purposes of the prevention or detection of crime, or the apprehensio</w:t>
      </w:r>
      <w:r w:rsidR="00BB2C7C">
        <w:t>n or prosecution of offenders.</w:t>
      </w:r>
      <w:r w:rsidR="008906C4" w:rsidRPr="006E16F2">
        <w:t xml:space="preserve"> Therefore, where you receive a request for information that you hold you will need to consider: </w:t>
      </w:r>
    </w:p>
    <w:p w14:paraId="4DBC79C0" w14:textId="77777777" w:rsidR="008906C4" w:rsidRPr="006E16F2" w:rsidRDefault="008906C4" w:rsidP="008906C4">
      <w:pPr>
        <w:pStyle w:val="Bulletpoints"/>
        <w:ind w:hanging="720"/>
      </w:pPr>
      <w:r w:rsidRPr="006E16F2">
        <w:t xml:space="preserve">the person or organisation making the request, </w:t>
      </w:r>
    </w:p>
    <w:p w14:paraId="5297A7FF" w14:textId="77777777" w:rsidR="008906C4" w:rsidRPr="006E16F2" w:rsidRDefault="008906C4" w:rsidP="008906C4">
      <w:pPr>
        <w:pStyle w:val="Bulletpoints"/>
        <w:ind w:hanging="720"/>
      </w:pPr>
      <w:r w:rsidRPr="006E16F2">
        <w:t xml:space="preserve">the purpose of the request, and </w:t>
      </w:r>
    </w:p>
    <w:p w14:paraId="1F14B509" w14:textId="77777777" w:rsidR="008906C4" w:rsidRPr="006E16F2" w:rsidRDefault="008906C4" w:rsidP="008906C4">
      <w:pPr>
        <w:pStyle w:val="Bulletpoints"/>
        <w:ind w:hanging="720"/>
      </w:pPr>
      <w:r w:rsidRPr="006E16F2">
        <w:t>the enactment quoted requesting access</w:t>
      </w:r>
    </w:p>
    <w:p w14:paraId="7871D41C" w14:textId="77777777" w:rsidR="008906C4" w:rsidRPr="006E16F2" w:rsidRDefault="008906C4" w:rsidP="008906C4">
      <w:pPr>
        <w:pStyle w:val="NoSpacing"/>
        <w:ind w:left="720"/>
      </w:pPr>
    </w:p>
    <w:p w14:paraId="41E33F11" w14:textId="1D23B8C9" w:rsidR="008906C4" w:rsidRPr="006E16F2" w:rsidRDefault="008906C4" w:rsidP="008906C4">
      <w:pPr>
        <w:pStyle w:val="Paranumber"/>
        <w:ind w:left="0" w:firstLine="0"/>
      </w:pPr>
      <w:r w:rsidRPr="006E16F2">
        <w:t>If satisfied that the request meets the purpose detailed above th</w:t>
      </w:r>
      <w:r w:rsidR="00BB2C7C">
        <w:t>en you should supply the data.</w:t>
      </w:r>
    </w:p>
    <w:p w14:paraId="4DF8E278" w14:textId="1D4C8011" w:rsidR="00F66D81" w:rsidRPr="006E16F2" w:rsidRDefault="008906C4" w:rsidP="00E811AE">
      <w:pPr>
        <w:pStyle w:val="Paranumber"/>
        <w:ind w:left="0" w:firstLine="0"/>
      </w:pPr>
      <w:r w:rsidRPr="006E16F2">
        <w:t xml:space="preserve">It should be noted that Regulation 107 </w:t>
      </w:r>
      <w:r w:rsidR="00D43F6C" w:rsidRPr="006E16F2">
        <w:t>(</w:t>
      </w:r>
      <w:r w:rsidR="000E2293" w:rsidRPr="006E16F2">
        <w:t xml:space="preserve">Regulation 106 in Scotland) </w:t>
      </w:r>
      <w:r w:rsidRPr="006E16F2">
        <w:t xml:space="preserve">of the RPR 2001 provides for the ERO to supply the full register to the </w:t>
      </w:r>
      <w:r w:rsidR="000E2293" w:rsidRPr="006E16F2">
        <w:t>c</w:t>
      </w:r>
      <w:r w:rsidRPr="006E16F2">
        <w:t>ouncil that appointed them.</w:t>
      </w:r>
      <w:r w:rsidR="00BB2C7C">
        <w:t xml:space="preserve"> </w:t>
      </w:r>
      <w:r w:rsidR="000E2293" w:rsidRPr="006E16F2">
        <w:t xml:space="preserve">An employee or councillor of that council </w:t>
      </w:r>
      <w:r w:rsidRPr="006E16F2">
        <w:t>may</w:t>
      </w:r>
      <w:r w:rsidR="000E2293" w:rsidRPr="006E16F2">
        <w:t xml:space="preserve">, disclose or make use of information </w:t>
      </w:r>
      <w:r w:rsidR="00776D5B" w:rsidRPr="006E16F2">
        <w:t xml:space="preserve">contained </w:t>
      </w:r>
      <w:r w:rsidR="000E2293" w:rsidRPr="006E16F2">
        <w:t xml:space="preserve">in it, where necessary </w:t>
      </w:r>
      <w:r w:rsidRPr="006E16F2">
        <w:t xml:space="preserve">for the discharge of a statutory function of the council </w:t>
      </w:r>
      <w:r w:rsidR="000E2293" w:rsidRPr="006E16F2">
        <w:t>(</w:t>
      </w:r>
      <w:r w:rsidRPr="006E16F2">
        <w:t>or</w:t>
      </w:r>
      <w:r w:rsidR="000E2293" w:rsidRPr="006E16F2">
        <w:t>, in England and Wales,</w:t>
      </w:r>
      <w:r w:rsidRPr="006E16F2">
        <w:t xml:space="preserve"> any other local authority</w:t>
      </w:r>
      <w:r w:rsidR="000E2293" w:rsidRPr="006E16F2">
        <w:t>)</w:t>
      </w:r>
      <w:r w:rsidRPr="006E16F2">
        <w:t xml:space="preserve"> relating to security, law enforceme</w:t>
      </w:r>
      <w:r w:rsidR="000E2293" w:rsidRPr="006E16F2">
        <w:t>nt and crime prevention</w:t>
      </w:r>
      <w:r w:rsidRPr="006E16F2">
        <w:t>.</w:t>
      </w:r>
      <w:r w:rsidR="00BB2C7C">
        <w:t xml:space="preserve"> </w:t>
      </w:r>
      <w:r w:rsidR="00776D5B" w:rsidRPr="006E16F2">
        <w:t xml:space="preserve">If the request relates to the council’s copy of the register, you should </w:t>
      </w:r>
      <w:r w:rsidR="00A87B72" w:rsidRPr="006E16F2">
        <w:t>direct this to</w:t>
      </w:r>
      <w:r w:rsidR="00776D5B" w:rsidRPr="006E16F2">
        <w:t xml:space="preserve"> your council’s Monitoring Officer.</w:t>
      </w:r>
    </w:p>
    <w:p w14:paraId="30779F2E" w14:textId="052EBBFF" w:rsidR="00517FC6" w:rsidRDefault="00517FC6">
      <w:pPr>
        <w:spacing w:after="200" w:line="276" w:lineRule="auto"/>
      </w:pPr>
      <w:r>
        <w:br w:type="page"/>
      </w:r>
    </w:p>
    <w:p w14:paraId="2D935DB7" w14:textId="19E8ACAC" w:rsidR="007C3C55" w:rsidRPr="006E16F2" w:rsidRDefault="007C3C55" w:rsidP="00606802">
      <w:pPr>
        <w:pStyle w:val="Chapterhead"/>
      </w:pPr>
      <w:bookmarkStart w:id="127" w:name="_Toc504999091"/>
      <w:bookmarkStart w:id="128" w:name="_Toc505006050"/>
      <w:bookmarkStart w:id="129" w:name="_Toc505850166"/>
      <w:bookmarkStart w:id="130" w:name="_Toc71537510"/>
      <w:bookmarkStart w:id="131" w:name="Breaches"/>
      <w:r w:rsidRPr="006E16F2">
        <w:t xml:space="preserve">Breaches and </w:t>
      </w:r>
      <w:r w:rsidR="003B0388" w:rsidRPr="006E16F2">
        <w:t>s</w:t>
      </w:r>
      <w:r w:rsidRPr="006E16F2">
        <w:t>anctions</w:t>
      </w:r>
      <w:bookmarkEnd w:id="127"/>
      <w:bookmarkEnd w:id="128"/>
      <w:bookmarkEnd w:id="129"/>
      <w:bookmarkEnd w:id="130"/>
    </w:p>
    <w:bookmarkEnd w:id="131"/>
    <w:p w14:paraId="2D935DB8" w14:textId="0C2A2D4F" w:rsidR="007C3C55" w:rsidRPr="006E16F2" w:rsidRDefault="007C3C55" w:rsidP="007C3C55">
      <w:pPr>
        <w:pStyle w:val="Paranumber"/>
        <w:tabs>
          <w:tab w:val="num" w:pos="567"/>
        </w:tabs>
        <w:ind w:left="0" w:firstLine="0"/>
      </w:pPr>
      <w:r w:rsidRPr="006E16F2">
        <w:t>A personal data breach includes breaches that are the result of both ac</w:t>
      </w:r>
      <w:r w:rsidR="00BB2C7C">
        <w:t>cidental and deliberate causes.</w:t>
      </w:r>
      <w:r w:rsidRPr="006E16F2">
        <w:t xml:space="preserve"> </w:t>
      </w:r>
      <w:r w:rsidR="00570188" w:rsidRPr="006E16F2">
        <w:t xml:space="preserve">They may </w:t>
      </w:r>
      <w:r w:rsidRPr="006E16F2">
        <w:t>include:</w:t>
      </w:r>
    </w:p>
    <w:p w14:paraId="2D935DB9" w14:textId="77777777" w:rsidR="007C3C55" w:rsidRPr="006E16F2" w:rsidRDefault="007C3C55" w:rsidP="007C3C55">
      <w:pPr>
        <w:pStyle w:val="Bulletpoints"/>
        <w:numPr>
          <w:ilvl w:val="0"/>
          <w:numId w:val="12"/>
        </w:numPr>
        <w:tabs>
          <w:tab w:val="num" w:pos="567"/>
        </w:tabs>
        <w:spacing w:after="240"/>
        <w:ind w:left="567" w:hanging="567"/>
        <w:contextualSpacing/>
      </w:pPr>
      <w:r w:rsidRPr="006E16F2">
        <w:rPr>
          <w:b/>
        </w:rPr>
        <w:t>access by an unauthorised third party</w:t>
      </w:r>
      <w:r w:rsidRPr="006E16F2">
        <w:t xml:space="preserve"> – for example, your EMS system/council network being hacked</w:t>
      </w:r>
    </w:p>
    <w:p w14:paraId="2D935DBA" w14:textId="0BA45CBC" w:rsidR="007C3C55" w:rsidRPr="006E16F2" w:rsidRDefault="007C3C55" w:rsidP="007C3C55">
      <w:pPr>
        <w:pStyle w:val="Bulletpoints"/>
        <w:numPr>
          <w:ilvl w:val="0"/>
          <w:numId w:val="12"/>
        </w:numPr>
        <w:tabs>
          <w:tab w:val="num" w:pos="567"/>
        </w:tabs>
        <w:spacing w:after="240"/>
        <w:ind w:left="567" w:hanging="567"/>
        <w:contextualSpacing/>
      </w:pPr>
      <w:r w:rsidRPr="006E16F2">
        <w:rPr>
          <w:b/>
        </w:rPr>
        <w:t>deliberate or accidental action (or inaction) by a controller or processor</w:t>
      </w:r>
      <w:r w:rsidRPr="006E16F2">
        <w:t xml:space="preserve"> – for example, your print supplier failing to process all absent vote data you have sent them, meaning that some electors </w:t>
      </w:r>
      <w:r w:rsidR="00570188" w:rsidRPr="006E16F2">
        <w:t xml:space="preserve">are disenfranchised because they </w:t>
      </w:r>
      <w:r w:rsidRPr="006E16F2">
        <w:t>do not receive their postal votes in time</w:t>
      </w:r>
      <w:r w:rsidR="00AE0D24" w:rsidRPr="006E16F2">
        <w:t xml:space="preserve"> (see paragraph </w:t>
      </w:r>
      <w:r w:rsidR="00AE0D24" w:rsidRPr="006E16F2">
        <w:rPr>
          <w:b/>
        </w:rPr>
        <w:fldChar w:fldCharType="begin"/>
      </w:r>
      <w:r w:rsidR="00AE0D24" w:rsidRPr="006E16F2">
        <w:rPr>
          <w:b/>
        </w:rPr>
        <w:instrText xml:space="preserve"> REF _Ref505173117 \r \h  \* MERGEFORMAT </w:instrText>
      </w:r>
      <w:r w:rsidR="00AE0D24" w:rsidRPr="006E16F2">
        <w:rPr>
          <w:b/>
        </w:rPr>
      </w:r>
      <w:r w:rsidR="00AE0D24" w:rsidRPr="006E16F2">
        <w:rPr>
          <w:b/>
        </w:rPr>
        <w:fldChar w:fldCharType="separate"/>
      </w:r>
      <w:r w:rsidR="00E60484" w:rsidRPr="006E16F2">
        <w:rPr>
          <w:b/>
        </w:rPr>
        <w:t>13.2</w:t>
      </w:r>
      <w:r w:rsidR="00AE0D24" w:rsidRPr="006E16F2">
        <w:rPr>
          <w:b/>
        </w:rPr>
        <w:fldChar w:fldCharType="end"/>
      </w:r>
      <w:r w:rsidR="00AE0D24" w:rsidRPr="006E16F2">
        <w:t xml:space="preserve"> for examples of measures you should have in place to avoid this situation)</w:t>
      </w:r>
    </w:p>
    <w:p w14:paraId="2D935DBB" w14:textId="0E34F30B" w:rsidR="007C3C55" w:rsidRPr="006E16F2" w:rsidRDefault="007C3C55" w:rsidP="007C3C55">
      <w:pPr>
        <w:pStyle w:val="Bulletpoints"/>
        <w:numPr>
          <w:ilvl w:val="0"/>
          <w:numId w:val="12"/>
        </w:numPr>
        <w:tabs>
          <w:tab w:val="num" w:pos="567"/>
        </w:tabs>
        <w:spacing w:after="240"/>
        <w:ind w:left="567" w:hanging="567"/>
        <w:contextualSpacing/>
      </w:pPr>
      <w:r w:rsidRPr="006E16F2">
        <w:rPr>
          <w:b/>
        </w:rPr>
        <w:t>sending personal data to an incorrect recipient</w:t>
      </w:r>
      <w:r w:rsidRPr="006E16F2">
        <w:t xml:space="preserve"> – for example, sending an electoral register to someone who is not entitled to receive it</w:t>
      </w:r>
    </w:p>
    <w:p w14:paraId="2D935DBC" w14:textId="61121F7E" w:rsidR="007C3C55" w:rsidRPr="006E16F2" w:rsidRDefault="007C3C55" w:rsidP="007C3C55">
      <w:pPr>
        <w:pStyle w:val="Bulletpoints"/>
        <w:numPr>
          <w:ilvl w:val="0"/>
          <w:numId w:val="12"/>
        </w:numPr>
        <w:tabs>
          <w:tab w:val="num" w:pos="567"/>
        </w:tabs>
        <w:spacing w:after="240"/>
        <w:ind w:left="567" w:hanging="567"/>
        <w:contextualSpacing/>
      </w:pPr>
      <w:r w:rsidRPr="006E16F2">
        <w:rPr>
          <w:b/>
        </w:rPr>
        <w:t>computing devices containing personal data being lost or stolen</w:t>
      </w:r>
      <w:r w:rsidRPr="006E16F2">
        <w:t xml:space="preserve"> – for example, laptops </w:t>
      </w:r>
      <w:r w:rsidR="003B0388" w:rsidRPr="006E16F2">
        <w:t>or</w:t>
      </w:r>
      <w:r w:rsidRPr="006E16F2">
        <w:t xml:space="preserve"> iPads containing register </w:t>
      </w:r>
      <w:r w:rsidR="003B0388" w:rsidRPr="006E16F2">
        <w:t>or</w:t>
      </w:r>
      <w:r w:rsidRPr="006E16F2">
        <w:t xml:space="preserve"> election data being stolen</w:t>
      </w:r>
    </w:p>
    <w:p w14:paraId="2D935DBD" w14:textId="62F5A17F" w:rsidR="007C3C55" w:rsidRPr="006E16F2" w:rsidRDefault="007C3C55" w:rsidP="007C3C55">
      <w:pPr>
        <w:pStyle w:val="Bulletpoints"/>
        <w:numPr>
          <w:ilvl w:val="0"/>
          <w:numId w:val="12"/>
        </w:numPr>
        <w:tabs>
          <w:tab w:val="num" w:pos="567"/>
        </w:tabs>
        <w:spacing w:after="240"/>
        <w:ind w:left="567" w:hanging="567"/>
        <w:contextualSpacing/>
      </w:pPr>
      <w:r w:rsidRPr="006E16F2">
        <w:rPr>
          <w:b/>
        </w:rPr>
        <w:t>alteration of personal data without permission</w:t>
      </w:r>
      <w:r w:rsidRPr="006E16F2">
        <w:t xml:space="preserve"> – for example, a can</w:t>
      </w:r>
      <w:r w:rsidR="00E0063A">
        <w:t xml:space="preserve">vasser falsifying </w:t>
      </w:r>
      <w:r w:rsidR="00D018BB">
        <w:t xml:space="preserve">canvass </w:t>
      </w:r>
      <w:r w:rsidR="00E0063A">
        <w:t>responses</w:t>
      </w:r>
    </w:p>
    <w:p w14:paraId="6EA78B27" w14:textId="4AFE5F89" w:rsidR="00035FE0" w:rsidRPr="006E16F2" w:rsidRDefault="00035FE0" w:rsidP="0091043B">
      <w:pPr>
        <w:pStyle w:val="Paranumber"/>
        <w:ind w:left="0" w:firstLine="0"/>
      </w:pPr>
      <w:bookmarkStart w:id="132" w:name="_Ref505173117"/>
      <w:r w:rsidRPr="006E16F2">
        <w:t>Having robust proof-checking processes in place could help detect any errors and avoid data breaches before they occur. For example, when producing postal votes, you should have in place a process for checking live proofs, including those for</w:t>
      </w:r>
      <w:r w:rsidR="00BB2C7C">
        <w:t xml:space="preserve"> postal proxies.</w:t>
      </w:r>
      <w:r w:rsidRPr="006E16F2">
        <w:t xml:space="preserve"> You should attend the issue of postal votes to check the actual stationery being produced, which will highlight if any of the signed-off proofs have been inadvertently altered. Once they have been issued, you should monitor returns to ensure that you have received completed postal votes bac</w:t>
      </w:r>
      <w:r w:rsidR="00BB2C7C">
        <w:t xml:space="preserve">k from every polling district. </w:t>
      </w:r>
      <w:r w:rsidRPr="006E16F2">
        <w:t xml:space="preserve">This will help you identify at an early stage if the issue was incomplete.  These processes should be </w:t>
      </w:r>
      <w:r w:rsidR="00BB2C7C">
        <w:t>captured in your election plan.</w:t>
      </w:r>
      <w:r w:rsidRPr="006E16F2">
        <w:t xml:space="preserve"> We have produced a proof checking factsheet which you can use to help quality assure your processes.</w:t>
      </w:r>
      <w:bookmarkEnd w:id="132"/>
    </w:p>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91043B" w:rsidRPr="006E16F2" w14:paraId="73A31BD1" w14:textId="77777777" w:rsidTr="003E6642">
        <w:tc>
          <w:tcPr>
            <w:tcW w:w="9747" w:type="dxa"/>
          </w:tcPr>
          <w:p w14:paraId="20E45BD1" w14:textId="395A0D9F" w:rsidR="0091043B" w:rsidRPr="006E16F2" w:rsidRDefault="0091043B" w:rsidP="003B0388">
            <w:r w:rsidRPr="006E16F2">
              <w:rPr>
                <w:rFonts w:cs="Arial"/>
                <w:noProof/>
              </w:rPr>
              <w:drawing>
                <wp:anchor distT="0" distB="0" distL="114300" distR="114300" simplePos="0" relativeHeight="251663360" behindDoc="0" locked="0" layoutInCell="1" allowOverlap="1" wp14:anchorId="68038FFE" wp14:editId="6187BA46">
                  <wp:simplePos x="0" y="0"/>
                  <wp:positionH relativeFrom="column">
                    <wp:posOffset>-33020</wp:posOffset>
                  </wp:positionH>
                  <wp:positionV relativeFrom="paragraph">
                    <wp:posOffset>7620</wp:posOffset>
                  </wp:positionV>
                  <wp:extent cx="503555" cy="685800"/>
                  <wp:effectExtent l="0" t="0" r="0" b="0"/>
                  <wp:wrapSquare wrapText="bothSides"/>
                  <wp:docPr id="15" name="Picture 15" descr="\\ecs_media\rharris$\my documents\GD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_media\rharris$\my documents\GDPR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6F2">
              <w:rPr>
                <w:b/>
              </w:rPr>
              <w:t xml:space="preserve">Action: </w:t>
            </w:r>
            <w:r w:rsidRPr="006E16F2">
              <w:t xml:space="preserve">Ensure that your registration and election plans </w:t>
            </w:r>
            <w:r w:rsidR="003B0388" w:rsidRPr="006E16F2">
              <w:t xml:space="preserve">and risk registers </w:t>
            </w:r>
            <w:r w:rsidRPr="006E16F2">
              <w:t>highlight the safeguards you have in place to avoid a personal data breach, particularly when you are undertaking high risk activities (such as producing</w:t>
            </w:r>
            <w:r w:rsidR="003E6642" w:rsidRPr="006E16F2">
              <w:t xml:space="preserve"> poll cards, postal votes</w:t>
            </w:r>
            <w:r w:rsidR="003B0388" w:rsidRPr="006E16F2">
              <w:t>,</w:t>
            </w:r>
            <w:r w:rsidR="003E6642" w:rsidRPr="006E16F2">
              <w:t xml:space="preserve"> etc.)</w:t>
            </w:r>
            <w:r w:rsidR="00AE0D24" w:rsidRPr="006E16F2">
              <w:t>.</w:t>
            </w:r>
          </w:p>
        </w:tc>
      </w:tr>
    </w:tbl>
    <w:p w14:paraId="51C69345" w14:textId="77777777" w:rsidR="0091043B" w:rsidRPr="006E16F2" w:rsidRDefault="0091043B" w:rsidP="00E811AE"/>
    <w:p w14:paraId="2D935DBE" w14:textId="77777777" w:rsidR="007C3C55" w:rsidRPr="006E16F2" w:rsidRDefault="007C3C55" w:rsidP="00606802">
      <w:pPr>
        <w:pStyle w:val="B-head"/>
      </w:pPr>
      <w:bookmarkStart w:id="133" w:name="_Toc504999092"/>
      <w:bookmarkStart w:id="134" w:name="_Toc505006051"/>
      <w:bookmarkStart w:id="135" w:name="_Toc505850167"/>
      <w:bookmarkStart w:id="136" w:name="_Toc71537511"/>
      <w:r w:rsidRPr="006E16F2">
        <w:t>Requirement to notify</w:t>
      </w:r>
      <w:bookmarkEnd w:id="133"/>
      <w:bookmarkEnd w:id="134"/>
      <w:bookmarkEnd w:id="135"/>
      <w:bookmarkEnd w:id="136"/>
    </w:p>
    <w:p w14:paraId="2D935DBF" w14:textId="77777777" w:rsidR="007C3C55" w:rsidRPr="006E16F2" w:rsidRDefault="007C3C55" w:rsidP="007C3C55">
      <w:pPr>
        <w:pStyle w:val="Paranumber"/>
        <w:tabs>
          <w:tab w:val="num" w:pos="567"/>
        </w:tabs>
        <w:ind w:left="0" w:firstLine="0"/>
      </w:pPr>
      <w:r w:rsidRPr="006E16F2">
        <w:t xml:space="preserve">When a personal data breach has occurred, you need to establish the likelihood and severity of the resulting </w:t>
      </w:r>
      <w:r w:rsidRPr="006E16F2">
        <w:rPr>
          <w:b/>
        </w:rPr>
        <w:t>risk to people’s rights and freedoms</w:t>
      </w:r>
      <w:r w:rsidRPr="006E16F2">
        <w:t>:</w:t>
      </w:r>
    </w:p>
    <w:p w14:paraId="2D935DC0" w14:textId="01D58637" w:rsidR="007C3C55" w:rsidRPr="006E16F2" w:rsidRDefault="007C3C55" w:rsidP="007C3C55">
      <w:pPr>
        <w:pStyle w:val="Bulletpoints"/>
        <w:numPr>
          <w:ilvl w:val="0"/>
          <w:numId w:val="12"/>
        </w:numPr>
        <w:tabs>
          <w:tab w:val="num" w:pos="567"/>
        </w:tabs>
        <w:spacing w:after="240"/>
        <w:ind w:left="567" w:hanging="567"/>
        <w:contextualSpacing/>
      </w:pPr>
      <w:r w:rsidRPr="006E16F2">
        <w:t xml:space="preserve">If there is a risk, you must </w:t>
      </w:r>
      <w:r w:rsidRPr="006E16F2">
        <w:rPr>
          <w:b/>
        </w:rPr>
        <w:t xml:space="preserve">notify the </w:t>
      </w:r>
      <w:hyperlink r:id="rId45" w:history="1">
        <w:r w:rsidRPr="006E16F2">
          <w:rPr>
            <w:rStyle w:val="Hyperlink"/>
            <w:b/>
          </w:rPr>
          <w:t>ICO</w:t>
        </w:r>
      </w:hyperlink>
      <w:r w:rsidRPr="006E16F2">
        <w:t xml:space="preserve"> within 72 hours of becoming aware of the breach;</w:t>
      </w:r>
    </w:p>
    <w:p w14:paraId="2D935DC1" w14:textId="759CAB6E" w:rsidR="007C3C55" w:rsidRPr="006E16F2" w:rsidRDefault="007C3C55" w:rsidP="007C3C55">
      <w:pPr>
        <w:pStyle w:val="Bulletpoints"/>
        <w:numPr>
          <w:ilvl w:val="0"/>
          <w:numId w:val="12"/>
        </w:numPr>
        <w:tabs>
          <w:tab w:val="num" w:pos="567"/>
        </w:tabs>
        <w:spacing w:after="240"/>
        <w:ind w:left="567" w:hanging="567"/>
        <w:contextualSpacing/>
      </w:pPr>
      <w:r w:rsidRPr="006E16F2">
        <w:t xml:space="preserve">If there is a </w:t>
      </w:r>
      <w:r w:rsidRPr="006E16F2">
        <w:rPr>
          <w:b/>
        </w:rPr>
        <w:t xml:space="preserve">high </w:t>
      </w:r>
      <w:r w:rsidRPr="006E16F2">
        <w:t>risk</w:t>
      </w:r>
      <w:r w:rsidR="00F65B68" w:rsidRPr="006E16F2">
        <w:t xml:space="preserve"> (as </w:t>
      </w:r>
      <w:r w:rsidR="003B0388" w:rsidRPr="006E16F2">
        <w:t>defined</w:t>
      </w:r>
      <w:r w:rsidR="00F65B68" w:rsidRPr="006E16F2">
        <w:t xml:space="preserve"> in </w:t>
      </w:r>
      <w:r w:rsidR="003B0388" w:rsidRPr="006E16F2">
        <w:t xml:space="preserve">paragraph </w:t>
      </w:r>
      <w:r w:rsidR="003B0388" w:rsidRPr="006E16F2">
        <w:rPr>
          <w:b/>
        </w:rPr>
        <w:fldChar w:fldCharType="begin"/>
      </w:r>
      <w:r w:rsidR="003B0388" w:rsidRPr="006E16F2">
        <w:rPr>
          <w:b/>
        </w:rPr>
        <w:instrText xml:space="preserve"> REF _Ref505159615 \r \h  \* MERGEFORMAT </w:instrText>
      </w:r>
      <w:r w:rsidR="003B0388" w:rsidRPr="006E16F2">
        <w:rPr>
          <w:b/>
        </w:rPr>
      </w:r>
      <w:r w:rsidR="003B0388" w:rsidRPr="006E16F2">
        <w:rPr>
          <w:b/>
        </w:rPr>
        <w:fldChar w:fldCharType="separate"/>
      </w:r>
      <w:r w:rsidR="00E60484" w:rsidRPr="006E16F2">
        <w:rPr>
          <w:b/>
        </w:rPr>
        <w:t>13.5</w:t>
      </w:r>
      <w:r w:rsidR="003B0388" w:rsidRPr="006E16F2">
        <w:rPr>
          <w:b/>
        </w:rPr>
        <w:fldChar w:fldCharType="end"/>
      </w:r>
      <w:r w:rsidR="00F65B68" w:rsidRPr="006E16F2">
        <w:t xml:space="preserve"> below)</w:t>
      </w:r>
      <w:r w:rsidRPr="006E16F2">
        <w:t xml:space="preserve">, in addition to notifying the ICO, you must </w:t>
      </w:r>
      <w:r w:rsidRPr="006E16F2">
        <w:rPr>
          <w:b/>
        </w:rPr>
        <w:t>inform the individuals concerned</w:t>
      </w:r>
      <w:r w:rsidRPr="006E16F2">
        <w:t xml:space="preserve"> directly without undue delay.</w:t>
      </w:r>
    </w:p>
    <w:p w14:paraId="2D935DC2" w14:textId="3D5FE5E3" w:rsidR="007C3C55" w:rsidRPr="006E16F2" w:rsidRDefault="007C3C55" w:rsidP="007C3C55">
      <w:pPr>
        <w:pStyle w:val="Paranumber"/>
        <w:tabs>
          <w:tab w:val="num" w:pos="567"/>
        </w:tabs>
        <w:ind w:left="0" w:firstLine="0"/>
      </w:pPr>
      <w:r w:rsidRPr="006E16F2">
        <w:t>Where the risk is unlikely to impact on people’s rights and freedoms, you don’</w:t>
      </w:r>
      <w:r w:rsidR="00BB2C7C">
        <w:t>t have to report it to the ICO.</w:t>
      </w:r>
      <w:r w:rsidRPr="006E16F2">
        <w:t xml:space="preserve"> </w:t>
      </w:r>
      <w:r w:rsidR="00570188" w:rsidRPr="006E16F2">
        <w:t>I</w:t>
      </w:r>
      <w:r w:rsidRPr="006E16F2">
        <w:t>f the risk is not high, you do not have to no</w:t>
      </w:r>
      <w:r w:rsidR="00BB2C7C">
        <w:t>tify the individuals concerned.</w:t>
      </w:r>
      <w:r w:rsidRPr="006E16F2">
        <w:t xml:space="preserve"> In both cases, you need to be able to justify your decision, so you should document your reasoning in line with the accountability principle.</w:t>
      </w:r>
    </w:p>
    <w:bookmarkStart w:id="137" w:name="_Ref505159615"/>
    <w:p w14:paraId="2D935DC3" w14:textId="13343F5A" w:rsidR="007C3C55" w:rsidRPr="006E16F2" w:rsidRDefault="00A51823" w:rsidP="007C3C55">
      <w:pPr>
        <w:pStyle w:val="Paranumber"/>
        <w:tabs>
          <w:tab w:val="num" w:pos="567"/>
        </w:tabs>
        <w:ind w:left="0" w:firstLine="0"/>
      </w:pPr>
      <w:r w:rsidRPr="006E16F2">
        <w:fldChar w:fldCharType="begin"/>
      </w:r>
      <w:r w:rsidR="00BF0CBA" w:rsidRPr="006E16F2">
        <w:instrText>HYPERLINK "http://ico.org.uk/for-organisations/guide-to-the-general-data-protection-regulation-gdpr/personal-data-breaches/"</w:instrText>
      </w:r>
      <w:r w:rsidRPr="006E16F2">
        <w:fldChar w:fldCharType="separate"/>
      </w:r>
      <w:r w:rsidR="007C3C55" w:rsidRPr="006E16F2">
        <w:rPr>
          <w:rStyle w:val="Hyperlink"/>
        </w:rPr>
        <w:t>ICO guidance</w:t>
      </w:r>
      <w:r w:rsidRPr="006E16F2">
        <w:rPr>
          <w:rStyle w:val="Hyperlink"/>
        </w:rPr>
        <w:fldChar w:fldCharType="end"/>
      </w:r>
      <w:r w:rsidR="007C3C55" w:rsidRPr="006E16F2">
        <w:t xml:space="preserve"> defines a ‘high risk’ in terms of the severity of the potential or actual impact on individuals: “If the impact of the breach is more severe, the risk is higher; if the likelihood of the consequences is greater, then again the risk is higher. In such cases, you will need to promptly inform those affected, particularly if there is a need to mitigate an immediate risk of damage to them. One of the main reasons for informing individuals is to help them take steps to protect themselves from the effects of a breach.”</w:t>
      </w:r>
      <w:bookmarkEnd w:id="137"/>
    </w:p>
    <w:p w14:paraId="2D935DC4" w14:textId="61573F71" w:rsidR="007C3C55" w:rsidRPr="006E16F2" w:rsidRDefault="007C3C55" w:rsidP="007C3C55">
      <w:pPr>
        <w:pStyle w:val="Paranumber"/>
        <w:tabs>
          <w:tab w:val="num" w:pos="567"/>
        </w:tabs>
        <w:ind w:left="0" w:firstLine="0"/>
      </w:pPr>
      <w:r w:rsidRPr="006E16F2">
        <w:t xml:space="preserve">The ICO </w:t>
      </w:r>
      <w:r w:rsidR="00570188" w:rsidRPr="006E16F2">
        <w:t xml:space="preserve">also </w:t>
      </w:r>
      <w:r w:rsidRPr="006E16F2">
        <w:t xml:space="preserve">has the power to compel you to inform affected individuals if they consider </w:t>
      </w:r>
      <w:r w:rsidR="00570188" w:rsidRPr="006E16F2">
        <w:t xml:space="preserve">that </w:t>
      </w:r>
      <w:r w:rsidRPr="006E16F2">
        <w:t>there is a high risk.</w:t>
      </w:r>
    </w:p>
    <w:p w14:paraId="5C3D5EE2" w14:textId="439A3634" w:rsidR="00570188" w:rsidRPr="006E16F2" w:rsidRDefault="0080260D" w:rsidP="00606802">
      <w:pPr>
        <w:pStyle w:val="B-head"/>
      </w:pPr>
      <w:bookmarkStart w:id="138" w:name="_Toc504999093"/>
      <w:bookmarkStart w:id="139" w:name="_Toc505006052"/>
      <w:bookmarkStart w:id="140" w:name="_Toc505850168"/>
      <w:bookmarkStart w:id="141" w:name="_Toc71537512"/>
      <w:r w:rsidRPr="006E16F2">
        <w:t xml:space="preserve">Sanctions and </w:t>
      </w:r>
      <w:r w:rsidR="003B0388" w:rsidRPr="006E16F2">
        <w:t>p</w:t>
      </w:r>
      <w:r w:rsidR="00570188" w:rsidRPr="006E16F2">
        <w:t>enalties</w:t>
      </w:r>
      <w:bookmarkEnd w:id="138"/>
      <w:bookmarkEnd w:id="139"/>
      <w:bookmarkEnd w:id="140"/>
      <w:bookmarkEnd w:id="141"/>
    </w:p>
    <w:p w14:paraId="396DE416" w14:textId="0D6EA130" w:rsidR="00570188" w:rsidRPr="006E16F2" w:rsidRDefault="00570188" w:rsidP="00CE37BF">
      <w:pPr>
        <w:pStyle w:val="Paranumber"/>
        <w:tabs>
          <w:tab w:val="clear" w:pos="567"/>
        </w:tabs>
        <w:ind w:left="0" w:firstLine="0"/>
      </w:pPr>
      <w:r w:rsidRPr="006E16F2">
        <w:t xml:space="preserve">Under </w:t>
      </w:r>
      <w:r w:rsidR="00F35D5E">
        <w:t>current data protection legislation</w:t>
      </w:r>
      <w:r w:rsidRPr="006E16F2">
        <w:t xml:space="preserve">, fines of up to </w:t>
      </w:r>
      <w:r w:rsidR="00EB62C4">
        <w:t>£17.4</w:t>
      </w:r>
      <w:r w:rsidRPr="006E16F2">
        <w:t>m</w:t>
      </w:r>
      <w:r w:rsidR="00EB62C4">
        <w:t>illion</w:t>
      </w:r>
      <w:r w:rsidRPr="006E16F2">
        <w:t xml:space="preserve"> </w:t>
      </w:r>
      <w:r w:rsidR="00EB62C4">
        <w:t>8.7</w:t>
      </w:r>
      <w:r w:rsidRPr="006E16F2">
        <w:t>or 4% of turnover (whichever is greater).  may be imposed for:</w:t>
      </w:r>
    </w:p>
    <w:p w14:paraId="47D4049F" w14:textId="76AF744A" w:rsidR="00570188" w:rsidRPr="006E16F2" w:rsidRDefault="00570188" w:rsidP="00570188">
      <w:pPr>
        <w:pStyle w:val="BulletSpaced"/>
        <w:numPr>
          <w:ilvl w:val="0"/>
          <w:numId w:val="2"/>
        </w:numPr>
        <w:tabs>
          <w:tab w:val="num" w:pos="567"/>
        </w:tabs>
        <w:spacing w:after="120"/>
        <w:ind w:left="567" w:hanging="567"/>
      </w:pPr>
      <w:r w:rsidRPr="006E16F2">
        <w:t>failure to process personal data on a lawful basis, infringing the rights of data subjects</w:t>
      </w:r>
      <w:r w:rsidR="003B0388" w:rsidRPr="006E16F2">
        <w:t>;</w:t>
      </w:r>
    </w:p>
    <w:p w14:paraId="2BC21F6E" w14:textId="5F6E72D0" w:rsidR="00570188" w:rsidRPr="006E16F2" w:rsidRDefault="00570188" w:rsidP="00570188">
      <w:pPr>
        <w:pStyle w:val="BulletSpaced"/>
        <w:numPr>
          <w:ilvl w:val="0"/>
          <w:numId w:val="2"/>
        </w:numPr>
        <w:tabs>
          <w:tab w:val="num" w:pos="567"/>
        </w:tabs>
        <w:spacing w:after="120"/>
        <w:ind w:left="567" w:hanging="567"/>
      </w:pPr>
      <w:r w:rsidRPr="006E16F2">
        <w:t>failure by a data controller in relation to the engagement of processors;</w:t>
      </w:r>
      <w:r w:rsidR="003B0388" w:rsidRPr="006E16F2">
        <w:t xml:space="preserve"> or</w:t>
      </w:r>
    </w:p>
    <w:p w14:paraId="513C865E" w14:textId="77777777" w:rsidR="00570188" w:rsidRPr="006E16F2" w:rsidRDefault="00570188" w:rsidP="00570188">
      <w:pPr>
        <w:pStyle w:val="BulletSpaced"/>
        <w:numPr>
          <w:ilvl w:val="0"/>
          <w:numId w:val="2"/>
        </w:numPr>
        <w:tabs>
          <w:tab w:val="num" w:pos="567"/>
        </w:tabs>
        <w:spacing w:after="120"/>
        <w:ind w:left="567" w:hanging="567"/>
      </w:pPr>
      <w:r w:rsidRPr="006E16F2">
        <w:t>failure of a processor to process data only in accordance with the controller’s instructions;</w:t>
      </w:r>
    </w:p>
    <w:p w14:paraId="486A2979" w14:textId="0B3BF7AA" w:rsidR="00E14395" w:rsidRPr="006E16F2" w:rsidRDefault="00E14395" w:rsidP="00E14395">
      <w:pPr>
        <w:pStyle w:val="Paranumber"/>
        <w:tabs>
          <w:tab w:val="num" w:pos="567"/>
        </w:tabs>
        <w:ind w:left="0" w:firstLine="0"/>
      </w:pPr>
      <w:r w:rsidRPr="006E16F2">
        <w:t xml:space="preserve">A maximum of </w:t>
      </w:r>
      <w:r w:rsidR="00EB62C4">
        <w:t>£8.7</w:t>
      </w:r>
      <w:r w:rsidRPr="006E16F2">
        <w:t>million (or 2% annual turnover) applies for other breaches incl</w:t>
      </w:r>
      <w:r w:rsidR="003B0388" w:rsidRPr="006E16F2">
        <w:t>uding:</w:t>
      </w:r>
    </w:p>
    <w:p w14:paraId="716C6A0A" w14:textId="2BC5EE36" w:rsidR="00E14395" w:rsidRPr="006E16F2" w:rsidRDefault="00E14395" w:rsidP="00E14395">
      <w:pPr>
        <w:pStyle w:val="BulletSpaced"/>
        <w:numPr>
          <w:ilvl w:val="0"/>
          <w:numId w:val="2"/>
        </w:numPr>
        <w:tabs>
          <w:tab w:val="num" w:pos="567"/>
        </w:tabs>
        <w:spacing w:after="120"/>
        <w:ind w:left="567" w:hanging="567"/>
      </w:pPr>
      <w:r w:rsidRPr="006E16F2">
        <w:t>failure to maintain security of personal data</w:t>
      </w:r>
    </w:p>
    <w:p w14:paraId="19FBA1F6" w14:textId="77777777" w:rsidR="00570188" w:rsidRPr="006E16F2" w:rsidRDefault="00570188" w:rsidP="00570188">
      <w:pPr>
        <w:pStyle w:val="BulletSpaced"/>
        <w:numPr>
          <w:ilvl w:val="0"/>
          <w:numId w:val="2"/>
        </w:numPr>
        <w:tabs>
          <w:tab w:val="num" w:pos="567"/>
        </w:tabs>
        <w:spacing w:after="120"/>
        <w:ind w:left="567" w:hanging="567"/>
      </w:pPr>
      <w:r w:rsidRPr="006E16F2">
        <w:t>failure to report breaches (including to the data subject where required)</w:t>
      </w:r>
    </w:p>
    <w:p w14:paraId="65811DBA" w14:textId="77777777" w:rsidR="00570188" w:rsidRPr="006E16F2" w:rsidRDefault="00570188" w:rsidP="00570188">
      <w:pPr>
        <w:pStyle w:val="BulletSpaced"/>
        <w:numPr>
          <w:ilvl w:val="0"/>
          <w:numId w:val="2"/>
        </w:numPr>
        <w:tabs>
          <w:tab w:val="num" w:pos="567"/>
        </w:tabs>
        <w:spacing w:after="120"/>
        <w:ind w:left="567" w:hanging="567"/>
      </w:pPr>
      <w:r w:rsidRPr="006E16F2">
        <w:t>failure to maintain records of processing activities</w:t>
      </w:r>
    </w:p>
    <w:p w14:paraId="2B377339" w14:textId="32CD4F11" w:rsidR="003B0388" w:rsidRPr="006E16F2" w:rsidRDefault="00570188" w:rsidP="008A3A12">
      <w:pPr>
        <w:pStyle w:val="BulletSpaced"/>
        <w:numPr>
          <w:ilvl w:val="0"/>
          <w:numId w:val="2"/>
        </w:numPr>
        <w:tabs>
          <w:tab w:val="num" w:pos="567"/>
        </w:tabs>
        <w:spacing w:after="120"/>
        <w:ind w:left="567" w:hanging="567"/>
      </w:pPr>
      <w:r w:rsidRPr="006E16F2">
        <w:t>failure to undertake a Data Protection Impact Assessment when required to do so</w:t>
      </w:r>
    </w:p>
    <w:p w14:paraId="2D935DC9" w14:textId="55E15D0D" w:rsidR="007C3C55" w:rsidRPr="006E16F2" w:rsidRDefault="00570188" w:rsidP="003B0388">
      <w:pPr>
        <w:pStyle w:val="Paranumber"/>
        <w:ind w:left="0" w:firstLine="0"/>
      </w:pPr>
      <w:r w:rsidRPr="006E16F2">
        <w:t>In addition to imposing fines, the ICO may audit offenders, issue reprimands and impose restrictions on the breaching party.  Reputational damage could also be significant.</w:t>
      </w:r>
    </w:p>
    <w:p w14:paraId="7E3E756E" w14:textId="77777777" w:rsidR="0065530B" w:rsidRPr="006E16F2" w:rsidRDefault="0065530B" w:rsidP="00F6093F"/>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016"/>
      </w:tblGrid>
      <w:tr w:rsidR="0065530B" w:rsidRPr="006E16F2" w14:paraId="50606EE1" w14:textId="77777777" w:rsidTr="00F65B68">
        <w:tc>
          <w:tcPr>
            <w:tcW w:w="9606" w:type="dxa"/>
          </w:tcPr>
          <w:p w14:paraId="4B63DAF4" w14:textId="2A44CDE8" w:rsidR="0065530B" w:rsidRPr="006E16F2" w:rsidRDefault="00B00403" w:rsidP="00776D5B">
            <w:r w:rsidRPr="006E16F2">
              <w:rPr>
                <w:noProof/>
              </w:rPr>
              <w:drawing>
                <wp:anchor distT="0" distB="0" distL="114300" distR="114300" simplePos="0" relativeHeight="251658240" behindDoc="0" locked="0" layoutInCell="1" allowOverlap="1" wp14:anchorId="4631EB66" wp14:editId="2C9BFD59">
                  <wp:simplePos x="0" y="0"/>
                  <wp:positionH relativeFrom="column">
                    <wp:posOffset>-33020</wp:posOffset>
                  </wp:positionH>
                  <wp:positionV relativeFrom="paragraph">
                    <wp:posOffset>9525</wp:posOffset>
                  </wp:positionV>
                  <wp:extent cx="503555" cy="685800"/>
                  <wp:effectExtent l="0" t="0" r="0" b="0"/>
                  <wp:wrapSquare wrapText="bothSides"/>
                  <wp:docPr id="16" name="Picture 16" descr="\\ecs_media\rharris$\my documents\GD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_media\rharris$\my documents\GDPR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555"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30B" w:rsidRPr="006E16F2">
              <w:rPr>
                <w:b/>
              </w:rPr>
              <w:t>Action:</w:t>
            </w:r>
            <w:r w:rsidR="0065530B" w:rsidRPr="006E16F2">
              <w:t xml:space="preserve"> Understand the consequences of failure to comply with your data protection obligations, and ensure you have procedures in place to detect, report and investigate any personal data breach.</w:t>
            </w:r>
          </w:p>
          <w:p w14:paraId="5C9EBA5D" w14:textId="798624F5" w:rsidR="003B0388" w:rsidRPr="006E16F2" w:rsidRDefault="003B0388" w:rsidP="00776D5B"/>
        </w:tc>
      </w:tr>
    </w:tbl>
    <w:p w14:paraId="6779E0B8" w14:textId="77777777" w:rsidR="00517FC6" w:rsidRDefault="00517FC6" w:rsidP="00BB2C7C">
      <w:pPr>
        <w:pStyle w:val="A-head"/>
      </w:pPr>
      <w:bookmarkStart w:id="142" w:name="Appx1"/>
      <w:bookmarkStart w:id="143" w:name="_Toc505850169"/>
    </w:p>
    <w:p w14:paraId="53DAB121" w14:textId="77777777" w:rsidR="00517FC6" w:rsidRDefault="00517FC6">
      <w:pPr>
        <w:spacing w:after="200" w:line="276" w:lineRule="auto"/>
        <w:rPr>
          <w:rFonts w:eastAsiaTheme="minorHAnsi" w:cstheme="minorBidi"/>
          <w:color w:val="003366"/>
          <w:sz w:val="48"/>
          <w:lang w:val="sv-FI" w:eastAsia="en-US"/>
        </w:rPr>
      </w:pPr>
      <w:r>
        <w:br w:type="page"/>
      </w:r>
    </w:p>
    <w:p w14:paraId="47848E69" w14:textId="49AED97F" w:rsidR="007A1CF6" w:rsidRPr="006E16F2" w:rsidRDefault="007A1CF6" w:rsidP="00BB2C7C">
      <w:pPr>
        <w:pStyle w:val="A-head"/>
      </w:pPr>
      <w:bookmarkStart w:id="144" w:name="_Toc71537513"/>
      <w:r w:rsidRPr="006E16F2">
        <w:t>Appendix 1</w:t>
      </w:r>
      <w:bookmarkEnd w:id="142"/>
      <w:r w:rsidRPr="006E16F2">
        <w:t xml:space="preserve"> – </w:t>
      </w:r>
      <w:r w:rsidR="00D92212" w:rsidRPr="006E16F2">
        <w:t>Summary c</w:t>
      </w:r>
      <w:r w:rsidRPr="006E16F2">
        <w:t>hecklist of actions</w:t>
      </w:r>
      <w:bookmarkEnd w:id="143"/>
      <w:bookmarkEnd w:id="144"/>
    </w:p>
    <w:p w14:paraId="4358307B" w14:textId="3F751616" w:rsidR="007A1CF6" w:rsidRPr="006E16F2" w:rsidRDefault="007A1CF6" w:rsidP="007A1CF6">
      <w:r w:rsidRPr="006E16F2">
        <w:t xml:space="preserve">This checklist </w:t>
      </w:r>
      <w:r w:rsidR="0041515B" w:rsidRPr="006E16F2">
        <w:t>summarises</w:t>
      </w:r>
      <w:r w:rsidRPr="006E16F2">
        <w:t xml:space="preserve"> the actions</w:t>
      </w:r>
      <w:r w:rsidR="0041515B" w:rsidRPr="006E16F2">
        <w:t xml:space="preserve"> highlighted throughout </w:t>
      </w:r>
      <w:r w:rsidRPr="006E16F2">
        <w:t>this resource</w:t>
      </w:r>
      <w:r w:rsidR="00B00403" w:rsidRPr="006E16F2">
        <w:t xml:space="preserve"> for your reference</w:t>
      </w:r>
      <w:r w:rsidRPr="006E16F2">
        <w:t>.</w:t>
      </w:r>
    </w:p>
    <w:p w14:paraId="2948AC76" w14:textId="77777777" w:rsidR="007A1CF6" w:rsidRPr="006E16F2" w:rsidRDefault="007A1CF6" w:rsidP="007A1CF6"/>
    <w:tbl>
      <w:tblPr>
        <w:tblStyle w:val="TableGrid"/>
        <w:tblW w:w="0" w:type="auto"/>
        <w:tblLook w:val="04A0" w:firstRow="1" w:lastRow="0" w:firstColumn="1" w:lastColumn="0" w:noHBand="0" w:noVBand="1"/>
      </w:tblPr>
      <w:tblGrid>
        <w:gridCol w:w="527"/>
        <w:gridCol w:w="4545"/>
        <w:gridCol w:w="617"/>
        <w:gridCol w:w="3327"/>
      </w:tblGrid>
      <w:tr w:rsidR="007A1CF6" w:rsidRPr="006E16F2" w14:paraId="65F51D1F" w14:textId="77777777" w:rsidTr="00F6093F">
        <w:trPr>
          <w:tblHeader/>
        </w:trPr>
        <w:tc>
          <w:tcPr>
            <w:tcW w:w="534" w:type="dxa"/>
            <w:shd w:val="clear" w:color="auto" w:fill="C6D9F1" w:themeFill="text2" w:themeFillTint="33"/>
          </w:tcPr>
          <w:p w14:paraId="640CF32C" w14:textId="77777777" w:rsidR="007A1CF6" w:rsidRPr="006E16F2" w:rsidRDefault="007A1CF6" w:rsidP="00F0472E">
            <w:r w:rsidRPr="006E16F2">
              <w:t>#</w:t>
            </w:r>
          </w:p>
        </w:tc>
        <w:tc>
          <w:tcPr>
            <w:tcW w:w="4899" w:type="dxa"/>
            <w:shd w:val="clear" w:color="auto" w:fill="C6D9F1" w:themeFill="text2" w:themeFillTint="33"/>
          </w:tcPr>
          <w:p w14:paraId="5FD9C3B0" w14:textId="77777777" w:rsidR="007A1CF6" w:rsidRPr="006E16F2" w:rsidRDefault="007A1CF6" w:rsidP="00F0472E">
            <w:r w:rsidRPr="006E16F2">
              <w:t>Action</w:t>
            </w:r>
          </w:p>
        </w:tc>
        <w:tc>
          <w:tcPr>
            <w:tcW w:w="617" w:type="dxa"/>
            <w:shd w:val="clear" w:color="auto" w:fill="C6D9F1" w:themeFill="text2" w:themeFillTint="33"/>
          </w:tcPr>
          <w:p w14:paraId="40351592" w14:textId="77777777" w:rsidR="007A1CF6" w:rsidRPr="006E16F2" w:rsidRDefault="007A1CF6" w:rsidP="00F0472E">
            <w:r w:rsidRPr="006E16F2">
              <w:t>Y/N</w:t>
            </w:r>
          </w:p>
        </w:tc>
        <w:tc>
          <w:tcPr>
            <w:tcW w:w="3697" w:type="dxa"/>
            <w:shd w:val="clear" w:color="auto" w:fill="C6D9F1" w:themeFill="text2" w:themeFillTint="33"/>
          </w:tcPr>
          <w:p w14:paraId="4F896BB0" w14:textId="77777777" w:rsidR="007A1CF6" w:rsidRPr="006E16F2" w:rsidRDefault="007A1CF6" w:rsidP="00F0472E">
            <w:r w:rsidRPr="006E16F2">
              <w:t>Comment</w:t>
            </w:r>
          </w:p>
        </w:tc>
      </w:tr>
      <w:tr w:rsidR="007A1CF6" w:rsidRPr="006E16F2" w14:paraId="04E331D0" w14:textId="77777777" w:rsidTr="00F6093F">
        <w:tc>
          <w:tcPr>
            <w:tcW w:w="534" w:type="dxa"/>
          </w:tcPr>
          <w:p w14:paraId="076B1478" w14:textId="0400658F" w:rsidR="007A1CF6" w:rsidRPr="006E16F2" w:rsidRDefault="00A87A95" w:rsidP="00F0472E">
            <w:r w:rsidRPr="006E16F2">
              <w:t>1</w:t>
            </w:r>
          </w:p>
        </w:tc>
        <w:tc>
          <w:tcPr>
            <w:tcW w:w="4899" w:type="dxa"/>
          </w:tcPr>
          <w:p w14:paraId="31FCE9C8" w14:textId="77777777" w:rsidR="007A1CF6" w:rsidRPr="006E16F2" w:rsidRDefault="007A1CF6" w:rsidP="00F0472E">
            <w:r w:rsidRPr="006E16F2">
              <w:t>Utilise your council’s data protection officer to help meet your requirements and ascertain best practice</w:t>
            </w:r>
          </w:p>
        </w:tc>
        <w:tc>
          <w:tcPr>
            <w:tcW w:w="617" w:type="dxa"/>
          </w:tcPr>
          <w:p w14:paraId="4EA15B3F" w14:textId="77777777" w:rsidR="007A1CF6" w:rsidRPr="006E16F2" w:rsidRDefault="007A1CF6" w:rsidP="00F0472E"/>
        </w:tc>
        <w:tc>
          <w:tcPr>
            <w:tcW w:w="3697" w:type="dxa"/>
          </w:tcPr>
          <w:p w14:paraId="1F366591" w14:textId="77777777" w:rsidR="007A1CF6" w:rsidRPr="006E16F2" w:rsidRDefault="007A1CF6" w:rsidP="00F0472E"/>
        </w:tc>
      </w:tr>
      <w:tr w:rsidR="007A1CF6" w:rsidRPr="006E16F2" w14:paraId="2D7983D1" w14:textId="77777777" w:rsidTr="00F6093F">
        <w:tc>
          <w:tcPr>
            <w:tcW w:w="534" w:type="dxa"/>
          </w:tcPr>
          <w:p w14:paraId="1AFAACA4" w14:textId="1738D13A" w:rsidR="007A1CF6" w:rsidRPr="006E16F2" w:rsidRDefault="00A87A95" w:rsidP="00F0472E">
            <w:r w:rsidRPr="006E16F2">
              <w:t>2</w:t>
            </w:r>
          </w:p>
        </w:tc>
        <w:tc>
          <w:tcPr>
            <w:tcW w:w="4899" w:type="dxa"/>
          </w:tcPr>
          <w:p w14:paraId="1DBDCC46" w14:textId="2CF37F59" w:rsidR="007A1CF6" w:rsidRPr="006E16F2" w:rsidRDefault="007A1CF6" w:rsidP="00F0472E">
            <w:r w:rsidRPr="006E16F2">
              <w:t xml:space="preserve">Utilise the </w:t>
            </w:r>
            <w:hyperlink r:id="rId46" w:history="1">
              <w:r w:rsidRPr="006E16F2">
                <w:rPr>
                  <w:rStyle w:val="Hyperlink"/>
                </w:rPr>
                <w:t>ICO’s website</w:t>
              </w:r>
            </w:hyperlink>
            <w:r w:rsidRPr="006E16F2">
              <w:t xml:space="preserve"> to support you in meeting your obligations</w:t>
            </w:r>
          </w:p>
        </w:tc>
        <w:tc>
          <w:tcPr>
            <w:tcW w:w="617" w:type="dxa"/>
          </w:tcPr>
          <w:p w14:paraId="155251DB" w14:textId="77777777" w:rsidR="007A1CF6" w:rsidRPr="006E16F2" w:rsidRDefault="007A1CF6" w:rsidP="00F0472E"/>
        </w:tc>
        <w:tc>
          <w:tcPr>
            <w:tcW w:w="3697" w:type="dxa"/>
          </w:tcPr>
          <w:p w14:paraId="121AE96C" w14:textId="77777777" w:rsidR="007A1CF6" w:rsidRPr="006E16F2" w:rsidRDefault="007A1CF6" w:rsidP="00F0472E"/>
        </w:tc>
      </w:tr>
      <w:tr w:rsidR="007A1CF6" w:rsidRPr="006E16F2" w14:paraId="7576A95C" w14:textId="77777777" w:rsidTr="00F6093F">
        <w:tc>
          <w:tcPr>
            <w:tcW w:w="534" w:type="dxa"/>
          </w:tcPr>
          <w:p w14:paraId="29C2A984" w14:textId="3F75B595" w:rsidR="007A1CF6" w:rsidRPr="006E16F2" w:rsidRDefault="00A87A95" w:rsidP="00F0472E">
            <w:r w:rsidRPr="006E16F2">
              <w:t>3</w:t>
            </w:r>
          </w:p>
        </w:tc>
        <w:tc>
          <w:tcPr>
            <w:tcW w:w="4899" w:type="dxa"/>
          </w:tcPr>
          <w:p w14:paraId="2BEDF676" w14:textId="6EF72384" w:rsidR="007A1CF6" w:rsidRPr="006E16F2" w:rsidRDefault="007A1CF6" w:rsidP="00C74A1F">
            <w:r w:rsidRPr="006E16F2">
              <w:t xml:space="preserve">Ensure you are registered as a </w:t>
            </w:r>
            <w:hyperlink w:anchor="Controller" w:history="1">
              <w:r w:rsidRPr="006E16F2">
                <w:rPr>
                  <w:rStyle w:val="Hyperlink"/>
                </w:rPr>
                <w:t>data controller</w:t>
              </w:r>
            </w:hyperlink>
            <w:r w:rsidR="00C74A1F" w:rsidRPr="006E16F2">
              <w:t>,</w:t>
            </w:r>
            <w:r w:rsidRPr="006E16F2">
              <w:t xml:space="preserve"> separately from your </w:t>
            </w:r>
            <w:r w:rsidR="00A87A95" w:rsidRPr="006E16F2">
              <w:t>council</w:t>
            </w:r>
          </w:p>
        </w:tc>
        <w:tc>
          <w:tcPr>
            <w:tcW w:w="617" w:type="dxa"/>
          </w:tcPr>
          <w:p w14:paraId="6314C79C" w14:textId="77777777" w:rsidR="007A1CF6" w:rsidRPr="006E16F2" w:rsidRDefault="007A1CF6" w:rsidP="00F0472E"/>
        </w:tc>
        <w:tc>
          <w:tcPr>
            <w:tcW w:w="3697" w:type="dxa"/>
          </w:tcPr>
          <w:p w14:paraId="2F3A9519" w14:textId="77777777" w:rsidR="007A1CF6" w:rsidRPr="006E16F2" w:rsidRDefault="007A1CF6" w:rsidP="00F0472E"/>
        </w:tc>
      </w:tr>
      <w:tr w:rsidR="007A1CF6" w:rsidRPr="006E16F2" w14:paraId="1A3BF25F" w14:textId="77777777" w:rsidTr="00F6093F">
        <w:tc>
          <w:tcPr>
            <w:tcW w:w="534" w:type="dxa"/>
          </w:tcPr>
          <w:p w14:paraId="644C20FC" w14:textId="50733D73" w:rsidR="007A1CF6" w:rsidRPr="006E16F2" w:rsidRDefault="00A87A95" w:rsidP="00F0472E">
            <w:r w:rsidRPr="006E16F2">
              <w:t>4</w:t>
            </w:r>
          </w:p>
        </w:tc>
        <w:tc>
          <w:tcPr>
            <w:tcW w:w="4899" w:type="dxa"/>
          </w:tcPr>
          <w:p w14:paraId="579A5968" w14:textId="59394766" w:rsidR="007A1CF6" w:rsidRPr="006E16F2" w:rsidRDefault="007A1CF6" w:rsidP="00A87A95">
            <w:r w:rsidRPr="006E16F2">
              <w:t xml:space="preserve">Review your processing activities. How can you </w:t>
            </w:r>
            <w:r w:rsidRPr="006E16F2">
              <w:rPr>
                <w:b/>
              </w:rPr>
              <w:t>demonstrate</w:t>
            </w:r>
            <w:r w:rsidRPr="006E16F2">
              <w:t xml:space="preserve"> you are processing data lawfully, fairly and in a transparent manner (see </w:t>
            </w:r>
            <w:r w:rsidR="00A87A95" w:rsidRPr="006E16F2">
              <w:t>‘</w:t>
            </w:r>
            <w:hyperlink w:anchor="Accountability" w:history="1">
              <w:r w:rsidR="00A87A95" w:rsidRPr="006E16F2">
                <w:rPr>
                  <w:rStyle w:val="Hyperlink"/>
                </w:rPr>
                <w:t>Accountability and transparency</w:t>
              </w:r>
            </w:hyperlink>
            <w:r w:rsidR="00A87A95" w:rsidRPr="006E16F2">
              <w:t>’</w:t>
            </w:r>
            <w:r w:rsidRPr="006E16F2">
              <w:t>)</w:t>
            </w:r>
          </w:p>
        </w:tc>
        <w:tc>
          <w:tcPr>
            <w:tcW w:w="617" w:type="dxa"/>
          </w:tcPr>
          <w:p w14:paraId="5764E045" w14:textId="77777777" w:rsidR="007A1CF6" w:rsidRPr="006E16F2" w:rsidRDefault="007A1CF6" w:rsidP="00F0472E"/>
        </w:tc>
        <w:tc>
          <w:tcPr>
            <w:tcW w:w="3697" w:type="dxa"/>
          </w:tcPr>
          <w:p w14:paraId="53FC89B6" w14:textId="77777777" w:rsidR="007A1CF6" w:rsidRPr="006E16F2" w:rsidRDefault="007A1CF6" w:rsidP="00F0472E"/>
        </w:tc>
      </w:tr>
      <w:tr w:rsidR="007A1CF6" w:rsidRPr="006E16F2" w14:paraId="15F9A014" w14:textId="77777777" w:rsidTr="00F6093F">
        <w:tc>
          <w:tcPr>
            <w:tcW w:w="534" w:type="dxa"/>
          </w:tcPr>
          <w:p w14:paraId="08CDE588" w14:textId="1903DF31" w:rsidR="007A1CF6" w:rsidRPr="006E16F2" w:rsidRDefault="00A87A95" w:rsidP="00F0472E">
            <w:r w:rsidRPr="006E16F2">
              <w:t>5</w:t>
            </w:r>
          </w:p>
        </w:tc>
        <w:tc>
          <w:tcPr>
            <w:tcW w:w="4899" w:type="dxa"/>
          </w:tcPr>
          <w:p w14:paraId="5DEB3CAA" w14:textId="51C83692" w:rsidR="007A1CF6" w:rsidRPr="006E16F2" w:rsidRDefault="007A1CF6" w:rsidP="00A87A95">
            <w:r w:rsidRPr="006E16F2">
              <w:t xml:space="preserve">Determine the </w:t>
            </w:r>
            <w:hyperlink w:anchor="LawfulBasis" w:history="1">
              <w:r w:rsidRPr="006E16F2">
                <w:rPr>
                  <w:rStyle w:val="Hyperlink"/>
                </w:rPr>
                <w:t>lawful basis</w:t>
              </w:r>
            </w:hyperlink>
            <w:r w:rsidRPr="006E16F2">
              <w:t xml:space="preserve"> on which you are collecting/processing </w:t>
            </w:r>
            <w:r w:rsidR="00C74A1F" w:rsidRPr="006E16F2">
              <w:rPr>
                <w:b/>
              </w:rPr>
              <w:t>all</w:t>
            </w:r>
            <w:r w:rsidR="00C74A1F" w:rsidRPr="006E16F2">
              <w:t xml:space="preserve"> </w:t>
            </w:r>
            <w:r w:rsidRPr="006E16F2">
              <w:t>personal data</w:t>
            </w:r>
          </w:p>
        </w:tc>
        <w:tc>
          <w:tcPr>
            <w:tcW w:w="617" w:type="dxa"/>
          </w:tcPr>
          <w:p w14:paraId="248330AF" w14:textId="77777777" w:rsidR="007A1CF6" w:rsidRPr="006E16F2" w:rsidRDefault="007A1CF6" w:rsidP="00F0472E"/>
        </w:tc>
        <w:tc>
          <w:tcPr>
            <w:tcW w:w="3697" w:type="dxa"/>
          </w:tcPr>
          <w:p w14:paraId="57EF64C4" w14:textId="77777777" w:rsidR="007A1CF6" w:rsidRPr="006E16F2" w:rsidRDefault="007A1CF6" w:rsidP="00F0472E"/>
        </w:tc>
      </w:tr>
      <w:tr w:rsidR="007A1CF6" w:rsidRPr="006E16F2" w14:paraId="76E7FE6C" w14:textId="77777777" w:rsidTr="00F6093F">
        <w:tc>
          <w:tcPr>
            <w:tcW w:w="534" w:type="dxa"/>
          </w:tcPr>
          <w:p w14:paraId="247ECFD2" w14:textId="79F20BD4" w:rsidR="007A1CF6" w:rsidRPr="006E16F2" w:rsidRDefault="00A87A95" w:rsidP="00F0472E">
            <w:r w:rsidRPr="006E16F2">
              <w:t>6</w:t>
            </w:r>
          </w:p>
        </w:tc>
        <w:tc>
          <w:tcPr>
            <w:tcW w:w="4899" w:type="dxa"/>
          </w:tcPr>
          <w:p w14:paraId="2FF779BE" w14:textId="7C7CA2FB" w:rsidR="007A1CF6" w:rsidRPr="006E16F2" w:rsidRDefault="000029E8" w:rsidP="00A87A95">
            <w:r w:rsidRPr="006E16F2">
              <w:t xml:space="preserve">If you are </w:t>
            </w:r>
            <w:hyperlink w:anchor="PublicTask" w:history="1">
              <w:r w:rsidRPr="006E16F2">
                <w:rPr>
                  <w:rStyle w:val="Hyperlink"/>
                </w:rPr>
                <w:t>processing data for the performance of a public task</w:t>
              </w:r>
            </w:hyperlink>
            <w:r w:rsidRPr="006E16F2">
              <w:t>, determine and record what the basis for that public task is</w:t>
            </w:r>
          </w:p>
        </w:tc>
        <w:tc>
          <w:tcPr>
            <w:tcW w:w="617" w:type="dxa"/>
          </w:tcPr>
          <w:p w14:paraId="44062851" w14:textId="77777777" w:rsidR="007A1CF6" w:rsidRPr="006E16F2" w:rsidRDefault="007A1CF6" w:rsidP="00F0472E"/>
        </w:tc>
        <w:tc>
          <w:tcPr>
            <w:tcW w:w="3697" w:type="dxa"/>
          </w:tcPr>
          <w:p w14:paraId="3B459167" w14:textId="77777777" w:rsidR="007A1CF6" w:rsidRPr="006E16F2" w:rsidRDefault="007A1CF6" w:rsidP="00F0472E"/>
        </w:tc>
      </w:tr>
      <w:tr w:rsidR="00C74A1F" w:rsidRPr="006E16F2" w14:paraId="317811E6" w14:textId="77777777" w:rsidTr="00F6093F">
        <w:tc>
          <w:tcPr>
            <w:tcW w:w="534" w:type="dxa"/>
          </w:tcPr>
          <w:p w14:paraId="5EDA7C27" w14:textId="7A557EAB" w:rsidR="00C74A1F" w:rsidRPr="006E16F2" w:rsidRDefault="00A87A95" w:rsidP="00F0472E">
            <w:r w:rsidRPr="006E16F2">
              <w:t>7</w:t>
            </w:r>
          </w:p>
        </w:tc>
        <w:tc>
          <w:tcPr>
            <w:tcW w:w="4899" w:type="dxa"/>
          </w:tcPr>
          <w:p w14:paraId="7ED9CFD6" w14:textId="42D4CFDB" w:rsidR="00C74A1F" w:rsidRPr="006E16F2" w:rsidRDefault="00C74A1F" w:rsidP="00F0472E">
            <w:r w:rsidRPr="006E16F2">
              <w:t xml:space="preserve">Maintain records </w:t>
            </w:r>
            <w:r w:rsidR="007254E0" w:rsidRPr="006E16F2">
              <w:t>where an elector objects to use of their contact information (see ‘</w:t>
            </w:r>
            <w:hyperlink w:anchor="Object" w:history="1">
              <w:r w:rsidR="007254E0" w:rsidRPr="006E16F2">
                <w:rPr>
                  <w:rStyle w:val="Hyperlink"/>
                </w:rPr>
                <w:t>Right to object</w:t>
              </w:r>
            </w:hyperlink>
            <w:r w:rsidR="007254E0" w:rsidRPr="006E16F2">
              <w:t>’)</w:t>
            </w:r>
          </w:p>
        </w:tc>
        <w:tc>
          <w:tcPr>
            <w:tcW w:w="617" w:type="dxa"/>
          </w:tcPr>
          <w:p w14:paraId="0507459F" w14:textId="77777777" w:rsidR="00C74A1F" w:rsidRPr="006E16F2" w:rsidRDefault="00C74A1F" w:rsidP="00F0472E"/>
        </w:tc>
        <w:tc>
          <w:tcPr>
            <w:tcW w:w="3697" w:type="dxa"/>
          </w:tcPr>
          <w:p w14:paraId="0306A86D" w14:textId="77777777" w:rsidR="00C74A1F" w:rsidRPr="006E16F2" w:rsidRDefault="00C74A1F" w:rsidP="00F0472E"/>
        </w:tc>
      </w:tr>
      <w:tr w:rsidR="007254E0" w:rsidRPr="006E16F2" w14:paraId="788A3B02" w14:textId="77777777" w:rsidTr="00F6093F">
        <w:tc>
          <w:tcPr>
            <w:tcW w:w="534" w:type="dxa"/>
          </w:tcPr>
          <w:p w14:paraId="566FE0FA" w14:textId="3CE96307" w:rsidR="007254E0" w:rsidRPr="006E16F2" w:rsidRDefault="00A87A95" w:rsidP="00F0472E">
            <w:r w:rsidRPr="006E16F2">
              <w:t>8</w:t>
            </w:r>
          </w:p>
        </w:tc>
        <w:tc>
          <w:tcPr>
            <w:tcW w:w="4899" w:type="dxa"/>
          </w:tcPr>
          <w:p w14:paraId="1D16C3EB" w14:textId="4DC1D1D5" w:rsidR="007254E0" w:rsidRPr="006E16F2" w:rsidRDefault="007254E0" w:rsidP="00F0472E">
            <w:r w:rsidRPr="006E16F2">
              <w:t>Include an ‘unsubscribe’ option on all email communications (see ‘</w:t>
            </w:r>
            <w:hyperlink w:anchor="Object" w:history="1">
              <w:r w:rsidRPr="006E16F2">
                <w:rPr>
                  <w:rStyle w:val="Hyperlink"/>
                </w:rPr>
                <w:t>Right to object</w:t>
              </w:r>
            </w:hyperlink>
            <w:r w:rsidRPr="006E16F2">
              <w:t>’)</w:t>
            </w:r>
          </w:p>
        </w:tc>
        <w:tc>
          <w:tcPr>
            <w:tcW w:w="617" w:type="dxa"/>
          </w:tcPr>
          <w:p w14:paraId="0D66D3D5" w14:textId="77777777" w:rsidR="007254E0" w:rsidRPr="006E16F2" w:rsidRDefault="007254E0" w:rsidP="00F0472E"/>
        </w:tc>
        <w:tc>
          <w:tcPr>
            <w:tcW w:w="3697" w:type="dxa"/>
          </w:tcPr>
          <w:p w14:paraId="3CD95477" w14:textId="77777777" w:rsidR="007254E0" w:rsidRPr="006E16F2" w:rsidRDefault="007254E0" w:rsidP="00F0472E"/>
        </w:tc>
      </w:tr>
      <w:tr w:rsidR="007254E0" w:rsidRPr="006E16F2" w14:paraId="6FCA99B7" w14:textId="77777777" w:rsidTr="00F6093F">
        <w:tc>
          <w:tcPr>
            <w:tcW w:w="534" w:type="dxa"/>
          </w:tcPr>
          <w:p w14:paraId="50CFCF7E" w14:textId="6088D596" w:rsidR="007254E0" w:rsidRPr="006E16F2" w:rsidRDefault="00A87A95" w:rsidP="00F0472E">
            <w:r w:rsidRPr="006E16F2">
              <w:t>9</w:t>
            </w:r>
          </w:p>
        </w:tc>
        <w:tc>
          <w:tcPr>
            <w:tcW w:w="4899" w:type="dxa"/>
          </w:tcPr>
          <w:p w14:paraId="4F57F368" w14:textId="7763B349" w:rsidR="007254E0" w:rsidRPr="006E16F2" w:rsidRDefault="007254E0" w:rsidP="00F0472E">
            <w:r w:rsidRPr="006E16F2">
              <w:t>Consider removing election notices from your website after the petition deadline (see ‘</w:t>
            </w:r>
            <w:hyperlink w:anchor="Forgotten" w:history="1">
              <w:r w:rsidRPr="006E16F2">
                <w:rPr>
                  <w:rStyle w:val="Hyperlink"/>
                </w:rPr>
                <w:t>Right to be forgotten</w:t>
              </w:r>
            </w:hyperlink>
            <w:r w:rsidRPr="006E16F2">
              <w:t>’ and ‘</w:t>
            </w:r>
            <w:hyperlink w:anchor="RetentionChapter" w:history="1">
              <w:r w:rsidRPr="006E16F2">
                <w:rPr>
                  <w:rStyle w:val="Hyperlink"/>
                </w:rPr>
                <w:t>Document retention</w:t>
              </w:r>
            </w:hyperlink>
            <w:r w:rsidRPr="006E16F2">
              <w:t>’)</w:t>
            </w:r>
          </w:p>
        </w:tc>
        <w:tc>
          <w:tcPr>
            <w:tcW w:w="617" w:type="dxa"/>
          </w:tcPr>
          <w:p w14:paraId="7C21C66D" w14:textId="77777777" w:rsidR="007254E0" w:rsidRPr="006E16F2" w:rsidRDefault="007254E0" w:rsidP="00F0472E"/>
        </w:tc>
        <w:tc>
          <w:tcPr>
            <w:tcW w:w="3697" w:type="dxa"/>
          </w:tcPr>
          <w:p w14:paraId="36C64826" w14:textId="77777777" w:rsidR="007254E0" w:rsidRPr="006E16F2" w:rsidRDefault="007254E0" w:rsidP="00F0472E"/>
        </w:tc>
      </w:tr>
      <w:tr w:rsidR="007254E0" w:rsidRPr="006E16F2" w14:paraId="2B25516D" w14:textId="77777777" w:rsidTr="00F6093F">
        <w:tc>
          <w:tcPr>
            <w:tcW w:w="534" w:type="dxa"/>
          </w:tcPr>
          <w:p w14:paraId="5F511D8C" w14:textId="7C76D7B8" w:rsidR="007254E0" w:rsidRPr="006E16F2" w:rsidRDefault="00A87A95" w:rsidP="00F0472E">
            <w:r w:rsidRPr="006E16F2">
              <w:t>10</w:t>
            </w:r>
          </w:p>
        </w:tc>
        <w:tc>
          <w:tcPr>
            <w:tcW w:w="4899" w:type="dxa"/>
          </w:tcPr>
          <w:p w14:paraId="45E76125" w14:textId="493853DA" w:rsidR="007254E0" w:rsidRPr="006E16F2" w:rsidRDefault="007254E0" w:rsidP="00D27638">
            <w:r w:rsidRPr="006E16F2">
              <w:t>Ensure you are using the updated</w:t>
            </w:r>
            <w:r w:rsidR="00D018BB">
              <w:t xml:space="preserve"> canvass communications</w:t>
            </w:r>
            <w:r w:rsidR="00B00403" w:rsidRPr="006E16F2">
              <w:t>, voter</w:t>
            </w:r>
            <w:r w:rsidRPr="006E16F2">
              <w:t xml:space="preserve"> registr</w:t>
            </w:r>
            <w:r w:rsidR="00B00403" w:rsidRPr="006E16F2">
              <w:t>ation forms, associated letters and</w:t>
            </w:r>
            <w:r w:rsidRPr="006E16F2">
              <w:t xml:space="preserve"> email ITR</w:t>
            </w:r>
            <w:r w:rsidR="00B00403" w:rsidRPr="006E16F2">
              <w:t xml:space="preserve"> </w:t>
            </w:r>
            <w:r w:rsidRPr="006E16F2">
              <w:t xml:space="preserve">available on our </w:t>
            </w:r>
            <w:hyperlink r:id="rId47" w:history="1">
              <w:r w:rsidRPr="006E16F2">
                <w:rPr>
                  <w:rStyle w:val="Hyperlink"/>
                </w:rPr>
                <w:t>website</w:t>
              </w:r>
            </w:hyperlink>
          </w:p>
        </w:tc>
        <w:tc>
          <w:tcPr>
            <w:tcW w:w="617" w:type="dxa"/>
          </w:tcPr>
          <w:p w14:paraId="5886A7C0" w14:textId="77777777" w:rsidR="007254E0" w:rsidRPr="006E16F2" w:rsidRDefault="007254E0" w:rsidP="00F0472E"/>
        </w:tc>
        <w:tc>
          <w:tcPr>
            <w:tcW w:w="3697" w:type="dxa"/>
          </w:tcPr>
          <w:p w14:paraId="40DE4C63" w14:textId="1A0F02F4" w:rsidR="007254E0" w:rsidRPr="006E16F2" w:rsidRDefault="007254E0" w:rsidP="00F0472E"/>
        </w:tc>
      </w:tr>
      <w:tr w:rsidR="007254E0" w:rsidRPr="006E16F2" w14:paraId="56613380" w14:textId="77777777" w:rsidTr="00F6093F">
        <w:tc>
          <w:tcPr>
            <w:tcW w:w="534" w:type="dxa"/>
          </w:tcPr>
          <w:p w14:paraId="1AFADD06" w14:textId="763EB430" w:rsidR="007254E0" w:rsidRPr="006E16F2" w:rsidRDefault="00A87A95" w:rsidP="00F0472E">
            <w:r w:rsidRPr="006E16F2">
              <w:t>11</w:t>
            </w:r>
          </w:p>
        </w:tc>
        <w:tc>
          <w:tcPr>
            <w:tcW w:w="4899" w:type="dxa"/>
          </w:tcPr>
          <w:p w14:paraId="24FDFE3B" w14:textId="0DD21D77" w:rsidR="007254E0" w:rsidRPr="006E16F2" w:rsidRDefault="007254E0" w:rsidP="007254E0">
            <w:r w:rsidRPr="006E16F2">
              <w:t xml:space="preserve">Review your own forms and letters to </w:t>
            </w:r>
            <w:r w:rsidR="00F72F77" w:rsidRPr="006E16F2">
              <w:t>check</w:t>
            </w:r>
            <w:r w:rsidRPr="006E16F2">
              <w:t xml:space="preserve"> they contain appropriate data protection messaging (see ‘</w:t>
            </w:r>
            <w:hyperlink w:anchor="PrivacyNotice" w:history="1">
              <w:r w:rsidRPr="006E16F2">
                <w:rPr>
                  <w:rStyle w:val="Hyperlink"/>
                </w:rPr>
                <w:t>Privacy notices</w:t>
              </w:r>
            </w:hyperlink>
            <w:r w:rsidRPr="006E16F2">
              <w:t>’)</w:t>
            </w:r>
          </w:p>
        </w:tc>
        <w:tc>
          <w:tcPr>
            <w:tcW w:w="617" w:type="dxa"/>
          </w:tcPr>
          <w:p w14:paraId="3F0EE91D" w14:textId="77777777" w:rsidR="007254E0" w:rsidRPr="006E16F2" w:rsidRDefault="007254E0" w:rsidP="00F0472E"/>
        </w:tc>
        <w:tc>
          <w:tcPr>
            <w:tcW w:w="3697" w:type="dxa"/>
          </w:tcPr>
          <w:p w14:paraId="3A11C28B" w14:textId="77777777" w:rsidR="007254E0" w:rsidRPr="006E16F2" w:rsidRDefault="007254E0" w:rsidP="00F0472E"/>
        </w:tc>
      </w:tr>
      <w:tr w:rsidR="007254E0" w:rsidRPr="006E16F2" w14:paraId="12E665AF" w14:textId="77777777" w:rsidTr="00F6093F">
        <w:tc>
          <w:tcPr>
            <w:tcW w:w="534" w:type="dxa"/>
          </w:tcPr>
          <w:p w14:paraId="6A0189A4" w14:textId="5E938980" w:rsidR="007254E0" w:rsidRPr="006E16F2" w:rsidRDefault="00A87A95" w:rsidP="00F0472E">
            <w:r w:rsidRPr="006E16F2">
              <w:t>12</w:t>
            </w:r>
          </w:p>
        </w:tc>
        <w:tc>
          <w:tcPr>
            <w:tcW w:w="4899" w:type="dxa"/>
          </w:tcPr>
          <w:p w14:paraId="580A581B" w14:textId="085B8ED3" w:rsidR="007254E0" w:rsidRPr="006E16F2" w:rsidRDefault="007254E0" w:rsidP="00F0472E">
            <w:r w:rsidRPr="006E16F2">
              <w:t>Ensure you are not using personal data for unrelated purposes (see ‘</w:t>
            </w:r>
            <w:hyperlink w:anchor="PrivacyNotice" w:history="1">
              <w:r w:rsidRPr="006E16F2">
                <w:rPr>
                  <w:rStyle w:val="Hyperlink"/>
                </w:rPr>
                <w:t>Privacy notices</w:t>
              </w:r>
            </w:hyperlink>
            <w:r w:rsidRPr="006E16F2">
              <w:t>’)</w:t>
            </w:r>
          </w:p>
        </w:tc>
        <w:tc>
          <w:tcPr>
            <w:tcW w:w="617" w:type="dxa"/>
          </w:tcPr>
          <w:p w14:paraId="1FE2E37F" w14:textId="77777777" w:rsidR="007254E0" w:rsidRPr="006E16F2" w:rsidRDefault="007254E0" w:rsidP="00F0472E"/>
        </w:tc>
        <w:tc>
          <w:tcPr>
            <w:tcW w:w="3697" w:type="dxa"/>
          </w:tcPr>
          <w:p w14:paraId="5E3E30E3" w14:textId="21F4ECFA" w:rsidR="007254E0" w:rsidRPr="006E16F2" w:rsidRDefault="007254E0" w:rsidP="00F0472E"/>
        </w:tc>
      </w:tr>
      <w:tr w:rsidR="007254E0" w:rsidRPr="006E16F2" w14:paraId="41B94606" w14:textId="77777777" w:rsidTr="00F6093F">
        <w:tc>
          <w:tcPr>
            <w:tcW w:w="534" w:type="dxa"/>
          </w:tcPr>
          <w:p w14:paraId="2BD7AFA9" w14:textId="5D0EDB46" w:rsidR="007254E0" w:rsidRPr="006E16F2" w:rsidRDefault="00A87A95" w:rsidP="00F0472E">
            <w:r w:rsidRPr="006E16F2">
              <w:t>13</w:t>
            </w:r>
          </w:p>
        </w:tc>
        <w:tc>
          <w:tcPr>
            <w:tcW w:w="4899" w:type="dxa"/>
          </w:tcPr>
          <w:p w14:paraId="0C7AAC02" w14:textId="0643B414" w:rsidR="007254E0" w:rsidRPr="006E16F2" w:rsidRDefault="007254E0" w:rsidP="00E60484">
            <w:r w:rsidRPr="006E16F2">
              <w:t xml:space="preserve">Review your existing </w:t>
            </w:r>
            <w:hyperlink w:anchor="PrivacyNotice" w:history="1">
              <w:r w:rsidRPr="006E16F2">
                <w:rPr>
                  <w:rStyle w:val="Hyperlink"/>
                </w:rPr>
                <w:t>privacy notices</w:t>
              </w:r>
            </w:hyperlink>
            <w:r w:rsidRPr="006E16F2">
              <w:t xml:space="preserve"> to </w:t>
            </w:r>
            <w:r w:rsidR="00A87A95" w:rsidRPr="006E16F2">
              <w:t>ensure they remain compliant</w:t>
            </w:r>
            <w:r w:rsidR="00744B7C" w:rsidRPr="006E16F2">
              <w:t xml:space="preserve"> and detail the </w:t>
            </w:r>
            <w:r w:rsidR="00E60484" w:rsidRPr="006E16F2">
              <w:t>lawful</w:t>
            </w:r>
            <w:r w:rsidR="00744B7C" w:rsidRPr="006E16F2">
              <w:t xml:space="preserve"> basis you are relying on for processing</w:t>
            </w:r>
          </w:p>
        </w:tc>
        <w:tc>
          <w:tcPr>
            <w:tcW w:w="617" w:type="dxa"/>
          </w:tcPr>
          <w:p w14:paraId="59257263" w14:textId="77777777" w:rsidR="007254E0" w:rsidRPr="006E16F2" w:rsidRDefault="007254E0" w:rsidP="00F0472E"/>
        </w:tc>
        <w:tc>
          <w:tcPr>
            <w:tcW w:w="3697" w:type="dxa"/>
          </w:tcPr>
          <w:p w14:paraId="0CA21982" w14:textId="71B5163E" w:rsidR="007254E0" w:rsidRPr="006E16F2" w:rsidRDefault="007254E0" w:rsidP="00F0472E"/>
        </w:tc>
      </w:tr>
      <w:tr w:rsidR="007254E0" w:rsidRPr="006E16F2" w14:paraId="4051ECBF" w14:textId="77777777" w:rsidTr="00F6093F">
        <w:tc>
          <w:tcPr>
            <w:tcW w:w="534" w:type="dxa"/>
          </w:tcPr>
          <w:p w14:paraId="7BC03E0D" w14:textId="00C4C22C" w:rsidR="007254E0" w:rsidRPr="006E16F2" w:rsidRDefault="00A87A95" w:rsidP="00F0472E">
            <w:r w:rsidRPr="006E16F2">
              <w:t>14</w:t>
            </w:r>
          </w:p>
        </w:tc>
        <w:tc>
          <w:tcPr>
            <w:tcW w:w="4899" w:type="dxa"/>
          </w:tcPr>
          <w:p w14:paraId="19196BD1" w14:textId="011ED1FE" w:rsidR="007254E0" w:rsidRPr="006E16F2" w:rsidRDefault="007254E0" w:rsidP="00A87A95">
            <w:r w:rsidRPr="006E16F2">
              <w:t xml:space="preserve">Ensure your </w:t>
            </w:r>
            <w:hyperlink w:anchor="PrivacyNotice" w:history="1">
              <w:r w:rsidRPr="006E16F2">
                <w:rPr>
                  <w:rStyle w:val="Hyperlink"/>
                </w:rPr>
                <w:t>privacy notice</w:t>
              </w:r>
            </w:hyperlink>
            <w:r w:rsidRPr="006E16F2">
              <w:t xml:space="preserve"> is available and referenced when communi</w:t>
            </w:r>
            <w:r w:rsidR="00A87A95" w:rsidRPr="006E16F2">
              <w:t>cating with electors and others</w:t>
            </w:r>
          </w:p>
        </w:tc>
        <w:tc>
          <w:tcPr>
            <w:tcW w:w="617" w:type="dxa"/>
          </w:tcPr>
          <w:p w14:paraId="7F49E466" w14:textId="77777777" w:rsidR="007254E0" w:rsidRPr="006E16F2" w:rsidRDefault="007254E0" w:rsidP="00F0472E"/>
        </w:tc>
        <w:tc>
          <w:tcPr>
            <w:tcW w:w="3697" w:type="dxa"/>
          </w:tcPr>
          <w:p w14:paraId="50CC1517" w14:textId="29319CD4" w:rsidR="007254E0" w:rsidRPr="006E16F2" w:rsidRDefault="007254E0" w:rsidP="00F0472E"/>
        </w:tc>
      </w:tr>
      <w:tr w:rsidR="007254E0" w:rsidRPr="006E16F2" w14:paraId="2ADFF44F" w14:textId="77777777" w:rsidTr="00F6093F">
        <w:tc>
          <w:tcPr>
            <w:tcW w:w="534" w:type="dxa"/>
          </w:tcPr>
          <w:p w14:paraId="35095134" w14:textId="1759C131" w:rsidR="007254E0" w:rsidRPr="006E16F2" w:rsidRDefault="00A87A95" w:rsidP="00F0472E">
            <w:r w:rsidRPr="006E16F2">
              <w:t>15</w:t>
            </w:r>
          </w:p>
        </w:tc>
        <w:tc>
          <w:tcPr>
            <w:tcW w:w="4899" w:type="dxa"/>
          </w:tcPr>
          <w:p w14:paraId="417D02F8" w14:textId="65165DE2" w:rsidR="007254E0" w:rsidRPr="006E16F2" w:rsidRDefault="007254E0" w:rsidP="00F0472E">
            <w:r w:rsidRPr="006E16F2">
              <w:t>For every document you possess, ask yourself “for what reason am I keeping this document?” (see ‘</w:t>
            </w:r>
            <w:hyperlink w:anchor="RetentionChapter" w:history="1">
              <w:r w:rsidRPr="006E16F2">
                <w:rPr>
                  <w:rStyle w:val="Hyperlink"/>
                </w:rPr>
                <w:t>Document retention</w:t>
              </w:r>
            </w:hyperlink>
            <w:r w:rsidRPr="006E16F2">
              <w:t>’)</w:t>
            </w:r>
          </w:p>
        </w:tc>
        <w:tc>
          <w:tcPr>
            <w:tcW w:w="617" w:type="dxa"/>
          </w:tcPr>
          <w:p w14:paraId="73E7BE14" w14:textId="77777777" w:rsidR="007254E0" w:rsidRPr="006E16F2" w:rsidRDefault="007254E0" w:rsidP="00F0472E"/>
        </w:tc>
        <w:tc>
          <w:tcPr>
            <w:tcW w:w="3697" w:type="dxa"/>
          </w:tcPr>
          <w:p w14:paraId="1C740B3D" w14:textId="590F9EB2" w:rsidR="007254E0" w:rsidRPr="006E16F2" w:rsidRDefault="007254E0" w:rsidP="00F0472E"/>
        </w:tc>
      </w:tr>
      <w:tr w:rsidR="007254E0" w:rsidRPr="006E16F2" w14:paraId="227546C0" w14:textId="77777777" w:rsidTr="00F6093F">
        <w:tc>
          <w:tcPr>
            <w:tcW w:w="534" w:type="dxa"/>
          </w:tcPr>
          <w:p w14:paraId="6CAC49AC" w14:textId="695538E9" w:rsidR="007254E0" w:rsidRPr="006E16F2" w:rsidRDefault="00A87A95" w:rsidP="00F0472E">
            <w:r w:rsidRPr="006E16F2">
              <w:t>16</w:t>
            </w:r>
          </w:p>
        </w:tc>
        <w:tc>
          <w:tcPr>
            <w:tcW w:w="4899" w:type="dxa"/>
          </w:tcPr>
          <w:p w14:paraId="2893368F" w14:textId="1224107B" w:rsidR="007254E0" w:rsidRPr="006E16F2" w:rsidRDefault="007254E0" w:rsidP="00A87A95">
            <w:r w:rsidRPr="006E16F2">
              <w:t xml:space="preserve">Ensure your </w:t>
            </w:r>
            <w:hyperlink w:anchor="RetentionPolicy" w:history="1">
              <w:r w:rsidRPr="006E16F2">
                <w:rPr>
                  <w:rStyle w:val="Hyperlink"/>
                </w:rPr>
                <w:t>document retention policy</w:t>
              </w:r>
            </w:hyperlink>
            <w:r w:rsidRPr="006E16F2">
              <w:t xml:space="preserve"> is up-to</w:t>
            </w:r>
            <w:r w:rsidR="00A87A95" w:rsidRPr="006E16F2">
              <w:t>-date, complete, and adhered to</w:t>
            </w:r>
          </w:p>
        </w:tc>
        <w:tc>
          <w:tcPr>
            <w:tcW w:w="617" w:type="dxa"/>
          </w:tcPr>
          <w:p w14:paraId="32A0D528" w14:textId="77777777" w:rsidR="007254E0" w:rsidRPr="006E16F2" w:rsidRDefault="007254E0" w:rsidP="00F0472E"/>
        </w:tc>
        <w:tc>
          <w:tcPr>
            <w:tcW w:w="3697" w:type="dxa"/>
          </w:tcPr>
          <w:p w14:paraId="5F1E24C3" w14:textId="741D5CDF" w:rsidR="007254E0" w:rsidRPr="006E16F2" w:rsidRDefault="007254E0" w:rsidP="00F0472E"/>
        </w:tc>
      </w:tr>
      <w:tr w:rsidR="007254E0" w:rsidRPr="006E16F2" w14:paraId="4F74738C" w14:textId="77777777" w:rsidTr="00F6093F">
        <w:tc>
          <w:tcPr>
            <w:tcW w:w="534" w:type="dxa"/>
          </w:tcPr>
          <w:p w14:paraId="0827FB89" w14:textId="05752C43" w:rsidR="007254E0" w:rsidRPr="006E16F2" w:rsidRDefault="00A87A95" w:rsidP="00F0472E">
            <w:r w:rsidRPr="006E16F2">
              <w:t>17</w:t>
            </w:r>
          </w:p>
        </w:tc>
        <w:tc>
          <w:tcPr>
            <w:tcW w:w="4899" w:type="dxa"/>
          </w:tcPr>
          <w:p w14:paraId="00E96AB3" w14:textId="280C8F1B" w:rsidR="007254E0" w:rsidRPr="006E16F2" w:rsidRDefault="007254E0" w:rsidP="00A87A95">
            <w:r w:rsidRPr="006E16F2">
              <w:t xml:space="preserve">Review your arrangements for </w:t>
            </w:r>
            <w:hyperlink w:anchor="Storage" w:history="1">
              <w:r w:rsidRPr="006E16F2">
                <w:rPr>
                  <w:rStyle w:val="Hyperlink"/>
                </w:rPr>
                <w:t>storing</w:t>
              </w:r>
            </w:hyperlink>
            <w:r w:rsidRPr="006E16F2">
              <w:t xml:space="preserve"> personal data taking account of any corporate standards</w:t>
            </w:r>
          </w:p>
        </w:tc>
        <w:tc>
          <w:tcPr>
            <w:tcW w:w="617" w:type="dxa"/>
          </w:tcPr>
          <w:p w14:paraId="15AF03C9" w14:textId="77777777" w:rsidR="007254E0" w:rsidRPr="006E16F2" w:rsidRDefault="007254E0" w:rsidP="00F0472E"/>
        </w:tc>
        <w:tc>
          <w:tcPr>
            <w:tcW w:w="3697" w:type="dxa"/>
          </w:tcPr>
          <w:p w14:paraId="7630F6AE" w14:textId="0E1F6A60" w:rsidR="007254E0" w:rsidRPr="006E16F2" w:rsidRDefault="007254E0" w:rsidP="00F0472E"/>
        </w:tc>
      </w:tr>
      <w:tr w:rsidR="007254E0" w:rsidRPr="006E16F2" w14:paraId="0231AAA9" w14:textId="77777777" w:rsidTr="00F6093F">
        <w:tc>
          <w:tcPr>
            <w:tcW w:w="534" w:type="dxa"/>
          </w:tcPr>
          <w:p w14:paraId="4181AD88" w14:textId="7B2FA788" w:rsidR="007254E0" w:rsidRPr="006E16F2" w:rsidRDefault="00A87A95" w:rsidP="00F0472E">
            <w:r w:rsidRPr="006E16F2">
              <w:t>18</w:t>
            </w:r>
          </w:p>
        </w:tc>
        <w:tc>
          <w:tcPr>
            <w:tcW w:w="4899" w:type="dxa"/>
          </w:tcPr>
          <w:p w14:paraId="26EB14EC" w14:textId="2651DB1C" w:rsidR="007254E0" w:rsidRPr="006E16F2" w:rsidRDefault="007254E0" w:rsidP="00F0472E">
            <w:r w:rsidRPr="006E16F2">
              <w:t>Ensure you have processes in place to retrieve and securely destroy data at the appropriate time (see ‘</w:t>
            </w:r>
            <w:hyperlink w:anchor="RetentionChapter" w:history="1">
              <w:r w:rsidRPr="006E16F2">
                <w:rPr>
                  <w:rStyle w:val="Hyperlink"/>
                </w:rPr>
                <w:t>Document retention</w:t>
              </w:r>
            </w:hyperlink>
            <w:r w:rsidRPr="006E16F2">
              <w:t>’)</w:t>
            </w:r>
          </w:p>
        </w:tc>
        <w:tc>
          <w:tcPr>
            <w:tcW w:w="617" w:type="dxa"/>
          </w:tcPr>
          <w:p w14:paraId="238E6566" w14:textId="77777777" w:rsidR="007254E0" w:rsidRPr="006E16F2" w:rsidRDefault="007254E0" w:rsidP="00F0472E"/>
        </w:tc>
        <w:tc>
          <w:tcPr>
            <w:tcW w:w="3697" w:type="dxa"/>
          </w:tcPr>
          <w:p w14:paraId="28D4AE5B" w14:textId="3014FCC7" w:rsidR="007254E0" w:rsidRPr="006E16F2" w:rsidRDefault="007254E0" w:rsidP="00F0472E"/>
        </w:tc>
      </w:tr>
      <w:tr w:rsidR="0015514C" w:rsidRPr="006E16F2" w14:paraId="0593B8AA" w14:textId="77777777" w:rsidTr="00F6093F">
        <w:tc>
          <w:tcPr>
            <w:tcW w:w="534" w:type="dxa"/>
          </w:tcPr>
          <w:p w14:paraId="466CC174" w14:textId="6E3AF827" w:rsidR="0015514C" w:rsidRPr="006E16F2" w:rsidRDefault="00A87A95" w:rsidP="00F0472E">
            <w:r w:rsidRPr="006E16F2">
              <w:t>19</w:t>
            </w:r>
          </w:p>
        </w:tc>
        <w:tc>
          <w:tcPr>
            <w:tcW w:w="4899" w:type="dxa"/>
          </w:tcPr>
          <w:p w14:paraId="5546517D" w14:textId="6BCF8BEE" w:rsidR="0015514C" w:rsidRPr="006E16F2" w:rsidRDefault="0015514C" w:rsidP="00F0472E">
            <w:r w:rsidRPr="006E16F2">
              <w:t>Ensure data protection is integral in any tender exercise (see ‘</w:t>
            </w:r>
            <w:hyperlink w:anchor="Contracters" w:history="1">
              <w:r w:rsidRPr="006E16F2">
                <w:rPr>
                  <w:rStyle w:val="Hyperlink"/>
                </w:rPr>
                <w:t>Using contractors/suppliers</w:t>
              </w:r>
            </w:hyperlink>
            <w:r w:rsidRPr="006E16F2">
              <w:t>’)</w:t>
            </w:r>
          </w:p>
        </w:tc>
        <w:tc>
          <w:tcPr>
            <w:tcW w:w="617" w:type="dxa"/>
          </w:tcPr>
          <w:p w14:paraId="05B10ACB" w14:textId="77777777" w:rsidR="0015514C" w:rsidRPr="006E16F2" w:rsidRDefault="0015514C" w:rsidP="00F0472E"/>
        </w:tc>
        <w:tc>
          <w:tcPr>
            <w:tcW w:w="3697" w:type="dxa"/>
          </w:tcPr>
          <w:p w14:paraId="73F7D42D" w14:textId="4D354F2B" w:rsidR="0015514C" w:rsidRPr="006E16F2" w:rsidRDefault="0015514C" w:rsidP="00F0472E"/>
        </w:tc>
      </w:tr>
      <w:tr w:rsidR="0015514C" w:rsidRPr="006E16F2" w14:paraId="44C2F542" w14:textId="77777777" w:rsidTr="00F6093F">
        <w:tc>
          <w:tcPr>
            <w:tcW w:w="534" w:type="dxa"/>
          </w:tcPr>
          <w:p w14:paraId="0F1FFE0B" w14:textId="674ED1A6" w:rsidR="0015514C" w:rsidRPr="006E16F2" w:rsidRDefault="00A87A95" w:rsidP="00F0472E">
            <w:r w:rsidRPr="006E16F2">
              <w:t>20</w:t>
            </w:r>
          </w:p>
        </w:tc>
        <w:tc>
          <w:tcPr>
            <w:tcW w:w="4899" w:type="dxa"/>
          </w:tcPr>
          <w:p w14:paraId="5961ACE2" w14:textId="544A5A57" w:rsidR="0015514C" w:rsidRPr="006E16F2" w:rsidRDefault="0015514C" w:rsidP="00A87A95">
            <w:r w:rsidRPr="006E16F2">
              <w:t xml:space="preserve">Ensure existing </w:t>
            </w:r>
            <w:hyperlink w:anchor="Contracters" w:history="1">
              <w:r w:rsidRPr="006E16F2">
                <w:rPr>
                  <w:rStyle w:val="Hyperlink"/>
                </w:rPr>
                <w:t>contracts</w:t>
              </w:r>
            </w:hyperlink>
            <w:r w:rsidRPr="006E16F2">
              <w:t xml:space="preserve"> will be </w:t>
            </w:r>
            <w:r w:rsidR="00A87A95" w:rsidRPr="006E16F2">
              <w:t>GDPR compliant</w:t>
            </w:r>
          </w:p>
        </w:tc>
        <w:tc>
          <w:tcPr>
            <w:tcW w:w="617" w:type="dxa"/>
          </w:tcPr>
          <w:p w14:paraId="13323F7C" w14:textId="77777777" w:rsidR="0015514C" w:rsidRPr="006E16F2" w:rsidRDefault="0015514C" w:rsidP="00F0472E"/>
        </w:tc>
        <w:tc>
          <w:tcPr>
            <w:tcW w:w="3697" w:type="dxa"/>
          </w:tcPr>
          <w:p w14:paraId="09BA224F" w14:textId="55D982DE" w:rsidR="0015514C" w:rsidRPr="006E16F2" w:rsidRDefault="0015514C" w:rsidP="00F0472E"/>
        </w:tc>
      </w:tr>
      <w:tr w:rsidR="0015514C" w:rsidRPr="006E16F2" w14:paraId="2403D556" w14:textId="77777777" w:rsidTr="00F6093F">
        <w:tc>
          <w:tcPr>
            <w:tcW w:w="534" w:type="dxa"/>
          </w:tcPr>
          <w:p w14:paraId="0647C689" w14:textId="55CDB348" w:rsidR="0015514C" w:rsidRPr="006E16F2" w:rsidRDefault="00A87A95" w:rsidP="00F0472E">
            <w:r w:rsidRPr="006E16F2">
              <w:t>21</w:t>
            </w:r>
          </w:p>
        </w:tc>
        <w:tc>
          <w:tcPr>
            <w:tcW w:w="4899" w:type="dxa"/>
          </w:tcPr>
          <w:p w14:paraId="0A983C48" w14:textId="39C049DD" w:rsidR="0015514C" w:rsidRPr="006E16F2" w:rsidRDefault="00D11A35" w:rsidP="00A87A95">
            <w:r>
              <w:t>Review your</w:t>
            </w:r>
            <w:r w:rsidR="0015514C" w:rsidRPr="006E16F2">
              <w:t xml:space="preserve"> written </w:t>
            </w:r>
            <w:hyperlink w:anchor="DataShare" w:history="1">
              <w:r w:rsidR="0015514C" w:rsidRPr="006E16F2">
                <w:rPr>
                  <w:rStyle w:val="Hyperlink"/>
                </w:rPr>
                <w:t>data-sharing agreements</w:t>
              </w:r>
            </w:hyperlink>
            <w:r w:rsidR="0015514C" w:rsidRPr="006E16F2">
              <w:t xml:space="preserve"> where you are receiving/sharing data (see</w:t>
            </w:r>
            <w:r w:rsidR="00A87A95" w:rsidRPr="006E16F2">
              <w:t xml:space="preserve"> also</w:t>
            </w:r>
            <w:r w:rsidR="0015514C" w:rsidRPr="006E16F2">
              <w:t xml:space="preserve"> ‘</w:t>
            </w:r>
            <w:hyperlink w:anchor="Inspect" w:history="1">
              <w:r w:rsidR="0015514C" w:rsidRPr="006E16F2">
                <w:rPr>
                  <w:rStyle w:val="Hyperlink"/>
                </w:rPr>
                <w:t>Inspecting local records</w:t>
              </w:r>
            </w:hyperlink>
            <w:r w:rsidR="0015514C" w:rsidRPr="006E16F2">
              <w:t>’)</w:t>
            </w:r>
          </w:p>
        </w:tc>
        <w:tc>
          <w:tcPr>
            <w:tcW w:w="617" w:type="dxa"/>
          </w:tcPr>
          <w:p w14:paraId="0D4D46B7" w14:textId="77777777" w:rsidR="0015514C" w:rsidRPr="006E16F2" w:rsidRDefault="0015514C" w:rsidP="00F0472E"/>
        </w:tc>
        <w:tc>
          <w:tcPr>
            <w:tcW w:w="3697" w:type="dxa"/>
          </w:tcPr>
          <w:p w14:paraId="689E8291" w14:textId="42DAC174" w:rsidR="0015514C" w:rsidRPr="006E16F2" w:rsidRDefault="0015514C" w:rsidP="00F0472E"/>
        </w:tc>
      </w:tr>
      <w:tr w:rsidR="0015514C" w:rsidRPr="006E16F2" w14:paraId="1E9CDDB2" w14:textId="77777777" w:rsidTr="00F6093F">
        <w:tc>
          <w:tcPr>
            <w:tcW w:w="534" w:type="dxa"/>
          </w:tcPr>
          <w:p w14:paraId="421C03DB" w14:textId="4F63B329" w:rsidR="0015514C" w:rsidRPr="006E16F2" w:rsidRDefault="00A87A95" w:rsidP="00F0472E">
            <w:r w:rsidRPr="006E16F2">
              <w:t>22</w:t>
            </w:r>
          </w:p>
        </w:tc>
        <w:tc>
          <w:tcPr>
            <w:tcW w:w="4899" w:type="dxa"/>
          </w:tcPr>
          <w:p w14:paraId="47CCCA91" w14:textId="31AAFE8A" w:rsidR="0015514C" w:rsidRPr="006E16F2" w:rsidRDefault="0015514C" w:rsidP="00F0472E">
            <w:r w:rsidRPr="006E16F2">
              <w:t xml:space="preserve">Develop a policy document to enable you to process </w:t>
            </w:r>
            <w:hyperlink w:anchor="Special" w:history="1">
              <w:r w:rsidRPr="006E16F2">
                <w:rPr>
                  <w:rStyle w:val="Hyperlink"/>
                </w:rPr>
                <w:t>special categories of personal data</w:t>
              </w:r>
            </w:hyperlink>
          </w:p>
        </w:tc>
        <w:tc>
          <w:tcPr>
            <w:tcW w:w="617" w:type="dxa"/>
          </w:tcPr>
          <w:p w14:paraId="1683E6A2" w14:textId="77777777" w:rsidR="0015514C" w:rsidRPr="006E16F2" w:rsidRDefault="0015514C" w:rsidP="00F0472E"/>
        </w:tc>
        <w:tc>
          <w:tcPr>
            <w:tcW w:w="3697" w:type="dxa"/>
          </w:tcPr>
          <w:p w14:paraId="5D33930A" w14:textId="7B8AB19A" w:rsidR="0015514C" w:rsidRPr="006E16F2" w:rsidRDefault="0015514C" w:rsidP="00F0472E"/>
        </w:tc>
      </w:tr>
      <w:tr w:rsidR="0015514C" w:rsidRPr="006E16F2" w14:paraId="2C4D66D6" w14:textId="77777777" w:rsidTr="00F6093F">
        <w:tc>
          <w:tcPr>
            <w:tcW w:w="534" w:type="dxa"/>
          </w:tcPr>
          <w:p w14:paraId="02F1C132" w14:textId="3EDD1C36" w:rsidR="0015514C" w:rsidRPr="006E16F2" w:rsidRDefault="00A87A95" w:rsidP="00F0472E">
            <w:r w:rsidRPr="006E16F2">
              <w:t>23</w:t>
            </w:r>
          </w:p>
        </w:tc>
        <w:tc>
          <w:tcPr>
            <w:tcW w:w="4899" w:type="dxa"/>
          </w:tcPr>
          <w:p w14:paraId="0F8D523D" w14:textId="188E5031" w:rsidR="0015514C" w:rsidRPr="006E16F2" w:rsidRDefault="0015514C" w:rsidP="00F0472E">
            <w:r w:rsidRPr="006E16F2">
              <w:t xml:space="preserve">Undertake </w:t>
            </w:r>
            <w:hyperlink w:anchor="DPIAs" w:history="1">
              <w:r w:rsidRPr="006E16F2">
                <w:rPr>
                  <w:rStyle w:val="Hyperlink"/>
                </w:rPr>
                <w:t>DPIAs</w:t>
              </w:r>
            </w:hyperlink>
            <w:r w:rsidRPr="006E16F2">
              <w:t xml:space="preserve"> as a matter of best practice when you undertake a new process</w:t>
            </w:r>
          </w:p>
        </w:tc>
        <w:tc>
          <w:tcPr>
            <w:tcW w:w="617" w:type="dxa"/>
          </w:tcPr>
          <w:p w14:paraId="3B98B50C" w14:textId="77777777" w:rsidR="0015514C" w:rsidRPr="006E16F2" w:rsidRDefault="0015514C" w:rsidP="00F0472E"/>
        </w:tc>
        <w:tc>
          <w:tcPr>
            <w:tcW w:w="3697" w:type="dxa"/>
          </w:tcPr>
          <w:p w14:paraId="6C665164" w14:textId="5D58020D" w:rsidR="0015514C" w:rsidRPr="006E16F2" w:rsidRDefault="0015514C" w:rsidP="00F0472E"/>
        </w:tc>
      </w:tr>
      <w:tr w:rsidR="0015514C" w:rsidRPr="006E16F2" w14:paraId="5535F6A6" w14:textId="77777777" w:rsidTr="00F6093F">
        <w:tc>
          <w:tcPr>
            <w:tcW w:w="534" w:type="dxa"/>
          </w:tcPr>
          <w:p w14:paraId="306EDCCF" w14:textId="4390282C" w:rsidR="0015514C" w:rsidRPr="006E16F2" w:rsidRDefault="00A87A95" w:rsidP="00F0472E">
            <w:r w:rsidRPr="006E16F2">
              <w:t>24</w:t>
            </w:r>
          </w:p>
        </w:tc>
        <w:tc>
          <w:tcPr>
            <w:tcW w:w="4899" w:type="dxa"/>
          </w:tcPr>
          <w:p w14:paraId="2819CC77" w14:textId="6DEF7BCA" w:rsidR="0015514C" w:rsidRPr="006E16F2" w:rsidRDefault="0015514C" w:rsidP="00F0472E">
            <w:r w:rsidRPr="006E16F2">
              <w:t xml:space="preserve">Review existing </w:t>
            </w:r>
            <w:hyperlink w:anchor="DPIAs" w:history="1">
              <w:r w:rsidRPr="006E16F2">
                <w:rPr>
                  <w:rStyle w:val="Hyperlink"/>
                </w:rPr>
                <w:t>DPIAs</w:t>
              </w:r>
            </w:hyperlink>
          </w:p>
        </w:tc>
        <w:tc>
          <w:tcPr>
            <w:tcW w:w="617" w:type="dxa"/>
          </w:tcPr>
          <w:p w14:paraId="00C5ADDA" w14:textId="77777777" w:rsidR="0015514C" w:rsidRPr="006E16F2" w:rsidRDefault="0015514C" w:rsidP="00F0472E"/>
        </w:tc>
        <w:tc>
          <w:tcPr>
            <w:tcW w:w="3697" w:type="dxa"/>
          </w:tcPr>
          <w:p w14:paraId="3AAB35A6" w14:textId="161C1592" w:rsidR="0015514C" w:rsidRPr="006E16F2" w:rsidRDefault="0015514C" w:rsidP="00F0472E"/>
        </w:tc>
      </w:tr>
      <w:tr w:rsidR="0015514C" w:rsidRPr="006E16F2" w14:paraId="7B13AB53" w14:textId="77777777" w:rsidTr="00F6093F">
        <w:tc>
          <w:tcPr>
            <w:tcW w:w="534" w:type="dxa"/>
          </w:tcPr>
          <w:p w14:paraId="12441F57" w14:textId="0C61F0B0" w:rsidR="0015514C" w:rsidRPr="006E16F2" w:rsidRDefault="00A87A95" w:rsidP="00F0472E">
            <w:r w:rsidRPr="006E16F2">
              <w:t>25</w:t>
            </w:r>
          </w:p>
        </w:tc>
        <w:tc>
          <w:tcPr>
            <w:tcW w:w="4899" w:type="dxa"/>
          </w:tcPr>
          <w:p w14:paraId="5A7308B2" w14:textId="50F0FCDB" w:rsidR="0015514C" w:rsidRPr="006E16F2" w:rsidRDefault="0015514C" w:rsidP="00F0472E">
            <w:r w:rsidRPr="006E16F2">
              <w:t xml:space="preserve">Ensure you have an appropriate </w:t>
            </w:r>
            <w:hyperlink w:anchor="DPIAs" w:history="1">
              <w:r w:rsidRPr="006E16F2">
                <w:rPr>
                  <w:rStyle w:val="Hyperlink"/>
                </w:rPr>
                <w:t>DPIA</w:t>
              </w:r>
            </w:hyperlink>
            <w:r w:rsidRPr="006E16F2">
              <w:t xml:space="preserve"> in place for processing applications for anonymous registration</w:t>
            </w:r>
          </w:p>
        </w:tc>
        <w:tc>
          <w:tcPr>
            <w:tcW w:w="617" w:type="dxa"/>
          </w:tcPr>
          <w:p w14:paraId="0A21886F" w14:textId="77777777" w:rsidR="0015514C" w:rsidRPr="006E16F2" w:rsidRDefault="0015514C" w:rsidP="00F0472E"/>
        </w:tc>
        <w:tc>
          <w:tcPr>
            <w:tcW w:w="3697" w:type="dxa"/>
          </w:tcPr>
          <w:p w14:paraId="437BAFCA" w14:textId="2AF66C01" w:rsidR="0015514C" w:rsidRPr="006E16F2" w:rsidRDefault="0015514C" w:rsidP="00F0472E"/>
        </w:tc>
      </w:tr>
      <w:tr w:rsidR="0015514C" w:rsidRPr="006E16F2" w14:paraId="5C77C462" w14:textId="77777777" w:rsidTr="00F6093F">
        <w:tc>
          <w:tcPr>
            <w:tcW w:w="534" w:type="dxa"/>
          </w:tcPr>
          <w:p w14:paraId="3CA09247" w14:textId="245B351B" w:rsidR="0015514C" w:rsidRPr="006E16F2" w:rsidRDefault="00A87A95" w:rsidP="00F0472E">
            <w:r w:rsidRPr="006E16F2">
              <w:t>26</w:t>
            </w:r>
          </w:p>
        </w:tc>
        <w:tc>
          <w:tcPr>
            <w:tcW w:w="4899" w:type="dxa"/>
          </w:tcPr>
          <w:p w14:paraId="771882AF" w14:textId="65DF29B3" w:rsidR="0015514C" w:rsidRPr="006E16F2" w:rsidRDefault="0015514C" w:rsidP="00F0472E">
            <w:r w:rsidRPr="006E16F2">
              <w:t xml:space="preserve">Ensure that all staff training (core team, canvassers, polling station staff) reflects </w:t>
            </w:r>
            <w:r w:rsidR="00D11A35">
              <w:t xml:space="preserve">current </w:t>
            </w:r>
            <w:r w:rsidRPr="006E16F2">
              <w:t>data protection requirements</w:t>
            </w:r>
          </w:p>
        </w:tc>
        <w:tc>
          <w:tcPr>
            <w:tcW w:w="617" w:type="dxa"/>
          </w:tcPr>
          <w:p w14:paraId="025A6C10" w14:textId="77777777" w:rsidR="0015514C" w:rsidRPr="006E16F2" w:rsidRDefault="0015514C" w:rsidP="00F0472E"/>
        </w:tc>
        <w:tc>
          <w:tcPr>
            <w:tcW w:w="3697" w:type="dxa"/>
          </w:tcPr>
          <w:p w14:paraId="61F05849" w14:textId="64013C75" w:rsidR="0015514C" w:rsidRPr="006E16F2" w:rsidRDefault="0015514C" w:rsidP="00F0472E"/>
        </w:tc>
      </w:tr>
      <w:tr w:rsidR="0015514C" w:rsidRPr="006E16F2" w14:paraId="657032D2" w14:textId="77777777" w:rsidTr="00F6093F">
        <w:tc>
          <w:tcPr>
            <w:tcW w:w="534" w:type="dxa"/>
          </w:tcPr>
          <w:p w14:paraId="79B5C89A" w14:textId="5A1103E1" w:rsidR="0015514C" w:rsidRPr="006E16F2" w:rsidRDefault="00A87A95" w:rsidP="00F0472E">
            <w:r w:rsidRPr="006E16F2">
              <w:t>27</w:t>
            </w:r>
          </w:p>
        </w:tc>
        <w:tc>
          <w:tcPr>
            <w:tcW w:w="4899" w:type="dxa"/>
          </w:tcPr>
          <w:p w14:paraId="4DDDB674" w14:textId="51A1916E" w:rsidR="0015514C" w:rsidRPr="006E16F2" w:rsidRDefault="0015514C" w:rsidP="00A87A95">
            <w:r w:rsidRPr="006E16F2">
              <w:t xml:space="preserve">Ensure you maintain records </w:t>
            </w:r>
            <w:r w:rsidR="00A87A95" w:rsidRPr="006E16F2">
              <w:t xml:space="preserve">when </w:t>
            </w:r>
            <w:hyperlink w:anchor="Inspect" w:history="1">
              <w:r w:rsidR="00A87A95" w:rsidRPr="006E16F2">
                <w:rPr>
                  <w:rStyle w:val="Hyperlink"/>
                </w:rPr>
                <w:t>i</w:t>
              </w:r>
              <w:r w:rsidRPr="006E16F2">
                <w:rPr>
                  <w:rStyle w:val="Hyperlink"/>
                </w:rPr>
                <w:t>nspecting council records</w:t>
              </w:r>
            </w:hyperlink>
          </w:p>
        </w:tc>
        <w:tc>
          <w:tcPr>
            <w:tcW w:w="617" w:type="dxa"/>
          </w:tcPr>
          <w:p w14:paraId="4DAD5961" w14:textId="77777777" w:rsidR="0015514C" w:rsidRPr="006E16F2" w:rsidRDefault="0015514C" w:rsidP="00F0472E"/>
        </w:tc>
        <w:tc>
          <w:tcPr>
            <w:tcW w:w="3697" w:type="dxa"/>
          </w:tcPr>
          <w:p w14:paraId="0E4AC4E5" w14:textId="565AD23B" w:rsidR="0015514C" w:rsidRPr="006E16F2" w:rsidRDefault="0015514C" w:rsidP="00F0472E"/>
        </w:tc>
      </w:tr>
      <w:tr w:rsidR="0015514C" w:rsidRPr="006E16F2" w14:paraId="0FEF9C9D" w14:textId="77777777" w:rsidTr="00F6093F">
        <w:tc>
          <w:tcPr>
            <w:tcW w:w="534" w:type="dxa"/>
          </w:tcPr>
          <w:p w14:paraId="1C5A93E2" w14:textId="59CEBBFC" w:rsidR="0015514C" w:rsidRPr="006E16F2" w:rsidRDefault="00A87A95" w:rsidP="00F0472E">
            <w:r w:rsidRPr="006E16F2">
              <w:t>28</w:t>
            </w:r>
          </w:p>
        </w:tc>
        <w:tc>
          <w:tcPr>
            <w:tcW w:w="4899" w:type="dxa"/>
          </w:tcPr>
          <w:p w14:paraId="59E806AA" w14:textId="49AB14D5" w:rsidR="0015514C" w:rsidRPr="006E16F2" w:rsidRDefault="0015514C" w:rsidP="00F0472E">
            <w:r w:rsidRPr="006E16F2">
              <w:t>Understand that a data subject is entitled to see personal information that is held about them (see ‘</w:t>
            </w:r>
            <w:hyperlink w:anchor="SAR" w:history="1">
              <w:r w:rsidRPr="006E16F2">
                <w:rPr>
                  <w:rStyle w:val="Hyperlink"/>
                </w:rPr>
                <w:t>Subject access requests</w:t>
              </w:r>
            </w:hyperlink>
            <w:r w:rsidRPr="006E16F2">
              <w:t>’)</w:t>
            </w:r>
          </w:p>
        </w:tc>
        <w:tc>
          <w:tcPr>
            <w:tcW w:w="617" w:type="dxa"/>
          </w:tcPr>
          <w:p w14:paraId="35547F20" w14:textId="77777777" w:rsidR="0015514C" w:rsidRPr="006E16F2" w:rsidRDefault="0015514C" w:rsidP="00F0472E"/>
        </w:tc>
        <w:tc>
          <w:tcPr>
            <w:tcW w:w="3697" w:type="dxa"/>
          </w:tcPr>
          <w:p w14:paraId="059DC087" w14:textId="4A40DA1E" w:rsidR="0015514C" w:rsidRPr="006E16F2" w:rsidRDefault="0015514C" w:rsidP="00F0472E"/>
        </w:tc>
      </w:tr>
      <w:tr w:rsidR="0015514C" w:rsidRPr="006E16F2" w14:paraId="6E57BB7E" w14:textId="77777777" w:rsidTr="00F6093F">
        <w:tc>
          <w:tcPr>
            <w:tcW w:w="534" w:type="dxa"/>
          </w:tcPr>
          <w:p w14:paraId="7657F4E5" w14:textId="6B0E85F1" w:rsidR="0015514C" w:rsidRPr="006E16F2" w:rsidRDefault="00A87A95" w:rsidP="00F0472E">
            <w:r w:rsidRPr="006E16F2">
              <w:t>29</w:t>
            </w:r>
          </w:p>
        </w:tc>
        <w:tc>
          <w:tcPr>
            <w:tcW w:w="4899" w:type="dxa"/>
          </w:tcPr>
          <w:p w14:paraId="275AE86F" w14:textId="7641B5B0" w:rsidR="0015514C" w:rsidRPr="006E16F2" w:rsidRDefault="0015514C" w:rsidP="00F0472E">
            <w:r w:rsidRPr="006E16F2">
              <w:t>Review any charges you apply that are not set out in law (see ‘</w:t>
            </w:r>
            <w:hyperlink w:anchor="SAR" w:history="1">
              <w:r w:rsidRPr="006E16F2">
                <w:rPr>
                  <w:rStyle w:val="Hyperlink"/>
                </w:rPr>
                <w:t>Subject access requests</w:t>
              </w:r>
            </w:hyperlink>
            <w:r w:rsidRPr="006E16F2">
              <w:t>’)</w:t>
            </w:r>
          </w:p>
        </w:tc>
        <w:tc>
          <w:tcPr>
            <w:tcW w:w="617" w:type="dxa"/>
          </w:tcPr>
          <w:p w14:paraId="6593ABBC" w14:textId="77777777" w:rsidR="0015514C" w:rsidRPr="006E16F2" w:rsidRDefault="0015514C" w:rsidP="00F0472E"/>
        </w:tc>
        <w:tc>
          <w:tcPr>
            <w:tcW w:w="3697" w:type="dxa"/>
          </w:tcPr>
          <w:p w14:paraId="6D303B16" w14:textId="69317A66" w:rsidR="0015514C" w:rsidRPr="006E16F2" w:rsidRDefault="0015514C" w:rsidP="00F0472E"/>
        </w:tc>
      </w:tr>
      <w:tr w:rsidR="0015514C" w:rsidRPr="006E16F2" w14:paraId="0B8F2D7F" w14:textId="77777777" w:rsidTr="00F6093F">
        <w:tc>
          <w:tcPr>
            <w:tcW w:w="534" w:type="dxa"/>
          </w:tcPr>
          <w:p w14:paraId="36C0BE65" w14:textId="27354EC3" w:rsidR="0015514C" w:rsidRPr="006E16F2" w:rsidRDefault="00A87A95" w:rsidP="00F0472E">
            <w:r w:rsidRPr="006E16F2">
              <w:t>30</w:t>
            </w:r>
          </w:p>
        </w:tc>
        <w:tc>
          <w:tcPr>
            <w:tcW w:w="4899" w:type="dxa"/>
          </w:tcPr>
          <w:p w14:paraId="1B54F8A4" w14:textId="1EBAEC1A" w:rsidR="0015514C" w:rsidRPr="006E16F2" w:rsidRDefault="0015514C" w:rsidP="00A87A95">
            <w:r w:rsidRPr="006E16F2">
              <w:t xml:space="preserve">Understand the </w:t>
            </w:r>
            <w:hyperlink w:anchor="Breaches" w:history="1">
              <w:r w:rsidRPr="006E16F2">
                <w:rPr>
                  <w:rStyle w:val="Hyperlink"/>
                </w:rPr>
                <w:t>penalties and sanctions</w:t>
              </w:r>
            </w:hyperlink>
            <w:r w:rsidRPr="006E16F2">
              <w:t xml:space="preserve"> for failure to comply w</w:t>
            </w:r>
            <w:r w:rsidR="00A87A95" w:rsidRPr="006E16F2">
              <w:t>ith data protection legislation</w:t>
            </w:r>
          </w:p>
        </w:tc>
        <w:tc>
          <w:tcPr>
            <w:tcW w:w="617" w:type="dxa"/>
          </w:tcPr>
          <w:p w14:paraId="25D37E27" w14:textId="77777777" w:rsidR="0015514C" w:rsidRPr="006E16F2" w:rsidRDefault="0015514C" w:rsidP="00F0472E"/>
        </w:tc>
        <w:tc>
          <w:tcPr>
            <w:tcW w:w="3697" w:type="dxa"/>
          </w:tcPr>
          <w:p w14:paraId="3D9B5817" w14:textId="4E605461" w:rsidR="0015514C" w:rsidRPr="006E16F2" w:rsidRDefault="0015514C" w:rsidP="00F0472E"/>
        </w:tc>
      </w:tr>
      <w:tr w:rsidR="0015514C" w:rsidRPr="006E16F2" w14:paraId="22059EA5" w14:textId="77777777" w:rsidTr="00F6093F">
        <w:tc>
          <w:tcPr>
            <w:tcW w:w="534" w:type="dxa"/>
          </w:tcPr>
          <w:p w14:paraId="0ED10B06" w14:textId="431B4B02" w:rsidR="0015514C" w:rsidRPr="006E16F2" w:rsidRDefault="00A87A95" w:rsidP="00F0472E">
            <w:r w:rsidRPr="006E16F2">
              <w:t>31</w:t>
            </w:r>
          </w:p>
        </w:tc>
        <w:tc>
          <w:tcPr>
            <w:tcW w:w="4899" w:type="dxa"/>
          </w:tcPr>
          <w:p w14:paraId="04A0AD44" w14:textId="1D11A21D" w:rsidR="0015514C" w:rsidRPr="006E16F2" w:rsidRDefault="0015514C" w:rsidP="00F0472E">
            <w:r w:rsidRPr="006E16F2">
              <w:t>Ensure your plans and risk registers highlight the safeguards you have to avoid a data breach (see ‘</w:t>
            </w:r>
            <w:hyperlink w:anchor="Breaches" w:history="1">
              <w:r w:rsidRPr="006E16F2">
                <w:rPr>
                  <w:rStyle w:val="Hyperlink"/>
                </w:rPr>
                <w:t>Breaches and sanctions</w:t>
              </w:r>
            </w:hyperlink>
            <w:r w:rsidRPr="006E16F2">
              <w:t>’)</w:t>
            </w:r>
          </w:p>
        </w:tc>
        <w:tc>
          <w:tcPr>
            <w:tcW w:w="617" w:type="dxa"/>
          </w:tcPr>
          <w:p w14:paraId="2323B324" w14:textId="77777777" w:rsidR="0015514C" w:rsidRPr="006E16F2" w:rsidRDefault="0015514C" w:rsidP="00F0472E"/>
        </w:tc>
        <w:tc>
          <w:tcPr>
            <w:tcW w:w="3697" w:type="dxa"/>
          </w:tcPr>
          <w:p w14:paraId="2B9C30B7" w14:textId="55CE6447" w:rsidR="0015514C" w:rsidRPr="006E16F2" w:rsidRDefault="0015514C" w:rsidP="00F0472E"/>
        </w:tc>
      </w:tr>
      <w:tr w:rsidR="0015514C" w:rsidRPr="006E16F2" w14:paraId="6E0B607C" w14:textId="77777777" w:rsidTr="00F6093F">
        <w:tc>
          <w:tcPr>
            <w:tcW w:w="534" w:type="dxa"/>
          </w:tcPr>
          <w:p w14:paraId="4CA3E254" w14:textId="09196019" w:rsidR="0015514C" w:rsidRPr="006E16F2" w:rsidRDefault="00A87A95" w:rsidP="00F0472E">
            <w:r w:rsidRPr="006E16F2">
              <w:t>32</w:t>
            </w:r>
          </w:p>
        </w:tc>
        <w:tc>
          <w:tcPr>
            <w:tcW w:w="4899" w:type="dxa"/>
          </w:tcPr>
          <w:p w14:paraId="462E87CF" w14:textId="15284F08" w:rsidR="0015514C" w:rsidRPr="006E16F2" w:rsidRDefault="0015514C" w:rsidP="00A87A95">
            <w:r w:rsidRPr="006E16F2">
              <w:t xml:space="preserve">Ensure you have procedures to detect, report and investigate a </w:t>
            </w:r>
            <w:hyperlink w:anchor="Breaches" w:history="1">
              <w:r w:rsidRPr="006E16F2">
                <w:rPr>
                  <w:rStyle w:val="Hyperlink"/>
                </w:rPr>
                <w:t>data breach</w:t>
              </w:r>
            </w:hyperlink>
            <w:r w:rsidRPr="006E16F2">
              <w:t xml:space="preserve"> </w:t>
            </w:r>
          </w:p>
        </w:tc>
        <w:tc>
          <w:tcPr>
            <w:tcW w:w="617" w:type="dxa"/>
          </w:tcPr>
          <w:p w14:paraId="021CDB22" w14:textId="77777777" w:rsidR="0015514C" w:rsidRPr="006E16F2" w:rsidRDefault="0015514C" w:rsidP="00F0472E"/>
        </w:tc>
        <w:tc>
          <w:tcPr>
            <w:tcW w:w="3697" w:type="dxa"/>
          </w:tcPr>
          <w:p w14:paraId="280F4D0B" w14:textId="392C65C7" w:rsidR="0015514C" w:rsidRPr="006E16F2" w:rsidRDefault="0015514C" w:rsidP="00F0472E"/>
        </w:tc>
      </w:tr>
    </w:tbl>
    <w:p w14:paraId="041551CD" w14:textId="2B1E18B2" w:rsidR="00A87A95" w:rsidRPr="006E16F2" w:rsidRDefault="00A87A95" w:rsidP="00993E8B">
      <w:pPr>
        <w:pStyle w:val="A-head"/>
      </w:pPr>
      <w:bookmarkStart w:id="145" w:name="Appx2"/>
      <w:bookmarkStart w:id="146" w:name="_Toc505850170"/>
      <w:r w:rsidRPr="006E16F2">
        <w:br w:type="page"/>
      </w:r>
    </w:p>
    <w:p w14:paraId="33616776" w14:textId="22A08B86" w:rsidR="00942449" w:rsidRPr="006E16F2" w:rsidRDefault="00942449" w:rsidP="00942449">
      <w:pPr>
        <w:pStyle w:val="A-head"/>
      </w:pPr>
      <w:bookmarkStart w:id="147" w:name="_Toc71537514"/>
      <w:r w:rsidRPr="006E16F2">
        <w:t>Appendix 2</w:t>
      </w:r>
      <w:bookmarkEnd w:id="145"/>
      <w:r w:rsidRPr="006E16F2">
        <w:t xml:space="preserve"> – Checklist for Privacy Notice</w:t>
      </w:r>
      <w:bookmarkEnd w:id="146"/>
      <w:bookmarkEnd w:id="147"/>
    </w:p>
    <w:p w14:paraId="3ACAE279" w14:textId="77777777" w:rsidR="00942449" w:rsidRPr="006E16F2" w:rsidRDefault="00942449" w:rsidP="00942449"/>
    <w:p w14:paraId="145F162C" w14:textId="64F09718" w:rsidR="00942449" w:rsidRPr="006E16F2" w:rsidRDefault="005F1402" w:rsidP="00942449">
      <w:r w:rsidRPr="006E16F2">
        <w:t xml:space="preserve">As explained in </w:t>
      </w:r>
      <w:hyperlink w:anchor="PrivacyNotice" w:history="1">
        <w:r w:rsidRPr="006E16F2">
          <w:rPr>
            <w:rStyle w:val="Hyperlink"/>
          </w:rPr>
          <w:t>Section 4 – Privacy Notices</w:t>
        </w:r>
      </w:hyperlink>
      <w:r w:rsidRPr="006E16F2">
        <w:t>, i</w:t>
      </w:r>
      <w:r w:rsidR="00942449" w:rsidRPr="006E16F2">
        <w:t xml:space="preserve">nformation </w:t>
      </w:r>
      <w:r w:rsidR="00240F4A" w:rsidRPr="006E16F2">
        <w:t xml:space="preserve">regarding how and why personal data is being processed </w:t>
      </w:r>
      <w:r w:rsidR="00942449" w:rsidRPr="006E16F2">
        <w:t>must be provided to the data subjec</w:t>
      </w:r>
      <w:r w:rsidR="00BB2C7C">
        <w:t>t when data is being collected.</w:t>
      </w:r>
      <w:r w:rsidR="00942449" w:rsidRPr="006E16F2">
        <w:t xml:space="preserve"> This is </w:t>
      </w:r>
      <w:r w:rsidR="0041515B" w:rsidRPr="006E16F2">
        <w:t xml:space="preserve">achieved </w:t>
      </w:r>
      <w:r w:rsidR="00942449" w:rsidRPr="006E16F2">
        <w:t>via a privacy notice which should contain the following:</w:t>
      </w:r>
    </w:p>
    <w:p w14:paraId="1EE26423" w14:textId="77777777" w:rsidR="00942449" w:rsidRPr="006E16F2" w:rsidRDefault="00942449" w:rsidP="00942449"/>
    <w:p w14:paraId="3C70CBCE" w14:textId="7EFBDD1E" w:rsidR="007A1CF6" w:rsidRPr="006E16F2" w:rsidRDefault="007A1CF6" w:rsidP="00570188"/>
    <w:tbl>
      <w:tblPr>
        <w:tblStyle w:val="TableGrid"/>
        <w:tblW w:w="0" w:type="auto"/>
        <w:tblLook w:val="04A0" w:firstRow="1" w:lastRow="0" w:firstColumn="1" w:lastColumn="0" w:noHBand="0" w:noVBand="1"/>
      </w:tblPr>
      <w:tblGrid>
        <w:gridCol w:w="517"/>
        <w:gridCol w:w="4174"/>
        <w:gridCol w:w="696"/>
        <w:gridCol w:w="3629"/>
      </w:tblGrid>
      <w:tr w:rsidR="008A7AF2" w:rsidRPr="006E16F2" w14:paraId="29F1554C" w14:textId="77777777" w:rsidTr="00F6093F">
        <w:tc>
          <w:tcPr>
            <w:tcW w:w="522" w:type="dxa"/>
            <w:tcBorders>
              <w:top w:val="single" w:sz="4" w:space="0" w:color="auto"/>
              <w:left w:val="single" w:sz="4" w:space="0" w:color="auto"/>
              <w:bottom w:val="single" w:sz="4" w:space="0" w:color="auto"/>
            </w:tcBorders>
            <w:shd w:val="clear" w:color="auto" w:fill="C6D9F1" w:themeFill="text2" w:themeFillTint="33"/>
          </w:tcPr>
          <w:p w14:paraId="35A9C767" w14:textId="1DE81BCC" w:rsidR="008A7AF2" w:rsidRPr="006E16F2" w:rsidRDefault="008A7AF2" w:rsidP="00C74A1F">
            <w:r w:rsidRPr="006E16F2">
              <w:t>#</w:t>
            </w:r>
          </w:p>
        </w:tc>
        <w:tc>
          <w:tcPr>
            <w:tcW w:w="4548" w:type="dxa"/>
            <w:shd w:val="clear" w:color="auto" w:fill="C6D9F1" w:themeFill="text2" w:themeFillTint="33"/>
          </w:tcPr>
          <w:p w14:paraId="4D538426" w14:textId="77777777" w:rsidR="008A7AF2" w:rsidRPr="006E16F2" w:rsidRDefault="008A7AF2" w:rsidP="00C74A1F">
            <w:r w:rsidRPr="006E16F2">
              <w:t xml:space="preserve">Element </w:t>
            </w:r>
          </w:p>
        </w:tc>
        <w:tc>
          <w:tcPr>
            <w:tcW w:w="708" w:type="dxa"/>
            <w:shd w:val="clear" w:color="auto" w:fill="C6D9F1" w:themeFill="text2" w:themeFillTint="33"/>
          </w:tcPr>
          <w:p w14:paraId="18017575" w14:textId="77777777" w:rsidR="008A7AF2" w:rsidRPr="006E16F2" w:rsidRDefault="008A7AF2" w:rsidP="00C74A1F">
            <w:r w:rsidRPr="006E16F2">
              <w:t>Y/N</w:t>
            </w:r>
          </w:p>
        </w:tc>
        <w:tc>
          <w:tcPr>
            <w:tcW w:w="3969" w:type="dxa"/>
            <w:shd w:val="clear" w:color="auto" w:fill="C6D9F1" w:themeFill="text2" w:themeFillTint="33"/>
          </w:tcPr>
          <w:p w14:paraId="0B03C035" w14:textId="77777777" w:rsidR="008A7AF2" w:rsidRPr="006E16F2" w:rsidRDefault="008A7AF2" w:rsidP="00C74A1F">
            <w:r w:rsidRPr="006E16F2">
              <w:t>Comments</w:t>
            </w:r>
          </w:p>
        </w:tc>
      </w:tr>
      <w:tr w:rsidR="008A7AF2" w:rsidRPr="006E16F2" w14:paraId="279FB367" w14:textId="77777777" w:rsidTr="00F6093F">
        <w:tc>
          <w:tcPr>
            <w:tcW w:w="522" w:type="dxa"/>
            <w:tcBorders>
              <w:top w:val="single" w:sz="4" w:space="0" w:color="auto"/>
            </w:tcBorders>
          </w:tcPr>
          <w:p w14:paraId="2A620640" w14:textId="54AC3596" w:rsidR="008A7AF2" w:rsidRPr="006E16F2" w:rsidRDefault="008A7AF2" w:rsidP="00C74A1F">
            <w:r w:rsidRPr="006E16F2">
              <w:t>1</w:t>
            </w:r>
          </w:p>
        </w:tc>
        <w:tc>
          <w:tcPr>
            <w:tcW w:w="4548" w:type="dxa"/>
          </w:tcPr>
          <w:p w14:paraId="0D967D3A" w14:textId="13ECA9D4" w:rsidR="008A7AF2" w:rsidRPr="006E16F2" w:rsidRDefault="008A7AF2" w:rsidP="00C74A1F">
            <w:r w:rsidRPr="006E16F2">
              <w:t>Name of the Data Controller</w:t>
            </w:r>
          </w:p>
        </w:tc>
        <w:tc>
          <w:tcPr>
            <w:tcW w:w="708" w:type="dxa"/>
          </w:tcPr>
          <w:p w14:paraId="614EC17B" w14:textId="77777777" w:rsidR="008A7AF2" w:rsidRPr="006E16F2" w:rsidRDefault="008A7AF2" w:rsidP="00C74A1F"/>
        </w:tc>
        <w:tc>
          <w:tcPr>
            <w:tcW w:w="3969" w:type="dxa"/>
          </w:tcPr>
          <w:p w14:paraId="3F646565" w14:textId="77777777" w:rsidR="008A7AF2" w:rsidRPr="006E16F2" w:rsidRDefault="008A7AF2" w:rsidP="00C74A1F"/>
          <w:p w14:paraId="25617A5B" w14:textId="77777777" w:rsidR="00F6093F" w:rsidRPr="006E16F2" w:rsidRDefault="00F6093F" w:rsidP="00C74A1F"/>
        </w:tc>
      </w:tr>
      <w:tr w:rsidR="008A7AF2" w:rsidRPr="006E16F2" w14:paraId="23F97D46" w14:textId="77777777" w:rsidTr="00F6093F">
        <w:tc>
          <w:tcPr>
            <w:tcW w:w="522" w:type="dxa"/>
          </w:tcPr>
          <w:p w14:paraId="34B22EB1" w14:textId="6D909FE5" w:rsidR="008A7AF2" w:rsidRPr="006E16F2" w:rsidRDefault="008A7AF2" w:rsidP="00C74A1F">
            <w:r w:rsidRPr="006E16F2">
              <w:t>2</w:t>
            </w:r>
          </w:p>
        </w:tc>
        <w:tc>
          <w:tcPr>
            <w:tcW w:w="4548" w:type="dxa"/>
          </w:tcPr>
          <w:p w14:paraId="32B5FF96" w14:textId="382197B8" w:rsidR="008A7AF2" w:rsidRPr="006E16F2" w:rsidRDefault="008A7AF2" w:rsidP="00C74A1F">
            <w:r w:rsidRPr="006E16F2">
              <w:t>Contact for Data Protection Officer</w:t>
            </w:r>
          </w:p>
        </w:tc>
        <w:tc>
          <w:tcPr>
            <w:tcW w:w="708" w:type="dxa"/>
          </w:tcPr>
          <w:p w14:paraId="0B1AFBAE" w14:textId="77777777" w:rsidR="008A7AF2" w:rsidRPr="006E16F2" w:rsidRDefault="008A7AF2" w:rsidP="00C74A1F"/>
        </w:tc>
        <w:tc>
          <w:tcPr>
            <w:tcW w:w="3969" w:type="dxa"/>
          </w:tcPr>
          <w:p w14:paraId="0992A43E" w14:textId="77777777" w:rsidR="008A7AF2" w:rsidRPr="006E16F2" w:rsidRDefault="008A7AF2" w:rsidP="00C74A1F"/>
          <w:p w14:paraId="2536020D" w14:textId="00A03A45" w:rsidR="00F6093F" w:rsidRPr="006E16F2" w:rsidRDefault="00F6093F" w:rsidP="00C74A1F"/>
        </w:tc>
      </w:tr>
      <w:tr w:rsidR="008A7AF2" w:rsidRPr="006E16F2" w14:paraId="7D249CCC" w14:textId="77777777" w:rsidTr="00F6093F">
        <w:tc>
          <w:tcPr>
            <w:tcW w:w="522" w:type="dxa"/>
          </w:tcPr>
          <w:p w14:paraId="4A250497" w14:textId="6052FD50" w:rsidR="008A7AF2" w:rsidRPr="006E16F2" w:rsidRDefault="008A7AF2" w:rsidP="00C74A1F">
            <w:r w:rsidRPr="006E16F2">
              <w:t>3</w:t>
            </w:r>
          </w:p>
        </w:tc>
        <w:tc>
          <w:tcPr>
            <w:tcW w:w="4548" w:type="dxa"/>
          </w:tcPr>
          <w:p w14:paraId="092DF777" w14:textId="5D7CB9EB" w:rsidR="008A7AF2" w:rsidRPr="006E16F2" w:rsidRDefault="008A7AF2" w:rsidP="00E60484">
            <w:r w:rsidRPr="006E16F2">
              <w:t xml:space="preserve">Purpose and </w:t>
            </w:r>
            <w:r w:rsidR="00E60484" w:rsidRPr="006E16F2">
              <w:t>lawful</w:t>
            </w:r>
            <w:r w:rsidRPr="006E16F2">
              <w:t xml:space="preserve"> basis for the personal data that you process</w:t>
            </w:r>
          </w:p>
        </w:tc>
        <w:tc>
          <w:tcPr>
            <w:tcW w:w="708" w:type="dxa"/>
          </w:tcPr>
          <w:p w14:paraId="437B4534" w14:textId="77777777" w:rsidR="008A7AF2" w:rsidRPr="006E16F2" w:rsidRDefault="008A7AF2" w:rsidP="00C74A1F"/>
        </w:tc>
        <w:tc>
          <w:tcPr>
            <w:tcW w:w="3969" w:type="dxa"/>
          </w:tcPr>
          <w:p w14:paraId="6B1AC5D6" w14:textId="77777777" w:rsidR="008A7AF2" w:rsidRPr="006E16F2" w:rsidRDefault="008A7AF2" w:rsidP="00C74A1F"/>
        </w:tc>
      </w:tr>
      <w:tr w:rsidR="008A7AF2" w:rsidRPr="006E16F2" w14:paraId="542D8A38" w14:textId="77777777" w:rsidTr="00F6093F">
        <w:tc>
          <w:tcPr>
            <w:tcW w:w="522" w:type="dxa"/>
          </w:tcPr>
          <w:p w14:paraId="3D6C173B" w14:textId="6ACCE045" w:rsidR="008A7AF2" w:rsidRPr="006E16F2" w:rsidRDefault="008A7AF2" w:rsidP="00C74A1F">
            <w:r w:rsidRPr="006E16F2">
              <w:t>4</w:t>
            </w:r>
          </w:p>
        </w:tc>
        <w:tc>
          <w:tcPr>
            <w:tcW w:w="4548" w:type="dxa"/>
          </w:tcPr>
          <w:p w14:paraId="76C4188F" w14:textId="7AB7B7DA" w:rsidR="008A7AF2" w:rsidRPr="006E16F2" w:rsidRDefault="008A7AF2" w:rsidP="00C74A1F">
            <w:r w:rsidRPr="006E16F2">
              <w:t>Basis of processing for special categories of data</w:t>
            </w:r>
          </w:p>
        </w:tc>
        <w:tc>
          <w:tcPr>
            <w:tcW w:w="708" w:type="dxa"/>
          </w:tcPr>
          <w:p w14:paraId="5BEF15E4" w14:textId="77777777" w:rsidR="008A7AF2" w:rsidRPr="006E16F2" w:rsidRDefault="008A7AF2" w:rsidP="00C74A1F"/>
        </w:tc>
        <w:tc>
          <w:tcPr>
            <w:tcW w:w="3969" w:type="dxa"/>
          </w:tcPr>
          <w:p w14:paraId="7E27B3E6" w14:textId="77777777" w:rsidR="008A7AF2" w:rsidRPr="006E16F2" w:rsidRDefault="008A7AF2" w:rsidP="00C74A1F"/>
        </w:tc>
      </w:tr>
      <w:tr w:rsidR="008A7AF2" w:rsidRPr="006E16F2" w14:paraId="21DA44EF" w14:textId="77777777" w:rsidTr="00F6093F">
        <w:tc>
          <w:tcPr>
            <w:tcW w:w="522" w:type="dxa"/>
          </w:tcPr>
          <w:p w14:paraId="1B27CA8F" w14:textId="50C49AB8" w:rsidR="008A7AF2" w:rsidRPr="006E16F2" w:rsidRDefault="008A7AF2" w:rsidP="00C74A1F">
            <w:r w:rsidRPr="006E16F2">
              <w:t>5</w:t>
            </w:r>
          </w:p>
        </w:tc>
        <w:tc>
          <w:tcPr>
            <w:tcW w:w="4548" w:type="dxa"/>
          </w:tcPr>
          <w:p w14:paraId="60928380" w14:textId="0D092457" w:rsidR="008A7AF2" w:rsidRPr="006E16F2" w:rsidRDefault="008A7AF2" w:rsidP="00C74A1F">
            <w:r w:rsidRPr="006E16F2">
              <w:t>Legitimate interests claimed</w:t>
            </w:r>
          </w:p>
        </w:tc>
        <w:tc>
          <w:tcPr>
            <w:tcW w:w="708" w:type="dxa"/>
          </w:tcPr>
          <w:p w14:paraId="6FCB9E23" w14:textId="77777777" w:rsidR="008A7AF2" w:rsidRPr="006E16F2" w:rsidRDefault="008A7AF2" w:rsidP="00C74A1F"/>
        </w:tc>
        <w:tc>
          <w:tcPr>
            <w:tcW w:w="3969" w:type="dxa"/>
          </w:tcPr>
          <w:p w14:paraId="59B39C1D" w14:textId="77777777" w:rsidR="008A7AF2" w:rsidRPr="006E16F2" w:rsidRDefault="008A7AF2" w:rsidP="00C74A1F"/>
          <w:p w14:paraId="717EA058" w14:textId="77777777" w:rsidR="00F6093F" w:rsidRPr="006E16F2" w:rsidRDefault="00F6093F" w:rsidP="00C74A1F"/>
        </w:tc>
      </w:tr>
      <w:tr w:rsidR="008A7AF2" w:rsidRPr="006E16F2" w14:paraId="3F576408" w14:textId="77777777" w:rsidTr="00F6093F">
        <w:tc>
          <w:tcPr>
            <w:tcW w:w="522" w:type="dxa"/>
          </w:tcPr>
          <w:p w14:paraId="217EA294" w14:textId="21707503" w:rsidR="008A7AF2" w:rsidRPr="006E16F2" w:rsidRDefault="008A7AF2" w:rsidP="00C74A1F">
            <w:r w:rsidRPr="006E16F2">
              <w:t>6</w:t>
            </w:r>
          </w:p>
        </w:tc>
        <w:tc>
          <w:tcPr>
            <w:tcW w:w="4548" w:type="dxa"/>
          </w:tcPr>
          <w:p w14:paraId="122FC13D" w14:textId="3214E2E3" w:rsidR="008A7AF2" w:rsidRPr="006E16F2" w:rsidRDefault="008A7AF2" w:rsidP="00C74A1F">
            <w:r w:rsidRPr="006E16F2">
              <w:t>Recipients of the personal data that you collect and process</w:t>
            </w:r>
          </w:p>
        </w:tc>
        <w:tc>
          <w:tcPr>
            <w:tcW w:w="708" w:type="dxa"/>
          </w:tcPr>
          <w:p w14:paraId="4D1500D9" w14:textId="77777777" w:rsidR="008A7AF2" w:rsidRPr="006E16F2" w:rsidRDefault="008A7AF2" w:rsidP="00C74A1F"/>
        </w:tc>
        <w:tc>
          <w:tcPr>
            <w:tcW w:w="3969" w:type="dxa"/>
          </w:tcPr>
          <w:p w14:paraId="39CE6DCF" w14:textId="77777777" w:rsidR="008A7AF2" w:rsidRPr="006E16F2" w:rsidRDefault="008A7AF2" w:rsidP="00C74A1F"/>
        </w:tc>
      </w:tr>
      <w:tr w:rsidR="008A7AF2" w:rsidRPr="006E16F2" w14:paraId="4564BB16" w14:textId="77777777" w:rsidTr="00F6093F">
        <w:tc>
          <w:tcPr>
            <w:tcW w:w="522" w:type="dxa"/>
          </w:tcPr>
          <w:p w14:paraId="5FCEC1C2" w14:textId="7245CAB4" w:rsidR="008A7AF2" w:rsidRPr="006E16F2" w:rsidRDefault="008A7AF2" w:rsidP="00C74A1F">
            <w:r w:rsidRPr="006E16F2">
              <w:t>7</w:t>
            </w:r>
          </w:p>
        </w:tc>
        <w:tc>
          <w:tcPr>
            <w:tcW w:w="4548" w:type="dxa"/>
          </w:tcPr>
          <w:p w14:paraId="19EC06B2" w14:textId="1041D810" w:rsidR="008A7AF2" w:rsidRPr="006E16F2" w:rsidRDefault="008A7AF2" w:rsidP="00C74A1F">
            <w:r w:rsidRPr="006E16F2">
              <w:t>International transfers and if applicable any safeguards in place</w:t>
            </w:r>
          </w:p>
        </w:tc>
        <w:tc>
          <w:tcPr>
            <w:tcW w:w="708" w:type="dxa"/>
          </w:tcPr>
          <w:p w14:paraId="0EC99EA1" w14:textId="77777777" w:rsidR="008A7AF2" w:rsidRPr="006E16F2" w:rsidRDefault="008A7AF2" w:rsidP="00C74A1F"/>
        </w:tc>
        <w:tc>
          <w:tcPr>
            <w:tcW w:w="3969" w:type="dxa"/>
          </w:tcPr>
          <w:p w14:paraId="67D7304C" w14:textId="77777777" w:rsidR="008A7AF2" w:rsidRPr="006E16F2" w:rsidRDefault="008A7AF2" w:rsidP="00C74A1F"/>
        </w:tc>
      </w:tr>
      <w:tr w:rsidR="008A7AF2" w:rsidRPr="006E16F2" w14:paraId="798B9AA1" w14:textId="77777777" w:rsidTr="00F6093F">
        <w:tc>
          <w:tcPr>
            <w:tcW w:w="522" w:type="dxa"/>
          </w:tcPr>
          <w:p w14:paraId="11F6F826" w14:textId="7A7E5AB1" w:rsidR="008A7AF2" w:rsidRPr="006E16F2" w:rsidRDefault="008A7AF2" w:rsidP="00C74A1F">
            <w:r w:rsidRPr="006E16F2">
              <w:t>8</w:t>
            </w:r>
          </w:p>
        </w:tc>
        <w:tc>
          <w:tcPr>
            <w:tcW w:w="4548" w:type="dxa"/>
          </w:tcPr>
          <w:p w14:paraId="4A9A93AF" w14:textId="2A246B5B" w:rsidR="008A7AF2" w:rsidRPr="006E16F2" w:rsidRDefault="008A7AF2" w:rsidP="00C74A1F">
            <w:r w:rsidRPr="006E16F2">
              <w:t>Retention periods for the data and the criteria for setting that period (for example as set in legislation)</w:t>
            </w:r>
          </w:p>
        </w:tc>
        <w:tc>
          <w:tcPr>
            <w:tcW w:w="708" w:type="dxa"/>
          </w:tcPr>
          <w:p w14:paraId="27207E29" w14:textId="77777777" w:rsidR="008A7AF2" w:rsidRPr="006E16F2" w:rsidRDefault="008A7AF2" w:rsidP="00C74A1F"/>
        </w:tc>
        <w:tc>
          <w:tcPr>
            <w:tcW w:w="3969" w:type="dxa"/>
          </w:tcPr>
          <w:p w14:paraId="2494BFB7" w14:textId="77777777" w:rsidR="008A7AF2" w:rsidRPr="006E16F2" w:rsidRDefault="008A7AF2" w:rsidP="00C74A1F"/>
        </w:tc>
      </w:tr>
      <w:tr w:rsidR="008A7AF2" w:rsidRPr="006E16F2" w14:paraId="61CA28B8" w14:textId="77777777" w:rsidTr="00F6093F">
        <w:tc>
          <w:tcPr>
            <w:tcW w:w="522" w:type="dxa"/>
          </w:tcPr>
          <w:p w14:paraId="4548B172" w14:textId="5C6A2984" w:rsidR="008A7AF2" w:rsidRPr="006E16F2" w:rsidRDefault="008A7AF2" w:rsidP="00C74A1F">
            <w:r w:rsidRPr="006E16F2">
              <w:t>9</w:t>
            </w:r>
          </w:p>
        </w:tc>
        <w:tc>
          <w:tcPr>
            <w:tcW w:w="4548" w:type="dxa"/>
          </w:tcPr>
          <w:p w14:paraId="10CC2D6C" w14:textId="30FEE050" w:rsidR="008A7AF2" w:rsidRPr="006E16F2" w:rsidRDefault="008A7AF2" w:rsidP="00C74A1F">
            <w:r w:rsidRPr="006E16F2">
              <w:t>Right to request rectification, portability and objection</w:t>
            </w:r>
          </w:p>
        </w:tc>
        <w:tc>
          <w:tcPr>
            <w:tcW w:w="708" w:type="dxa"/>
          </w:tcPr>
          <w:p w14:paraId="03F734E5" w14:textId="77777777" w:rsidR="008A7AF2" w:rsidRPr="006E16F2" w:rsidRDefault="008A7AF2" w:rsidP="00C74A1F"/>
        </w:tc>
        <w:tc>
          <w:tcPr>
            <w:tcW w:w="3969" w:type="dxa"/>
          </w:tcPr>
          <w:p w14:paraId="3DB4F28F" w14:textId="77777777" w:rsidR="008A7AF2" w:rsidRPr="006E16F2" w:rsidRDefault="008A7AF2" w:rsidP="00C74A1F"/>
        </w:tc>
      </w:tr>
      <w:tr w:rsidR="008A7AF2" w:rsidRPr="006E16F2" w14:paraId="3603B428" w14:textId="77777777" w:rsidTr="00F6093F">
        <w:tc>
          <w:tcPr>
            <w:tcW w:w="522" w:type="dxa"/>
          </w:tcPr>
          <w:p w14:paraId="097ADD49" w14:textId="6FC79879" w:rsidR="008A7AF2" w:rsidRPr="006E16F2" w:rsidRDefault="008A7AF2" w:rsidP="00C74A1F">
            <w:r w:rsidRPr="006E16F2">
              <w:t>10</w:t>
            </w:r>
          </w:p>
        </w:tc>
        <w:tc>
          <w:tcPr>
            <w:tcW w:w="4548" w:type="dxa"/>
          </w:tcPr>
          <w:p w14:paraId="4987E6ED" w14:textId="29B68FF9" w:rsidR="008A7AF2" w:rsidRPr="006E16F2" w:rsidRDefault="008A7AF2" w:rsidP="00C74A1F">
            <w:r w:rsidRPr="006E16F2">
              <w:t>Right to withdraw consent</w:t>
            </w:r>
          </w:p>
        </w:tc>
        <w:tc>
          <w:tcPr>
            <w:tcW w:w="708" w:type="dxa"/>
          </w:tcPr>
          <w:p w14:paraId="7DB2EEC8" w14:textId="77777777" w:rsidR="008A7AF2" w:rsidRPr="006E16F2" w:rsidRDefault="008A7AF2" w:rsidP="00C74A1F"/>
        </w:tc>
        <w:tc>
          <w:tcPr>
            <w:tcW w:w="3969" w:type="dxa"/>
          </w:tcPr>
          <w:p w14:paraId="5A78EA36" w14:textId="77777777" w:rsidR="008A7AF2" w:rsidRPr="006E16F2" w:rsidRDefault="008A7AF2" w:rsidP="00C74A1F"/>
          <w:p w14:paraId="547F62F2" w14:textId="77777777" w:rsidR="00F6093F" w:rsidRPr="006E16F2" w:rsidRDefault="00F6093F" w:rsidP="00C74A1F"/>
        </w:tc>
      </w:tr>
      <w:tr w:rsidR="008A7AF2" w:rsidRPr="006E16F2" w14:paraId="20733D63" w14:textId="77777777" w:rsidTr="00F6093F">
        <w:tc>
          <w:tcPr>
            <w:tcW w:w="522" w:type="dxa"/>
          </w:tcPr>
          <w:p w14:paraId="24826301" w14:textId="57314CE5" w:rsidR="008A7AF2" w:rsidRPr="006E16F2" w:rsidRDefault="008A7AF2" w:rsidP="00C74A1F">
            <w:r w:rsidRPr="006E16F2">
              <w:t>11</w:t>
            </w:r>
          </w:p>
        </w:tc>
        <w:tc>
          <w:tcPr>
            <w:tcW w:w="4548" w:type="dxa"/>
          </w:tcPr>
          <w:p w14:paraId="391CF661" w14:textId="43AE53A0" w:rsidR="008A7AF2" w:rsidRPr="006E16F2" w:rsidRDefault="008A7AF2" w:rsidP="00C74A1F">
            <w:r w:rsidRPr="006E16F2">
              <w:t>Right to complain to the ICO</w:t>
            </w:r>
          </w:p>
        </w:tc>
        <w:tc>
          <w:tcPr>
            <w:tcW w:w="708" w:type="dxa"/>
          </w:tcPr>
          <w:p w14:paraId="2724B8FD" w14:textId="77777777" w:rsidR="008A7AF2" w:rsidRPr="006E16F2" w:rsidRDefault="008A7AF2" w:rsidP="00C74A1F"/>
        </w:tc>
        <w:tc>
          <w:tcPr>
            <w:tcW w:w="3969" w:type="dxa"/>
          </w:tcPr>
          <w:p w14:paraId="6BBE061C" w14:textId="77777777" w:rsidR="008A7AF2" w:rsidRPr="006E16F2" w:rsidRDefault="008A7AF2" w:rsidP="00C74A1F"/>
          <w:p w14:paraId="46D97BE8" w14:textId="77777777" w:rsidR="00F6093F" w:rsidRPr="006E16F2" w:rsidRDefault="00F6093F" w:rsidP="00C74A1F"/>
        </w:tc>
      </w:tr>
      <w:tr w:rsidR="008A7AF2" w:rsidRPr="006E16F2" w14:paraId="399EE894" w14:textId="77777777" w:rsidTr="00F6093F">
        <w:tc>
          <w:tcPr>
            <w:tcW w:w="522" w:type="dxa"/>
          </w:tcPr>
          <w:p w14:paraId="64173D13" w14:textId="195FDF76" w:rsidR="008A7AF2" w:rsidRPr="006E16F2" w:rsidRDefault="008A7AF2" w:rsidP="00C74A1F">
            <w:r w:rsidRPr="006E16F2">
              <w:t>12</w:t>
            </w:r>
          </w:p>
        </w:tc>
        <w:tc>
          <w:tcPr>
            <w:tcW w:w="4548" w:type="dxa"/>
          </w:tcPr>
          <w:p w14:paraId="6A8EE867" w14:textId="4BB632E4" w:rsidR="008A7AF2" w:rsidRPr="006E16F2" w:rsidRDefault="008A7AF2" w:rsidP="00C74A1F">
            <w:r w:rsidRPr="006E16F2">
              <w:t>Consequence (if any) of failure to supply data</w:t>
            </w:r>
          </w:p>
        </w:tc>
        <w:tc>
          <w:tcPr>
            <w:tcW w:w="708" w:type="dxa"/>
          </w:tcPr>
          <w:p w14:paraId="0776A3D8" w14:textId="77777777" w:rsidR="008A7AF2" w:rsidRPr="006E16F2" w:rsidRDefault="008A7AF2" w:rsidP="00C74A1F"/>
        </w:tc>
        <w:tc>
          <w:tcPr>
            <w:tcW w:w="3969" w:type="dxa"/>
          </w:tcPr>
          <w:p w14:paraId="6D784293" w14:textId="77777777" w:rsidR="008A7AF2" w:rsidRPr="006E16F2" w:rsidRDefault="008A7AF2" w:rsidP="00C74A1F"/>
        </w:tc>
      </w:tr>
      <w:tr w:rsidR="008A7AF2" w:rsidRPr="006E16F2" w14:paraId="6857B786" w14:textId="77777777" w:rsidTr="00F6093F">
        <w:tc>
          <w:tcPr>
            <w:tcW w:w="522" w:type="dxa"/>
          </w:tcPr>
          <w:p w14:paraId="68C78F03" w14:textId="0E0C656C" w:rsidR="008A7AF2" w:rsidRPr="006E16F2" w:rsidRDefault="008A7AF2" w:rsidP="00C74A1F">
            <w:r w:rsidRPr="006E16F2">
              <w:t>13</w:t>
            </w:r>
          </w:p>
        </w:tc>
        <w:tc>
          <w:tcPr>
            <w:tcW w:w="4548" w:type="dxa"/>
          </w:tcPr>
          <w:p w14:paraId="4AC667F1" w14:textId="1E8AFA2C" w:rsidR="008A7AF2" w:rsidRPr="006E16F2" w:rsidRDefault="008A7AF2" w:rsidP="00C74A1F">
            <w:r w:rsidRPr="006E16F2">
              <w:t>Existence of profiling and/or automated decision making</w:t>
            </w:r>
          </w:p>
        </w:tc>
        <w:tc>
          <w:tcPr>
            <w:tcW w:w="708" w:type="dxa"/>
          </w:tcPr>
          <w:p w14:paraId="388E5A13" w14:textId="77777777" w:rsidR="008A7AF2" w:rsidRPr="006E16F2" w:rsidRDefault="008A7AF2" w:rsidP="00C74A1F"/>
        </w:tc>
        <w:tc>
          <w:tcPr>
            <w:tcW w:w="3969" w:type="dxa"/>
          </w:tcPr>
          <w:p w14:paraId="4822565B" w14:textId="77777777" w:rsidR="008A7AF2" w:rsidRPr="006E16F2" w:rsidRDefault="008A7AF2" w:rsidP="00C74A1F"/>
        </w:tc>
      </w:tr>
    </w:tbl>
    <w:p w14:paraId="437F94F9" w14:textId="77777777" w:rsidR="007A1CF6" w:rsidRPr="006E16F2" w:rsidRDefault="007A1CF6" w:rsidP="00570188"/>
    <w:p w14:paraId="67CB65F9" w14:textId="77777777" w:rsidR="00AD1071" w:rsidRPr="006E16F2" w:rsidRDefault="00AD1071" w:rsidP="00570188"/>
    <w:p w14:paraId="34C4F856" w14:textId="595CA7A2" w:rsidR="00D058F4" w:rsidRPr="006E16F2" w:rsidRDefault="00C97D93" w:rsidP="00BB2C7C">
      <w:pPr>
        <w:spacing w:after="200" w:line="276" w:lineRule="auto"/>
        <w:rPr>
          <w:rFonts w:cs="Arial"/>
          <w:sz w:val="22"/>
          <w:szCs w:val="22"/>
        </w:rPr>
        <w:sectPr w:rsidR="00D058F4" w:rsidRPr="006E16F2" w:rsidSect="00875AD7">
          <w:footerReference w:type="default" r:id="rId48"/>
          <w:footerReference w:type="first" r:id="rId49"/>
          <w:pgSz w:w="11906" w:h="16838"/>
          <w:pgMar w:top="1440" w:right="1440" w:bottom="1440" w:left="1440" w:header="709" w:footer="709" w:gutter="0"/>
          <w:cols w:space="708"/>
          <w:docGrid w:linePitch="360"/>
        </w:sectPr>
      </w:pPr>
      <w:bookmarkStart w:id="148" w:name="Appx3"/>
      <w:bookmarkStart w:id="149" w:name="_Toc504999094"/>
      <w:bookmarkStart w:id="150" w:name="_Toc505006053"/>
      <w:bookmarkStart w:id="151" w:name="_Toc505850171"/>
      <w:r w:rsidRPr="006E16F2">
        <w:br w:type="page"/>
      </w:r>
      <w:bookmarkEnd w:id="148"/>
      <w:bookmarkEnd w:id="149"/>
      <w:bookmarkEnd w:id="150"/>
      <w:bookmarkEnd w:id="151"/>
    </w:p>
    <w:p w14:paraId="72EB0A03" w14:textId="42E2900A" w:rsidR="00460833" w:rsidRPr="006E16F2" w:rsidRDefault="00460833" w:rsidP="00460833">
      <w:pPr>
        <w:pStyle w:val="A-head"/>
      </w:pPr>
      <w:bookmarkStart w:id="152" w:name="Appx4"/>
      <w:bookmarkStart w:id="153" w:name="_Toc504999095"/>
      <w:bookmarkStart w:id="154" w:name="_Toc505006054"/>
      <w:bookmarkStart w:id="155" w:name="_Toc505850172"/>
      <w:bookmarkStart w:id="156" w:name="_Toc71537515"/>
      <w:r w:rsidRPr="006E16F2">
        <w:t xml:space="preserve">Appendix </w:t>
      </w:r>
      <w:bookmarkEnd w:id="152"/>
      <w:r w:rsidR="0021791D">
        <w:t>3</w:t>
      </w:r>
      <w:r w:rsidR="0021791D" w:rsidRPr="006E16F2">
        <w:t xml:space="preserve"> </w:t>
      </w:r>
      <w:r w:rsidRPr="006E16F2">
        <w:t xml:space="preserve">– </w:t>
      </w:r>
      <w:r w:rsidR="00F6405D" w:rsidRPr="006E16F2">
        <w:t xml:space="preserve">Checklist for </w:t>
      </w:r>
      <w:r w:rsidR="00DF3B11" w:rsidRPr="006E16F2">
        <w:t>data sharing agreement</w:t>
      </w:r>
      <w:bookmarkEnd w:id="153"/>
      <w:bookmarkEnd w:id="154"/>
      <w:bookmarkEnd w:id="155"/>
      <w:bookmarkEnd w:id="156"/>
      <w:r w:rsidR="00DF3B11" w:rsidRPr="006E16F2">
        <w:t xml:space="preserve"> </w:t>
      </w:r>
    </w:p>
    <w:p w14:paraId="37A1F013" w14:textId="77777777" w:rsidR="00460833" w:rsidRPr="006E16F2" w:rsidRDefault="00460833"/>
    <w:p w14:paraId="0257C2B2" w14:textId="652CFBE4" w:rsidR="00F6405D" w:rsidRPr="006E16F2" w:rsidRDefault="00F6405D"/>
    <w:tbl>
      <w:tblPr>
        <w:tblStyle w:val="TableGrid"/>
        <w:tblW w:w="0" w:type="auto"/>
        <w:tblLook w:val="04A0" w:firstRow="1" w:lastRow="0" w:firstColumn="1" w:lastColumn="0" w:noHBand="0" w:noVBand="1"/>
      </w:tblPr>
      <w:tblGrid>
        <w:gridCol w:w="522"/>
        <w:gridCol w:w="4548"/>
        <w:gridCol w:w="708"/>
        <w:gridCol w:w="3464"/>
      </w:tblGrid>
      <w:tr w:rsidR="003B0388" w:rsidRPr="006E16F2" w14:paraId="7E047AF9" w14:textId="5015B1D9" w:rsidTr="00B00403">
        <w:tc>
          <w:tcPr>
            <w:tcW w:w="522" w:type="dxa"/>
            <w:tcBorders>
              <w:top w:val="single" w:sz="4" w:space="0" w:color="auto"/>
              <w:left w:val="single" w:sz="4" w:space="0" w:color="auto"/>
              <w:bottom w:val="single" w:sz="4" w:space="0" w:color="auto"/>
            </w:tcBorders>
            <w:shd w:val="clear" w:color="auto" w:fill="C6D9F1" w:themeFill="text2" w:themeFillTint="33"/>
          </w:tcPr>
          <w:p w14:paraId="3ED8052E" w14:textId="7BCE372A" w:rsidR="003B0388" w:rsidRPr="006E16F2" w:rsidRDefault="00F7573C">
            <w:r w:rsidRPr="006E16F2">
              <w:t>#</w:t>
            </w:r>
          </w:p>
        </w:tc>
        <w:tc>
          <w:tcPr>
            <w:tcW w:w="4548" w:type="dxa"/>
            <w:shd w:val="clear" w:color="auto" w:fill="C6D9F1" w:themeFill="text2" w:themeFillTint="33"/>
          </w:tcPr>
          <w:p w14:paraId="004B96D2" w14:textId="3C73590E" w:rsidR="003B0388" w:rsidRPr="006E16F2" w:rsidRDefault="003B0388">
            <w:r w:rsidRPr="006E16F2">
              <w:t xml:space="preserve">Element </w:t>
            </w:r>
          </w:p>
        </w:tc>
        <w:tc>
          <w:tcPr>
            <w:tcW w:w="708" w:type="dxa"/>
            <w:shd w:val="clear" w:color="auto" w:fill="C6D9F1" w:themeFill="text2" w:themeFillTint="33"/>
          </w:tcPr>
          <w:p w14:paraId="6EE5B959" w14:textId="302C3199" w:rsidR="003B0388" w:rsidRPr="006E16F2" w:rsidRDefault="003B0388">
            <w:r w:rsidRPr="006E16F2">
              <w:t>Y/N</w:t>
            </w:r>
          </w:p>
        </w:tc>
        <w:tc>
          <w:tcPr>
            <w:tcW w:w="3464" w:type="dxa"/>
            <w:shd w:val="clear" w:color="auto" w:fill="C6D9F1" w:themeFill="text2" w:themeFillTint="33"/>
          </w:tcPr>
          <w:p w14:paraId="6B54BF73" w14:textId="1A083406" w:rsidR="003B0388" w:rsidRPr="006E16F2" w:rsidRDefault="003B0388">
            <w:r w:rsidRPr="006E16F2">
              <w:t>Comments</w:t>
            </w:r>
          </w:p>
        </w:tc>
      </w:tr>
      <w:tr w:rsidR="003B0388" w:rsidRPr="006E16F2" w14:paraId="1276FCD3" w14:textId="0A69AB7E" w:rsidTr="00F7573C">
        <w:tc>
          <w:tcPr>
            <w:tcW w:w="522" w:type="dxa"/>
            <w:tcBorders>
              <w:top w:val="single" w:sz="4" w:space="0" w:color="auto"/>
            </w:tcBorders>
          </w:tcPr>
          <w:p w14:paraId="0CEEA369" w14:textId="2A77874F" w:rsidR="003B0388" w:rsidRPr="006E16F2" w:rsidRDefault="003B0388">
            <w:r w:rsidRPr="006E16F2">
              <w:t>1</w:t>
            </w:r>
          </w:p>
        </w:tc>
        <w:tc>
          <w:tcPr>
            <w:tcW w:w="4548" w:type="dxa"/>
          </w:tcPr>
          <w:p w14:paraId="39FFBDD9" w14:textId="388BBAD6" w:rsidR="003B0388" w:rsidRPr="006E16F2" w:rsidRDefault="003B0388">
            <w:r w:rsidRPr="006E16F2">
              <w:t>Is the purpose of sharing set out in the agreement?</w:t>
            </w:r>
          </w:p>
        </w:tc>
        <w:tc>
          <w:tcPr>
            <w:tcW w:w="708" w:type="dxa"/>
          </w:tcPr>
          <w:p w14:paraId="23230B58" w14:textId="77777777" w:rsidR="003B0388" w:rsidRPr="006E16F2" w:rsidRDefault="003B0388"/>
        </w:tc>
        <w:tc>
          <w:tcPr>
            <w:tcW w:w="3464" w:type="dxa"/>
          </w:tcPr>
          <w:p w14:paraId="12E4C38A" w14:textId="77777777" w:rsidR="003B0388" w:rsidRPr="006E16F2" w:rsidRDefault="003B0388"/>
        </w:tc>
      </w:tr>
      <w:tr w:rsidR="003B0388" w:rsidRPr="006E16F2" w14:paraId="5CEA0D86" w14:textId="1306AA4B" w:rsidTr="003B0388">
        <w:tc>
          <w:tcPr>
            <w:tcW w:w="522" w:type="dxa"/>
          </w:tcPr>
          <w:p w14:paraId="79CDD38F" w14:textId="468EBB8A" w:rsidR="003B0388" w:rsidRPr="006E16F2" w:rsidRDefault="003B0388">
            <w:r w:rsidRPr="006E16F2">
              <w:t>2</w:t>
            </w:r>
          </w:p>
        </w:tc>
        <w:tc>
          <w:tcPr>
            <w:tcW w:w="4548" w:type="dxa"/>
          </w:tcPr>
          <w:p w14:paraId="683A1BE5" w14:textId="0935C1BD" w:rsidR="003B0388" w:rsidRPr="006E16F2" w:rsidRDefault="003B0388" w:rsidP="00E60484">
            <w:r w:rsidRPr="006E16F2">
              <w:t>Is the l</w:t>
            </w:r>
            <w:r w:rsidR="00E60484" w:rsidRPr="006E16F2">
              <w:t>awful</w:t>
            </w:r>
            <w:r w:rsidRPr="006E16F2">
              <w:t xml:space="preserve"> basis for sharing set out in the agreement?</w:t>
            </w:r>
          </w:p>
        </w:tc>
        <w:tc>
          <w:tcPr>
            <w:tcW w:w="708" w:type="dxa"/>
          </w:tcPr>
          <w:p w14:paraId="184CFF47" w14:textId="77777777" w:rsidR="003B0388" w:rsidRPr="006E16F2" w:rsidRDefault="003B0388"/>
        </w:tc>
        <w:tc>
          <w:tcPr>
            <w:tcW w:w="3464" w:type="dxa"/>
          </w:tcPr>
          <w:p w14:paraId="01BFB619" w14:textId="77777777" w:rsidR="003B0388" w:rsidRPr="006E16F2" w:rsidRDefault="003B0388"/>
        </w:tc>
      </w:tr>
      <w:tr w:rsidR="003B0388" w:rsidRPr="006E16F2" w14:paraId="29A399DD" w14:textId="31717158" w:rsidTr="003B0388">
        <w:tc>
          <w:tcPr>
            <w:tcW w:w="522" w:type="dxa"/>
          </w:tcPr>
          <w:p w14:paraId="1A15B981" w14:textId="6CBD6ECD" w:rsidR="003B0388" w:rsidRPr="006E16F2" w:rsidRDefault="003B0388">
            <w:r w:rsidRPr="006E16F2">
              <w:t>3</w:t>
            </w:r>
          </w:p>
        </w:tc>
        <w:tc>
          <w:tcPr>
            <w:tcW w:w="4548" w:type="dxa"/>
          </w:tcPr>
          <w:p w14:paraId="4E7A4BF3" w14:textId="168E7EEC" w:rsidR="003B0388" w:rsidRPr="006E16F2" w:rsidRDefault="003B0388">
            <w:r w:rsidRPr="006E16F2">
              <w:t>Has the necessity of the sharing been assessed?</w:t>
            </w:r>
          </w:p>
        </w:tc>
        <w:tc>
          <w:tcPr>
            <w:tcW w:w="708" w:type="dxa"/>
          </w:tcPr>
          <w:p w14:paraId="44C08B0F" w14:textId="77777777" w:rsidR="003B0388" w:rsidRPr="006E16F2" w:rsidRDefault="003B0388"/>
        </w:tc>
        <w:tc>
          <w:tcPr>
            <w:tcW w:w="3464" w:type="dxa"/>
          </w:tcPr>
          <w:p w14:paraId="6815FAA2" w14:textId="77777777" w:rsidR="003B0388" w:rsidRPr="006E16F2" w:rsidRDefault="003B0388"/>
        </w:tc>
      </w:tr>
      <w:tr w:rsidR="003B0388" w:rsidRPr="006E16F2" w14:paraId="1A9B13F0" w14:textId="48F49967" w:rsidTr="003B0388">
        <w:tc>
          <w:tcPr>
            <w:tcW w:w="522" w:type="dxa"/>
          </w:tcPr>
          <w:p w14:paraId="04527DD8" w14:textId="3A50AE3A" w:rsidR="003B0388" w:rsidRPr="006E16F2" w:rsidRDefault="003B0388">
            <w:r w:rsidRPr="006E16F2">
              <w:t>4</w:t>
            </w:r>
          </w:p>
        </w:tc>
        <w:tc>
          <w:tcPr>
            <w:tcW w:w="4548" w:type="dxa"/>
          </w:tcPr>
          <w:p w14:paraId="6BB270AD" w14:textId="526D4698" w:rsidR="003B0388" w:rsidRPr="006E16F2" w:rsidRDefault="007974F2">
            <w:r w:rsidRPr="006E16F2">
              <w:t>Have provisions for disclosure been identified?</w:t>
            </w:r>
          </w:p>
        </w:tc>
        <w:tc>
          <w:tcPr>
            <w:tcW w:w="708" w:type="dxa"/>
          </w:tcPr>
          <w:p w14:paraId="3799994E" w14:textId="77777777" w:rsidR="003B0388" w:rsidRPr="006E16F2" w:rsidRDefault="003B0388"/>
        </w:tc>
        <w:tc>
          <w:tcPr>
            <w:tcW w:w="3464" w:type="dxa"/>
          </w:tcPr>
          <w:p w14:paraId="6AADE3F3" w14:textId="77777777" w:rsidR="003B0388" w:rsidRPr="006E16F2" w:rsidRDefault="003B0388"/>
        </w:tc>
      </w:tr>
      <w:tr w:rsidR="003B0388" w:rsidRPr="006E16F2" w14:paraId="1465AC17" w14:textId="0443F24E" w:rsidTr="003B0388">
        <w:tc>
          <w:tcPr>
            <w:tcW w:w="522" w:type="dxa"/>
          </w:tcPr>
          <w:p w14:paraId="4A58A66B" w14:textId="4438B55F" w:rsidR="003B0388" w:rsidRPr="006E16F2" w:rsidRDefault="003B0388">
            <w:r w:rsidRPr="006E16F2">
              <w:t>5</w:t>
            </w:r>
          </w:p>
        </w:tc>
        <w:tc>
          <w:tcPr>
            <w:tcW w:w="4548" w:type="dxa"/>
          </w:tcPr>
          <w:p w14:paraId="45F5349B" w14:textId="16D6235F" w:rsidR="003B0388" w:rsidRPr="006E16F2" w:rsidRDefault="003B0388">
            <w:r w:rsidRPr="006E16F2">
              <w:t>Are the organisations signing up to the protocol named in the document?</w:t>
            </w:r>
          </w:p>
        </w:tc>
        <w:tc>
          <w:tcPr>
            <w:tcW w:w="708" w:type="dxa"/>
          </w:tcPr>
          <w:p w14:paraId="6AF00110" w14:textId="77777777" w:rsidR="003B0388" w:rsidRPr="006E16F2" w:rsidRDefault="003B0388"/>
        </w:tc>
        <w:tc>
          <w:tcPr>
            <w:tcW w:w="3464" w:type="dxa"/>
          </w:tcPr>
          <w:p w14:paraId="3DB340A0" w14:textId="77777777" w:rsidR="003B0388" w:rsidRPr="006E16F2" w:rsidRDefault="003B0388"/>
        </w:tc>
      </w:tr>
      <w:tr w:rsidR="003B0388" w:rsidRPr="006E16F2" w14:paraId="126A0242" w14:textId="3D711CFA" w:rsidTr="003B0388">
        <w:tc>
          <w:tcPr>
            <w:tcW w:w="522" w:type="dxa"/>
          </w:tcPr>
          <w:p w14:paraId="1B87A9C7" w14:textId="4E92D03B" w:rsidR="003B0388" w:rsidRPr="006E16F2" w:rsidRDefault="003B0388">
            <w:r w:rsidRPr="006E16F2">
              <w:t>6</w:t>
            </w:r>
          </w:p>
        </w:tc>
        <w:tc>
          <w:tcPr>
            <w:tcW w:w="4548" w:type="dxa"/>
          </w:tcPr>
          <w:p w14:paraId="3E88EC58" w14:textId="3017B05B" w:rsidR="003B0388" w:rsidRPr="006E16F2" w:rsidRDefault="003B0388">
            <w:r w:rsidRPr="006E16F2">
              <w:t>Is the data to be shared described in detail?</w:t>
            </w:r>
          </w:p>
        </w:tc>
        <w:tc>
          <w:tcPr>
            <w:tcW w:w="708" w:type="dxa"/>
          </w:tcPr>
          <w:p w14:paraId="25DFB686" w14:textId="77777777" w:rsidR="003B0388" w:rsidRPr="006E16F2" w:rsidRDefault="003B0388"/>
        </w:tc>
        <w:tc>
          <w:tcPr>
            <w:tcW w:w="3464" w:type="dxa"/>
          </w:tcPr>
          <w:p w14:paraId="37717491" w14:textId="77777777" w:rsidR="003B0388" w:rsidRPr="006E16F2" w:rsidRDefault="003B0388"/>
        </w:tc>
      </w:tr>
      <w:tr w:rsidR="003B0388" w:rsidRPr="006E16F2" w14:paraId="12FEC8BC" w14:textId="5BE1DD00" w:rsidTr="003B0388">
        <w:tc>
          <w:tcPr>
            <w:tcW w:w="522" w:type="dxa"/>
          </w:tcPr>
          <w:p w14:paraId="07E54DB6" w14:textId="714B55A7" w:rsidR="003B0388" w:rsidRPr="006E16F2" w:rsidRDefault="003B0388">
            <w:r w:rsidRPr="006E16F2">
              <w:t>7</w:t>
            </w:r>
          </w:p>
        </w:tc>
        <w:tc>
          <w:tcPr>
            <w:tcW w:w="4548" w:type="dxa"/>
          </w:tcPr>
          <w:p w14:paraId="02E2E748" w14:textId="5BE34FE3" w:rsidR="003B0388" w:rsidRPr="006E16F2" w:rsidRDefault="003B0388">
            <w:r w:rsidRPr="006E16F2">
              <w:t>Is the method for the sharing specific, including nominated people/roles who need to send/receive the data?</w:t>
            </w:r>
          </w:p>
        </w:tc>
        <w:tc>
          <w:tcPr>
            <w:tcW w:w="708" w:type="dxa"/>
          </w:tcPr>
          <w:p w14:paraId="55CF766B" w14:textId="77777777" w:rsidR="003B0388" w:rsidRPr="006E16F2" w:rsidRDefault="003B0388"/>
        </w:tc>
        <w:tc>
          <w:tcPr>
            <w:tcW w:w="3464" w:type="dxa"/>
          </w:tcPr>
          <w:p w14:paraId="02E837D3" w14:textId="77777777" w:rsidR="003B0388" w:rsidRPr="006E16F2" w:rsidRDefault="003B0388"/>
        </w:tc>
      </w:tr>
      <w:tr w:rsidR="003B0388" w:rsidRPr="006E16F2" w14:paraId="45F8D282" w14:textId="269AB194" w:rsidTr="003B0388">
        <w:tc>
          <w:tcPr>
            <w:tcW w:w="522" w:type="dxa"/>
          </w:tcPr>
          <w:p w14:paraId="4BA20E73" w14:textId="7221C8EC" w:rsidR="003B0388" w:rsidRPr="006E16F2" w:rsidRDefault="003B0388" w:rsidP="00096EA9">
            <w:r w:rsidRPr="006E16F2">
              <w:t>8</w:t>
            </w:r>
          </w:p>
        </w:tc>
        <w:tc>
          <w:tcPr>
            <w:tcW w:w="4548" w:type="dxa"/>
          </w:tcPr>
          <w:p w14:paraId="23112C98" w14:textId="2D5CC701" w:rsidR="003B0388" w:rsidRPr="006E16F2" w:rsidRDefault="003B0388" w:rsidP="00096EA9">
            <w:r w:rsidRPr="006E16F2">
              <w:t xml:space="preserve">Is when and how often the data </w:t>
            </w:r>
            <w:r w:rsidR="007974F2" w:rsidRPr="006E16F2">
              <w:t xml:space="preserve">is </w:t>
            </w:r>
            <w:r w:rsidRPr="006E16F2">
              <w:t>to be shared set out?</w:t>
            </w:r>
          </w:p>
        </w:tc>
        <w:tc>
          <w:tcPr>
            <w:tcW w:w="708" w:type="dxa"/>
          </w:tcPr>
          <w:p w14:paraId="64E87C63" w14:textId="77777777" w:rsidR="003B0388" w:rsidRPr="006E16F2" w:rsidRDefault="003B0388" w:rsidP="00096EA9"/>
        </w:tc>
        <w:tc>
          <w:tcPr>
            <w:tcW w:w="3464" w:type="dxa"/>
          </w:tcPr>
          <w:p w14:paraId="179B48D8" w14:textId="77777777" w:rsidR="003B0388" w:rsidRPr="006E16F2" w:rsidRDefault="003B0388" w:rsidP="00096EA9"/>
        </w:tc>
      </w:tr>
      <w:tr w:rsidR="003B0388" w:rsidRPr="006E16F2" w14:paraId="5D146CAF" w14:textId="2042CACC" w:rsidTr="003B0388">
        <w:tc>
          <w:tcPr>
            <w:tcW w:w="522" w:type="dxa"/>
          </w:tcPr>
          <w:p w14:paraId="75B09852" w14:textId="1525FD19" w:rsidR="003B0388" w:rsidRPr="006E16F2" w:rsidRDefault="003B0388" w:rsidP="00096EA9">
            <w:r w:rsidRPr="006E16F2">
              <w:t>9</w:t>
            </w:r>
          </w:p>
        </w:tc>
        <w:tc>
          <w:tcPr>
            <w:tcW w:w="4548" w:type="dxa"/>
          </w:tcPr>
          <w:p w14:paraId="12D06C7D" w14:textId="3F29308B" w:rsidR="003B0388" w:rsidRPr="006E16F2" w:rsidRDefault="003B0388" w:rsidP="00096EA9">
            <w:r w:rsidRPr="006E16F2">
              <w:t>Have the risks of sharing been documented?</w:t>
            </w:r>
          </w:p>
        </w:tc>
        <w:tc>
          <w:tcPr>
            <w:tcW w:w="708" w:type="dxa"/>
          </w:tcPr>
          <w:p w14:paraId="60DEC40F" w14:textId="77777777" w:rsidR="003B0388" w:rsidRPr="006E16F2" w:rsidRDefault="003B0388" w:rsidP="00096EA9"/>
        </w:tc>
        <w:tc>
          <w:tcPr>
            <w:tcW w:w="3464" w:type="dxa"/>
          </w:tcPr>
          <w:p w14:paraId="3D6AA94F" w14:textId="77777777" w:rsidR="003B0388" w:rsidRPr="006E16F2" w:rsidRDefault="003B0388" w:rsidP="00096EA9"/>
        </w:tc>
      </w:tr>
      <w:tr w:rsidR="003B0388" w:rsidRPr="006E16F2" w14:paraId="6080ADB8" w14:textId="50ACE631" w:rsidTr="003B0388">
        <w:tc>
          <w:tcPr>
            <w:tcW w:w="522" w:type="dxa"/>
          </w:tcPr>
          <w:p w14:paraId="739A4B5D" w14:textId="6D6B6931" w:rsidR="003B0388" w:rsidRPr="006E16F2" w:rsidRDefault="003B0388" w:rsidP="00096EA9">
            <w:r w:rsidRPr="006E16F2">
              <w:t>10</w:t>
            </w:r>
          </w:p>
        </w:tc>
        <w:tc>
          <w:tcPr>
            <w:tcW w:w="4548" w:type="dxa"/>
          </w:tcPr>
          <w:p w14:paraId="014A2E2B" w14:textId="5669ED79" w:rsidR="003B0388" w:rsidRPr="006E16F2" w:rsidRDefault="003B0388" w:rsidP="00096EA9">
            <w:r w:rsidRPr="006E16F2">
              <w:t>Are security measures documented?</w:t>
            </w:r>
          </w:p>
        </w:tc>
        <w:tc>
          <w:tcPr>
            <w:tcW w:w="708" w:type="dxa"/>
          </w:tcPr>
          <w:p w14:paraId="0013ECB5" w14:textId="77777777" w:rsidR="003B0388" w:rsidRPr="006E16F2" w:rsidRDefault="003B0388" w:rsidP="00096EA9"/>
          <w:p w14:paraId="15D9D302" w14:textId="77777777" w:rsidR="00C10536" w:rsidRPr="006E16F2" w:rsidRDefault="00C10536" w:rsidP="00096EA9"/>
        </w:tc>
        <w:tc>
          <w:tcPr>
            <w:tcW w:w="3464" w:type="dxa"/>
          </w:tcPr>
          <w:p w14:paraId="1407D3A6" w14:textId="77777777" w:rsidR="003B0388" w:rsidRPr="006E16F2" w:rsidRDefault="003B0388" w:rsidP="00096EA9"/>
        </w:tc>
      </w:tr>
      <w:tr w:rsidR="003B0388" w:rsidRPr="006E16F2" w14:paraId="3F313953" w14:textId="5CCFBFF1" w:rsidTr="003B0388">
        <w:tc>
          <w:tcPr>
            <w:tcW w:w="522" w:type="dxa"/>
          </w:tcPr>
          <w:p w14:paraId="439567D0" w14:textId="4CAF7715" w:rsidR="003B0388" w:rsidRPr="006E16F2" w:rsidRDefault="003B0388" w:rsidP="00096EA9">
            <w:r w:rsidRPr="006E16F2">
              <w:t>11</w:t>
            </w:r>
          </w:p>
        </w:tc>
        <w:tc>
          <w:tcPr>
            <w:tcW w:w="4548" w:type="dxa"/>
          </w:tcPr>
          <w:p w14:paraId="55BC7160" w14:textId="11420FCC" w:rsidR="003B0388" w:rsidRPr="006E16F2" w:rsidRDefault="003B0388" w:rsidP="00096EA9">
            <w:r w:rsidRPr="006E16F2">
              <w:t>Has each organisation checked/updated their privacy notice?</w:t>
            </w:r>
          </w:p>
        </w:tc>
        <w:tc>
          <w:tcPr>
            <w:tcW w:w="708" w:type="dxa"/>
          </w:tcPr>
          <w:p w14:paraId="39564F69" w14:textId="77777777" w:rsidR="003B0388" w:rsidRPr="006E16F2" w:rsidRDefault="003B0388" w:rsidP="00096EA9"/>
        </w:tc>
        <w:tc>
          <w:tcPr>
            <w:tcW w:w="3464" w:type="dxa"/>
          </w:tcPr>
          <w:p w14:paraId="29035F30" w14:textId="77777777" w:rsidR="003B0388" w:rsidRPr="006E16F2" w:rsidRDefault="003B0388" w:rsidP="00096EA9"/>
        </w:tc>
      </w:tr>
      <w:tr w:rsidR="003B0388" w:rsidRPr="006E16F2" w14:paraId="601E744F" w14:textId="455C2C88" w:rsidTr="003B0388">
        <w:tc>
          <w:tcPr>
            <w:tcW w:w="522" w:type="dxa"/>
          </w:tcPr>
          <w:p w14:paraId="5E70F83F" w14:textId="02784B42" w:rsidR="003B0388" w:rsidRPr="006E16F2" w:rsidRDefault="003B0388" w:rsidP="00096EA9">
            <w:r w:rsidRPr="006E16F2">
              <w:t>12</w:t>
            </w:r>
          </w:p>
        </w:tc>
        <w:tc>
          <w:tcPr>
            <w:tcW w:w="4548" w:type="dxa"/>
          </w:tcPr>
          <w:p w14:paraId="2EF07396" w14:textId="22C4BEB4" w:rsidR="003B0388" w:rsidRPr="006E16F2" w:rsidRDefault="003B0388" w:rsidP="00096EA9">
            <w:r w:rsidRPr="006E16F2">
              <w:t>Will any data be transferred outside the EEA, including hosting arrangements, and is this documented?</w:t>
            </w:r>
          </w:p>
        </w:tc>
        <w:tc>
          <w:tcPr>
            <w:tcW w:w="708" w:type="dxa"/>
          </w:tcPr>
          <w:p w14:paraId="598F0E25" w14:textId="77777777" w:rsidR="003B0388" w:rsidRPr="006E16F2" w:rsidRDefault="003B0388" w:rsidP="00096EA9"/>
        </w:tc>
        <w:tc>
          <w:tcPr>
            <w:tcW w:w="3464" w:type="dxa"/>
          </w:tcPr>
          <w:p w14:paraId="7C25397D" w14:textId="77777777" w:rsidR="003B0388" w:rsidRPr="006E16F2" w:rsidRDefault="003B0388" w:rsidP="00096EA9"/>
        </w:tc>
      </w:tr>
      <w:tr w:rsidR="003B0388" w:rsidRPr="006E16F2" w14:paraId="4162AF2A" w14:textId="35EEEDEA" w:rsidTr="003B0388">
        <w:tc>
          <w:tcPr>
            <w:tcW w:w="522" w:type="dxa"/>
          </w:tcPr>
          <w:p w14:paraId="0B60F6DC" w14:textId="5BEBC24C" w:rsidR="003B0388" w:rsidRPr="006E16F2" w:rsidRDefault="003B0388" w:rsidP="00096EA9">
            <w:r w:rsidRPr="006E16F2">
              <w:t>13</w:t>
            </w:r>
          </w:p>
        </w:tc>
        <w:tc>
          <w:tcPr>
            <w:tcW w:w="4548" w:type="dxa"/>
          </w:tcPr>
          <w:p w14:paraId="21EB0893" w14:textId="3A757DC1" w:rsidR="003B0388" w:rsidRPr="006E16F2" w:rsidRDefault="003B0388" w:rsidP="006A113D">
            <w:r w:rsidRPr="006E16F2">
              <w:t>Has the process for inform</w:t>
            </w:r>
            <w:r w:rsidR="006A113D" w:rsidRPr="006E16F2">
              <w:t>ing</w:t>
            </w:r>
            <w:r w:rsidRPr="006E16F2">
              <w:t xml:space="preserve"> the data subjects been identified?  Is there an exemption?</w:t>
            </w:r>
          </w:p>
        </w:tc>
        <w:tc>
          <w:tcPr>
            <w:tcW w:w="708" w:type="dxa"/>
          </w:tcPr>
          <w:p w14:paraId="50B4C126" w14:textId="77777777" w:rsidR="003B0388" w:rsidRPr="006E16F2" w:rsidRDefault="003B0388" w:rsidP="00096EA9"/>
        </w:tc>
        <w:tc>
          <w:tcPr>
            <w:tcW w:w="3464" w:type="dxa"/>
          </w:tcPr>
          <w:p w14:paraId="2A29FF34" w14:textId="77777777" w:rsidR="003B0388" w:rsidRPr="006E16F2" w:rsidRDefault="003B0388" w:rsidP="00096EA9"/>
        </w:tc>
      </w:tr>
      <w:tr w:rsidR="003B0388" w:rsidRPr="006E16F2" w14:paraId="5383A880" w14:textId="07606A45" w:rsidTr="003B0388">
        <w:tc>
          <w:tcPr>
            <w:tcW w:w="522" w:type="dxa"/>
          </w:tcPr>
          <w:p w14:paraId="01E6A85E" w14:textId="7E89B49A" w:rsidR="003B0388" w:rsidRPr="006E16F2" w:rsidRDefault="003B0388" w:rsidP="00096EA9">
            <w:r w:rsidRPr="006E16F2">
              <w:t>14</w:t>
            </w:r>
          </w:p>
        </w:tc>
        <w:tc>
          <w:tcPr>
            <w:tcW w:w="4548" w:type="dxa"/>
          </w:tcPr>
          <w:p w14:paraId="08D5C3EA" w14:textId="48C572FF" w:rsidR="003B0388" w:rsidRPr="006E16F2" w:rsidRDefault="003B0388" w:rsidP="00096EA9">
            <w:r w:rsidRPr="006E16F2">
              <w:t>Does the agreement include provision for data quality to be confirmed before sharing?</w:t>
            </w:r>
          </w:p>
        </w:tc>
        <w:tc>
          <w:tcPr>
            <w:tcW w:w="708" w:type="dxa"/>
          </w:tcPr>
          <w:p w14:paraId="0BC9B078" w14:textId="77777777" w:rsidR="003B0388" w:rsidRPr="006E16F2" w:rsidRDefault="003B0388" w:rsidP="00096EA9"/>
        </w:tc>
        <w:tc>
          <w:tcPr>
            <w:tcW w:w="3464" w:type="dxa"/>
          </w:tcPr>
          <w:p w14:paraId="18D998FC" w14:textId="77777777" w:rsidR="003B0388" w:rsidRPr="006E16F2" w:rsidRDefault="003B0388" w:rsidP="00096EA9"/>
        </w:tc>
      </w:tr>
      <w:tr w:rsidR="003B0388" w:rsidRPr="006E16F2" w14:paraId="4F281D34" w14:textId="4646940D" w:rsidTr="003B0388">
        <w:tc>
          <w:tcPr>
            <w:tcW w:w="522" w:type="dxa"/>
          </w:tcPr>
          <w:p w14:paraId="7CE41AEE" w14:textId="03E2645F" w:rsidR="003B0388" w:rsidRPr="006E16F2" w:rsidRDefault="003B0388" w:rsidP="00096EA9">
            <w:r w:rsidRPr="006E16F2">
              <w:t>15</w:t>
            </w:r>
          </w:p>
        </w:tc>
        <w:tc>
          <w:tcPr>
            <w:tcW w:w="4548" w:type="dxa"/>
          </w:tcPr>
          <w:p w14:paraId="55EA0D01" w14:textId="673FD7FD" w:rsidR="003B0388" w:rsidRPr="006E16F2" w:rsidRDefault="003B0388" w:rsidP="00096EA9">
            <w:r w:rsidRPr="006E16F2">
              <w:t>Does the agreement include procedures for subject access requests, complaints and queries from data subjects?</w:t>
            </w:r>
          </w:p>
        </w:tc>
        <w:tc>
          <w:tcPr>
            <w:tcW w:w="708" w:type="dxa"/>
          </w:tcPr>
          <w:p w14:paraId="0F01B276" w14:textId="77777777" w:rsidR="003B0388" w:rsidRPr="006E16F2" w:rsidRDefault="003B0388" w:rsidP="00096EA9"/>
        </w:tc>
        <w:tc>
          <w:tcPr>
            <w:tcW w:w="3464" w:type="dxa"/>
          </w:tcPr>
          <w:p w14:paraId="1CAA804E" w14:textId="77777777" w:rsidR="003B0388" w:rsidRPr="006E16F2" w:rsidRDefault="003B0388" w:rsidP="00096EA9"/>
        </w:tc>
      </w:tr>
      <w:tr w:rsidR="003B0388" w:rsidRPr="006E16F2" w14:paraId="275B1491" w14:textId="4172926A" w:rsidTr="003B0388">
        <w:tc>
          <w:tcPr>
            <w:tcW w:w="522" w:type="dxa"/>
          </w:tcPr>
          <w:p w14:paraId="50F5208B" w14:textId="1F313DB2" w:rsidR="003B0388" w:rsidRPr="006E16F2" w:rsidRDefault="003B0388" w:rsidP="00096EA9">
            <w:r w:rsidRPr="006E16F2">
              <w:t>16</w:t>
            </w:r>
          </w:p>
        </w:tc>
        <w:tc>
          <w:tcPr>
            <w:tcW w:w="4548" w:type="dxa"/>
          </w:tcPr>
          <w:p w14:paraId="66EE475D" w14:textId="00CFABAA" w:rsidR="003B0388" w:rsidRPr="006E16F2" w:rsidRDefault="003B0388" w:rsidP="00096EA9">
            <w:r w:rsidRPr="006E16F2">
              <w:t>Does the agreement include specifications for staff training?</w:t>
            </w:r>
          </w:p>
        </w:tc>
        <w:tc>
          <w:tcPr>
            <w:tcW w:w="708" w:type="dxa"/>
          </w:tcPr>
          <w:p w14:paraId="5E34B6F1" w14:textId="77777777" w:rsidR="003B0388" w:rsidRPr="006E16F2" w:rsidRDefault="003B0388" w:rsidP="00096EA9"/>
        </w:tc>
        <w:tc>
          <w:tcPr>
            <w:tcW w:w="3464" w:type="dxa"/>
          </w:tcPr>
          <w:p w14:paraId="6367B543" w14:textId="77777777" w:rsidR="003B0388" w:rsidRPr="006E16F2" w:rsidRDefault="003B0388" w:rsidP="00096EA9"/>
        </w:tc>
      </w:tr>
      <w:tr w:rsidR="003B0388" w:rsidRPr="006E16F2" w14:paraId="5CE2C047" w14:textId="118D351C" w:rsidTr="003B0388">
        <w:tc>
          <w:tcPr>
            <w:tcW w:w="522" w:type="dxa"/>
          </w:tcPr>
          <w:p w14:paraId="6C30D06C" w14:textId="3F189D72" w:rsidR="003B0388" w:rsidRPr="006E16F2" w:rsidRDefault="003B0388" w:rsidP="00096EA9">
            <w:r w:rsidRPr="006E16F2">
              <w:t>17</w:t>
            </w:r>
          </w:p>
        </w:tc>
        <w:tc>
          <w:tcPr>
            <w:tcW w:w="4548" w:type="dxa"/>
          </w:tcPr>
          <w:p w14:paraId="27B89F98" w14:textId="6D2B5E29" w:rsidR="003B0388" w:rsidRPr="006E16F2" w:rsidRDefault="003B0388" w:rsidP="00096EA9">
            <w:r w:rsidRPr="006E16F2">
              <w:t>Does the agreement include sanctions for failing to comply with the agreement?</w:t>
            </w:r>
          </w:p>
        </w:tc>
        <w:tc>
          <w:tcPr>
            <w:tcW w:w="708" w:type="dxa"/>
          </w:tcPr>
          <w:p w14:paraId="70CF5452" w14:textId="77777777" w:rsidR="003B0388" w:rsidRPr="006E16F2" w:rsidRDefault="003B0388" w:rsidP="00096EA9"/>
        </w:tc>
        <w:tc>
          <w:tcPr>
            <w:tcW w:w="3464" w:type="dxa"/>
          </w:tcPr>
          <w:p w14:paraId="713B3C3A" w14:textId="77777777" w:rsidR="003B0388" w:rsidRPr="006E16F2" w:rsidRDefault="003B0388" w:rsidP="00096EA9"/>
        </w:tc>
      </w:tr>
      <w:tr w:rsidR="003B0388" w:rsidRPr="006E16F2" w14:paraId="0825CF89" w14:textId="59A6C38B" w:rsidTr="003B0388">
        <w:tc>
          <w:tcPr>
            <w:tcW w:w="522" w:type="dxa"/>
          </w:tcPr>
          <w:p w14:paraId="01F7529E" w14:textId="2E5CF8B4" w:rsidR="003B0388" w:rsidRPr="006E16F2" w:rsidRDefault="003B0388" w:rsidP="00096EA9">
            <w:r w:rsidRPr="006E16F2">
              <w:t>18</w:t>
            </w:r>
          </w:p>
        </w:tc>
        <w:tc>
          <w:tcPr>
            <w:tcW w:w="4548" w:type="dxa"/>
          </w:tcPr>
          <w:p w14:paraId="08291D51" w14:textId="17C60D18" w:rsidR="003B0388" w:rsidRPr="006E16F2" w:rsidRDefault="003B0388" w:rsidP="00096EA9">
            <w:r w:rsidRPr="006E16F2">
              <w:t>Does the agreement include procedures for dealing with breaches?</w:t>
            </w:r>
          </w:p>
        </w:tc>
        <w:tc>
          <w:tcPr>
            <w:tcW w:w="708" w:type="dxa"/>
          </w:tcPr>
          <w:p w14:paraId="2C565C75" w14:textId="77777777" w:rsidR="003B0388" w:rsidRPr="006E16F2" w:rsidRDefault="003B0388" w:rsidP="00096EA9"/>
        </w:tc>
        <w:tc>
          <w:tcPr>
            <w:tcW w:w="3464" w:type="dxa"/>
          </w:tcPr>
          <w:p w14:paraId="6DA888A1" w14:textId="77777777" w:rsidR="003B0388" w:rsidRPr="006E16F2" w:rsidRDefault="003B0388" w:rsidP="00096EA9"/>
        </w:tc>
      </w:tr>
      <w:tr w:rsidR="003B0388" w:rsidRPr="006E16F2" w14:paraId="0DDA118E" w14:textId="21A2CF47" w:rsidTr="003B0388">
        <w:tc>
          <w:tcPr>
            <w:tcW w:w="522" w:type="dxa"/>
          </w:tcPr>
          <w:p w14:paraId="2D977999" w14:textId="3FBDE682" w:rsidR="003B0388" w:rsidRPr="006E16F2" w:rsidRDefault="003B0388" w:rsidP="00096EA9">
            <w:r w:rsidRPr="006E16F2">
              <w:t>19</w:t>
            </w:r>
          </w:p>
        </w:tc>
        <w:tc>
          <w:tcPr>
            <w:tcW w:w="4548" w:type="dxa"/>
          </w:tcPr>
          <w:p w14:paraId="2720B4F8" w14:textId="3A7350AD" w:rsidR="003B0388" w:rsidRPr="006E16F2" w:rsidRDefault="003B0388" w:rsidP="00096EA9">
            <w:r w:rsidRPr="006E16F2">
              <w:t>Is the nature of security breaches clearly defined?</w:t>
            </w:r>
          </w:p>
        </w:tc>
        <w:tc>
          <w:tcPr>
            <w:tcW w:w="708" w:type="dxa"/>
          </w:tcPr>
          <w:p w14:paraId="2CCB49C7" w14:textId="77777777" w:rsidR="003B0388" w:rsidRPr="006E16F2" w:rsidRDefault="003B0388" w:rsidP="00096EA9"/>
        </w:tc>
        <w:tc>
          <w:tcPr>
            <w:tcW w:w="3464" w:type="dxa"/>
          </w:tcPr>
          <w:p w14:paraId="7DF6A816" w14:textId="77777777" w:rsidR="003B0388" w:rsidRPr="006E16F2" w:rsidRDefault="003B0388" w:rsidP="00096EA9"/>
        </w:tc>
      </w:tr>
      <w:tr w:rsidR="003B0388" w:rsidRPr="006E16F2" w14:paraId="34A8966E" w14:textId="3B8787B9" w:rsidTr="003B0388">
        <w:tc>
          <w:tcPr>
            <w:tcW w:w="522" w:type="dxa"/>
          </w:tcPr>
          <w:p w14:paraId="01E01D8A" w14:textId="7340F040" w:rsidR="003B0388" w:rsidRPr="006E16F2" w:rsidRDefault="003B0388" w:rsidP="00096EA9">
            <w:r w:rsidRPr="006E16F2">
              <w:t>20</w:t>
            </w:r>
          </w:p>
        </w:tc>
        <w:tc>
          <w:tcPr>
            <w:tcW w:w="4548" w:type="dxa"/>
          </w:tcPr>
          <w:p w14:paraId="0DD9E1A8" w14:textId="24C2C331" w:rsidR="003B0388" w:rsidRPr="006E16F2" w:rsidRDefault="003B0388" w:rsidP="00096EA9">
            <w:r w:rsidRPr="006E16F2">
              <w:t>Is there a mechanism for checking the effectives of the agreement?</w:t>
            </w:r>
          </w:p>
        </w:tc>
        <w:tc>
          <w:tcPr>
            <w:tcW w:w="708" w:type="dxa"/>
          </w:tcPr>
          <w:p w14:paraId="7AB2B3CC" w14:textId="77777777" w:rsidR="003B0388" w:rsidRPr="006E16F2" w:rsidRDefault="003B0388" w:rsidP="00096EA9"/>
        </w:tc>
        <w:tc>
          <w:tcPr>
            <w:tcW w:w="3464" w:type="dxa"/>
          </w:tcPr>
          <w:p w14:paraId="596EA8C2" w14:textId="77777777" w:rsidR="003B0388" w:rsidRPr="006E16F2" w:rsidRDefault="003B0388" w:rsidP="00096EA9"/>
        </w:tc>
      </w:tr>
      <w:tr w:rsidR="003B0388" w:rsidRPr="006E16F2" w14:paraId="04D21D35" w14:textId="2C547ED5" w:rsidTr="003B0388">
        <w:tc>
          <w:tcPr>
            <w:tcW w:w="522" w:type="dxa"/>
          </w:tcPr>
          <w:p w14:paraId="429FB8AD" w14:textId="1D4DBE17" w:rsidR="003B0388" w:rsidRPr="006E16F2" w:rsidRDefault="003B0388" w:rsidP="00096EA9">
            <w:r w:rsidRPr="006E16F2">
              <w:t>21</w:t>
            </w:r>
          </w:p>
        </w:tc>
        <w:tc>
          <w:tcPr>
            <w:tcW w:w="4548" w:type="dxa"/>
          </w:tcPr>
          <w:p w14:paraId="047C9FF7" w14:textId="3B65C587" w:rsidR="003B0388" w:rsidRPr="006E16F2" w:rsidRDefault="003B0388" w:rsidP="00096EA9">
            <w:r w:rsidRPr="006E16F2">
              <w:t>Does the agreement set out how it can be terminated?</w:t>
            </w:r>
          </w:p>
        </w:tc>
        <w:tc>
          <w:tcPr>
            <w:tcW w:w="708" w:type="dxa"/>
          </w:tcPr>
          <w:p w14:paraId="3C117569" w14:textId="77777777" w:rsidR="003B0388" w:rsidRPr="006E16F2" w:rsidRDefault="003B0388" w:rsidP="00096EA9"/>
        </w:tc>
        <w:tc>
          <w:tcPr>
            <w:tcW w:w="3464" w:type="dxa"/>
          </w:tcPr>
          <w:p w14:paraId="40927856" w14:textId="77777777" w:rsidR="003B0388" w:rsidRPr="006E16F2" w:rsidRDefault="003B0388" w:rsidP="00096EA9"/>
        </w:tc>
      </w:tr>
      <w:tr w:rsidR="003B0388" w:rsidRPr="006E16F2" w14:paraId="3ABE4A0F" w14:textId="35D6C099" w:rsidTr="003B0388">
        <w:tc>
          <w:tcPr>
            <w:tcW w:w="522" w:type="dxa"/>
          </w:tcPr>
          <w:p w14:paraId="0BB7287D" w14:textId="4A822EFA" w:rsidR="003B0388" w:rsidRPr="006E16F2" w:rsidRDefault="003B0388" w:rsidP="00096EA9">
            <w:r w:rsidRPr="006E16F2">
              <w:t>22</w:t>
            </w:r>
          </w:p>
        </w:tc>
        <w:tc>
          <w:tcPr>
            <w:tcW w:w="4548" w:type="dxa"/>
          </w:tcPr>
          <w:p w14:paraId="0C98F9A9" w14:textId="33CAA786" w:rsidR="003B0388" w:rsidRPr="006E16F2" w:rsidRDefault="003B0388" w:rsidP="003B0388">
            <w:r w:rsidRPr="006E16F2">
              <w:t>Does the agreement set out the basis for review, particularly in relation to the necessity of the data sharing?</w:t>
            </w:r>
          </w:p>
        </w:tc>
        <w:tc>
          <w:tcPr>
            <w:tcW w:w="708" w:type="dxa"/>
          </w:tcPr>
          <w:p w14:paraId="63AE8F5A" w14:textId="77777777" w:rsidR="003B0388" w:rsidRPr="006E16F2" w:rsidRDefault="003B0388" w:rsidP="00096EA9"/>
        </w:tc>
        <w:tc>
          <w:tcPr>
            <w:tcW w:w="3464" w:type="dxa"/>
          </w:tcPr>
          <w:p w14:paraId="0AA77E6F" w14:textId="77777777" w:rsidR="003B0388" w:rsidRPr="006E16F2" w:rsidRDefault="003B0388" w:rsidP="00096EA9"/>
        </w:tc>
      </w:tr>
    </w:tbl>
    <w:p w14:paraId="64BDECA9" w14:textId="77777777" w:rsidR="00F6405D" w:rsidRPr="006E16F2" w:rsidRDefault="00F6405D"/>
    <w:p w14:paraId="1181F859" w14:textId="77777777" w:rsidR="00460833" w:rsidRPr="006E16F2" w:rsidRDefault="00460833"/>
    <w:tbl>
      <w:tblPr>
        <w:tblStyle w:val="TableGrid"/>
        <w:tblW w:w="0" w:type="auto"/>
        <w:tblBorders>
          <w:top w:val="single" w:sz="4" w:space="0" w:color="0099CC"/>
          <w:left w:val="single" w:sz="4" w:space="0" w:color="0099CC"/>
          <w:bottom w:val="single" w:sz="4" w:space="0" w:color="0099CC"/>
          <w:right w:val="single" w:sz="4" w:space="0" w:color="0099CC"/>
          <w:insideH w:val="single" w:sz="4" w:space="0" w:color="0099CC"/>
          <w:insideV w:val="single" w:sz="4" w:space="0" w:color="0099CC"/>
        </w:tblBorders>
        <w:tblLook w:val="04A0" w:firstRow="1" w:lastRow="0" w:firstColumn="1" w:lastColumn="0" w:noHBand="0" w:noVBand="1"/>
      </w:tblPr>
      <w:tblGrid>
        <w:gridCol w:w="9736"/>
      </w:tblGrid>
      <w:tr w:rsidR="0041515B" w:rsidRPr="006E16F2" w14:paraId="7023CBD0" w14:textId="77777777" w:rsidTr="0016770D">
        <w:tc>
          <w:tcPr>
            <w:tcW w:w="9747" w:type="dxa"/>
          </w:tcPr>
          <w:p w14:paraId="6EF53E07" w14:textId="77777777" w:rsidR="0041515B" w:rsidRPr="006E16F2" w:rsidRDefault="0041515B" w:rsidP="0016770D">
            <w:pPr>
              <w:rPr>
                <w:rFonts w:cs="Arial"/>
                <w:b/>
              </w:rPr>
            </w:pPr>
            <w:r w:rsidRPr="006E16F2">
              <w:rPr>
                <w:rFonts w:cs="Arial"/>
                <w:noProof/>
              </w:rPr>
              <w:drawing>
                <wp:anchor distT="0" distB="0" distL="114300" distR="114300" simplePos="0" relativeHeight="251666432" behindDoc="0" locked="0" layoutInCell="1" allowOverlap="1" wp14:anchorId="284ED70F" wp14:editId="739D34E3">
                  <wp:simplePos x="0" y="0"/>
                  <wp:positionH relativeFrom="column">
                    <wp:posOffset>-34925</wp:posOffset>
                  </wp:positionH>
                  <wp:positionV relativeFrom="paragraph">
                    <wp:posOffset>2540</wp:posOffset>
                  </wp:positionV>
                  <wp:extent cx="593725" cy="633095"/>
                  <wp:effectExtent l="0" t="0" r="0" b="0"/>
                  <wp:wrapSquare wrapText="bothSides"/>
                  <wp:docPr id="24" name="Picture 24" descr="\\ecs_media\rharris$\my documents\Light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s_media\rharris$\my documents\Lightbulb.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3725" cy="633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6F2">
              <w:rPr>
                <w:rFonts w:cs="Arial"/>
                <w:b/>
              </w:rPr>
              <w:t>Sharing good practice</w:t>
            </w:r>
          </w:p>
          <w:p w14:paraId="2690121F" w14:textId="2922E15B" w:rsidR="0041515B" w:rsidRPr="006E16F2" w:rsidRDefault="00B00403" w:rsidP="0016770D">
            <w:r w:rsidRPr="006E16F2">
              <w:rPr>
                <w:rFonts w:cs="Arial"/>
              </w:rPr>
              <w:t xml:space="preserve">The </w:t>
            </w:r>
            <w:r w:rsidRPr="006E16F2">
              <w:t>Scottish Assessors Association (SAA) have made available the</w:t>
            </w:r>
            <w:r w:rsidR="00D018BB">
              <w:t xml:space="preserve"> </w:t>
            </w:r>
            <w:hyperlink r:id="rId50" w:history="1">
              <w:r w:rsidRPr="006E16F2">
                <w:rPr>
                  <w:rStyle w:val="Hyperlink"/>
                </w:rPr>
                <w:t>data sharing agreement</w:t>
              </w:r>
            </w:hyperlink>
            <w:r w:rsidRPr="006E16F2">
              <w:t xml:space="preserve"> being used by EROs to share data in Scotland</w:t>
            </w:r>
            <w:r w:rsidR="0041515B" w:rsidRPr="006E16F2">
              <w:t>.</w:t>
            </w:r>
          </w:p>
          <w:p w14:paraId="5159767F" w14:textId="0CA9697B" w:rsidR="00C10536" w:rsidRPr="006E16F2" w:rsidRDefault="00C10536" w:rsidP="0016770D"/>
        </w:tc>
      </w:tr>
    </w:tbl>
    <w:p w14:paraId="7DDC0115" w14:textId="77777777" w:rsidR="00460833" w:rsidRPr="006E16F2" w:rsidRDefault="00460833"/>
    <w:p w14:paraId="5ECE0648" w14:textId="1DF86169" w:rsidR="00460833" w:rsidRPr="006E16F2" w:rsidRDefault="00460833">
      <w:pPr>
        <w:spacing w:after="200" w:line="276" w:lineRule="auto"/>
      </w:pPr>
    </w:p>
    <w:p w14:paraId="274A4FA3" w14:textId="77777777" w:rsidR="00582A68" w:rsidRPr="006E16F2" w:rsidRDefault="00582A68" w:rsidP="00582A68">
      <w:pPr>
        <w:pStyle w:val="A-head"/>
        <w:sectPr w:rsidR="00582A68" w:rsidRPr="006E16F2" w:rsidSect="00D82FA8">
          <w:footerReference w:type="default" r:id="rId51"/>
          <w:pgSz w:w="11906" w:h="16838"/>
          <w:pgMar w:top="1440" w:right="1080" w:bottom="1440" w:left="1080" w:header="708" w:footer="708" w:gutter="0"/>
          <w:cols w:space="708"/>
          <w:titlePg/>
          <w:docGrid w:linePitch="360"/>
        </w:sectPr>
      </w:pPr>
      <w:bookmarkStart w:id="157" w:name="_Toc504999096"/>
      <w:bookmarkStart w:id="158" w:name="_Toc505006055"/>
      <w:bookmarkStart w:id="159" w:name="_Toc505154845"/>
      <w:bookmarkStart w:id="160" w:name="_Toc505169298"/>
    </w:p>
    <w:p w14:paraId="1441D92C" w14:textId="5BE4BD23" w:rsidR="002B71B0" w:rsidRPr="006E16F2" w:rsidRDefault="00582A68" w:rsidP="002B71B0">
      <w:pPr>
        <w:pStyle w:val="A-head"/>
        <w:rPr>
          <w:lang w:val="en-GB"/>
        </w:rPr>
      </w:pPr>
      <w:bookmarkStart w:id="161" w:name="Appx5"/>
      <w:bookmarkStart w:id="162" w:name="_Toc505850173"/>
      <w:bookmarkStart w:id="163" w:name="_Toc71537516"/>
      <w:r w:rsidRPr="006E16F2">
        <w:t xml:space="preserve">Appendix </w:t>
      </w:r>
      <w:bookmarkEnd w:id="161"/>
      <w:r w:rsidR="0021791D">
        <w:t>4</w:t>
      </w:r>
      <w:r w:rsidR="0021791D" w:rsidRPr="006E16F2">
        <w:t xml:space="preserve"> </w:t>
      </w:r>
      <w:r w:rsidRPr="006E16F2">
        <w:t xml:space="preserve">– </w:t>
      </w:r>
      <w:r w:rsidR="00C24586" w:rsidRPr="006E16F2">
        <w:t>Example</w:t>
      </w:r>
      <w:r w:rsidRPr="006E16F2">
        <w:t xml:space="preserve"> </w:t>
      </w:r>
      <w:r w:rsidR="002B71B0" w:rsidRPr="006E16F2">
        <w:rPr>
          <w:lang w:val="en-GB"/>
        </w:rPr>
        <w:t>Data Protection Impact Assessment (DPIA)</w:t>
      </w:r>
      <w:bookmarkEnd w:id="162"/>
      <w:bookmarkEnd w:id="163"/>
    </w:p>
    <w:p w14:paraId="5CFFDC81" w14:textId="50E160C9" w:rsidR="00FF4C24" w:rsidRPr="006E16F2" w:rsidRDefault="00FF4C24" w:rsidP="00582A68">
      <w:pPr>
        <w:spacing w:after="200" w:line="276" w:lineRule="auto"/>
      </w:pPr>
      <w:r w:rsidRPr="006E16F2">
        <w:t>This is a</w:t>
      </w:r>
      <w:r w:rsidR="00E9120C" w:rsidRPr="006E16F2">
        <w:t>n example form</w:t>
      </w:r>
      <w:r w:rsidRPr="006E16F2">
        <w:t xml:space="preserve"> used </w:t>
      </w:r>
      <w:r w:rsidR="00B43988" w:rsidRPr="006E16F2">
        <w:t xml:space="preserve">internally by the Commission </w:t>
      </w:r>
      <w:r w:rsidRPr="006E16F2">
        <w:t>to conduct DPIA’s f</w:t>
      </w:r>
      <w:r w:rsidR="00BB2C7C">
        <w:t>or your reference.</w:t>
      </w:r>
      <w:r w:rsidRPr="006E16F2">
        <w:t xml:space="preserve"> It is not a complete guide to all you need to do to or consider when conducting assessments of this kind. You need to consider </w:t>
      </w:r>
      <w:hyperlink r:id="rId52" w:history="1">
        <w:r w:rsidRPr="006E16F2">
          <w:rPr>
            <w:rStyle w:val="Hyperlink"/>
          </w:rPr>
          <w:t>ICO guidance</w:t>
        </w:r>
      </w:hyperlink>
      <w:r w:rsidRPr="006E16F2">
        <w:rPr>
          <w:b/>
        </w:rPr>
        <w:t xml:space="preserve"> </w:t>
      </w:r>
      <w:r w:rsidRPr="006E16F2">
        <w:t xml:space="preserve">in this area and consult with your DPO to align assessments for your specific processing activities. </w:t>
      </w:r>
    </w:p>
    <w:p w14:paraId="2F401524" w14:textId="57AB2D90" w:rsidR="00582A68" w:rsidRPr="006E16F2" w:rsidRDefault="00582A68" w:rsidP="00582A68">
      <w:pPr>
        <w:spacing w:after="200" w:line="276" w:lineRule="auto"/>
      </w:pPr>
      <w:r w:rsidRPr="006E16F2">
        <w:t xml:space="preserve">Complete the Y/N and team comments fields describing the activity or process for each question. </w:t>
      </w:r>
    </w:p>
    <w:tbl>
      <w:tblPr>
        <w:tblW w:w="14992" w:type="dxa"/>
        <w:tblBorders>
          <w:top w:val="single" w:sz="12" w:space="0" w:color="4BACC6" w:themeColor="accent5"/>
          <w:left w:val="single" w:sz="12" w:space="0" w:color="4BACC6" w:themeColor="accent5"/>
          <w:bottom w:val="single" w:sz="12" w:space="0" w:color="4BACC6" w:themeColor="accent5"/>
          <w:right w:val="single" w:sz="12" w:space="0" w:color="4BACC6" w:themeColor="accent5"/>
          <w:insideH w:val="single" w:sz="12" w:space="0" w:color="4BACC6" w:themeColor="accent5"/>
          <w:insideV w:val="single" w:sz="12" w:space="0" w:color="4BACC6" w:themeColor="accent5"/>
        </w:tblBorders>
        <w:tblLook w:val="01E0" w:firstRow="1" w:lastRow="1" w:firstColumn="1" w:lastColumn="1" w:noHBand="0" w:noVBand="0"/>
      </w:tblPr>
      <w:tblGrid>
        <w:gridCol w:w="3510"/>
        <w:gridCol w:w="1130"/>
        <w:gridCol w:w="3450"/>
        <w:gridCol w:w="3451"/>
        <w:gridCol w:w="3451"/>
      </w:tblGrid>
      <w:tr w:rsidR="00582A68" w:rsidRPr="006E16F2" w14:paraId="469B0661" w14:textId="77777777" w:rsidTr="00F0472E">
        <w:tc>
          <w:tcPr>
            <w:tcW w:w="14992" w:type="dxa"/>
            <w:gridSpan w:val="5"/>
            <w:shd w:val="clear" w:color="auto" w:fill="auto"/>
          </w:tcPr>
          <w:p w14:paraId="0FE91E38" w14:textId="461677C5" w:rsidR="00582A68" w:rsidRPr="006E16F2" w:rsidRDefault="00582A68" w:rsidP="00582A68">
            <w:pPr>
              <w:spacing w:after="200" w:line="276" w:lineRule="auto"/>
              <w:rPr>
                <w:b/>
                <w:bCs/>
              </w:rPr>
            </w:pPr>
            <w:r w:rsidRPr="006E16F2">
              <w:rPr>
                <w:b/>
                <w:bCs/>
              </w:rPr>
              <w:t>Description of the activity:</w:t>
            </w:r>
          </w:p>
          <w:p w14:paraId="78A755FF" w14:textId="65BFF364" w:rsidR="00582A68" w:rsidRPr="006E16F2" w:rsidRDefault="00582A68" w:rsidP="00582A68">
            <w:pPr>
              <w:spacing w:after="200" w:line="276" w:lineRule="auto"/>
              <w:rPr>
                <w:b/>
                <w:bCs/>
              </w:rPr>
            </w:pPr>
          </w:p>
        </w:tc>
      </w:tr>
      <w:tr w:rsidR="00582A68" w:rsidRPr="006E16F2" w14:paraId="1FFB330A" w14:textId="77777777" w:rsidTr="00AD1071">
        <w:tc>
          <w:tcPr>
            <w:tcW w:w="3510" w:type="dxa"/>
            <w:shd w:val="clear" w:color="auto" w:fill="auto"/>
          </w:tcPr>
          <w:p w14:paraId="4877D521" w14:textId="77777777" w:rsidR="00582A68" w:rsidRPr="006E16F2" w:rsidRDefault="00582A68" w:rsidP="00582A68">
            <w:pPr>
              <w:spacing w:after="200" w:line="276" w:lineRule="auto"/>
              <w:rPr>
                <w:b/>
                <w:bCs/>
              </w:rPr>
            </w:pPr>
            <w:r w:rsidRPr="006E16F2">
              <w:rPr>
                <w:b/>
                <w:bCs/>
              </w:rPr>
              <w:t>Question</w:t>
            </w:r>
          </w:p>
        </w:tc>
        <w:tc>
          <w:tcPr>
            <w:tcW w:w="1130" w:type="dxa"/>
            <w:shd w:val="clear" w:color="auto" w:fill="auto"/>
          </w:tcPr>
          <w:p w14:paraId="38381EAB" w14:textId="77777777" w:rsidR="00582A68" w:rsidRPr="006E16F2" w:rsidRDefault="00582A68" w:rsidP="00582A68">
            <w:pPr>
              <w:spacing w:after="200" w:line="276" w:lineRule="auto"/>
              <w:rPr>
                <w:b/>
                <w:bCs/>
              </w:rPr>
            </w:pPr>
            <w:r w:rsidRPr="006E16F2">
              <w:rPr>
                <w:b/>
                <w:bCs/>
              </w:rPr>
              <w:t>Y/N</w:t>
            </w:r>
          </w:p>
        </w:tc>
        <w:tc>
          <w:tcPr>
            <w:tcW w:w="3450" w:type="dxa"/>
            <w:shd w:val="clear" w:color="auto" w:fill="auto"/>
          </w:tcPr>
          <w:p w14:paraId="5BFD4B21" w14:textId="77777777" w:rsidR="00582A68" w:rsidRPr="006E16F2" w:rsidRDefault="00582A68" w:rsidP="00582A68">
            <w:pPr>
              <w:spacing w:after="200" w:line="276" w:lineRule="auto"/>
              <w:rPr>
                <w:b/>
                <w:bCs/>
              </w:rPr>
            </w:pPr>
            <w:r w:rsidRPr="006E16F2">
              <w:rPr>
                <w:b/>
                <w:bCs/>
              </w:rPr>
              <w:t>Notes</w:t>
            </w:r>
          </w:p>
        </w:tc>
        <w:tc>
          <w:tcPr>
            <w:tcW w:w="3451" w:type="dxa"/>
          </w:tcPr>
          <w:p w14:paraId="1F3815FE" w14:textId="77777777" w:rsidR="00582A68" w:rsidRPr="006E16F2" w:rsidRDefault="00582A68" w:rsidP="00582A68">
            <w:pPr>
              <w:spacing w:after="200" w:line="276" w:lineRule="auto"/>
              <w:rPr>
                <w:b/>
                <w:bCs/>
              </w:rPr>
            </w:pPr>
            <w:r w:rsidRPr="006E16F2">
              <w:rPr>
                <w:b/>
                <w:bCs/>
              </w:rPr>
              <w:t>Team comments</w:t>
            </w:r>
          </w:p>
        </w:tc>
        <w:tc>
          <w:tcPr>
            <w:tcW w:w="3451" w:type="dxa"/>
          </w:tcPr>
          <w:p w14:paraId="45B0856B" w14:textId="77777777" w:rsidR="00582A68" w:rsidRPr="006E16F2" w:rsidRDefault="00582A68" w:rsidP="00582A68">
            <w:pPr>
              <w:spacing w:after="200" w:line="276" w:lineRule="auto"/>
              <w:rPr>
                <w:b/>
                <w:bCs/>
              </w:rPr>
            </w:pPr>
            <w:r w:rsidRPr="006E16F2">
              <w:rPr>
                <w:b/>
                <w:bCs/>
              </w:rPr>
              <w:t>DPO recommendations</w:t>
            </w:r>
          </w:p>
        </w:tc>
      </w:tr>
      <w:tr w:rsidR="00582A68" w:rsidRPr="006E16F2" w14:paraId="3C92C66A" w14:textId="77777777" w:rsidTr="00AD1071">
        <w:tc>
          <w:tcPr>
            <w:tcW w:w="3510" w:type="dxa"/>
            <w:shd w:val="clear" w:color="auto" w:fill="auto"/>
          </w:tcPr>
          <w:p w14:paraId="02E1BFF5" w14:textId="77777777" w:rsidR="00582A68" w:rsidRPr="006E16F2" w:rsidRDefault="00582A68" w:rsidP="00AD1071">
            <w:pPr>
              <w:spacing w:after="200" w:line="276" w:lineRule="auto"/>
            </w:pPr>
            <w:r w:rsidRPr="006E16F2">
              <w:t>Will the project involve or impact on the collection and management of personal information?</w:t>
            </w:r>
          </w:p>
          <w:p w14:paraId="298DCBC2" w14:textId="77777777" w:rsidR="00582A68" w:rsidRPr="006E16F2" w:rsidRDefault="00582A68" w:rsidP="00582A68">
            <w:pPr>
              <w:spacing w:after="200" w:line="276" w:lineRule="auto"/>
            </w:pPr>
          </w:p>
          <w:p w14:paraId="3FCE9C55" w14:textId="77777777" w:rsidR="00582A68" w:rsidRPr="006E16F2" w:rsidRDefault="00582A68" w:rsidP="00582A68">
            <w:pPr>
              <w:spacing w:after="200" w:line="276" w:lineRule="auto"/>
            </w:pPr>
            <w:r w:rsidRPr="006E16F2">
              <w:t xml:space="preserve">If yes – describe the activity </w:t>
            </w:r>
          </w:p>
          <w:p w14:paraId="745044F7" w14:textId="77777777" w:rsidR="00582A68" w:rsidRPr="006E16F2" w:rsidRDefault="00582A68" w:rsidP="00582A68">
            <w:pPr>
              <w:spacing w:after="200" w:line="276" w:lineRule="auto"/>
            </w:pPr>
          </w:p>
        </w:tc>
        <w:tc>
          <w:tcPr>
            <w:tcW w:w="1130" w:type="dxa"/>
            <w:shd w:val="clear" w:color="auto" w:fill="auto"/>
          </w:tcPr>
          <w:p w14:paraId="46729AA3" w14:textId="06E76714" w:rsidR="00582A68" w:rsidRPr="006E16F2" w:rsidRDefault="00582A68" w:rsidP="00582A68">
            <w:pPr>
              <w:spacing w:after="200" w:line="276" w:lineRule="auto"/>
            </w:pPr>
          </w:p>
        </w:tc>
        <w:tc>
          <w:tcPr>
            <w:tcW w:w="3450" w:type="dxa"/>
            <w:shd w:val="clear" w:color="auto" w:fill="auto"/>
          </w:tcPr>
          <w:p w14:paraId="35A33010" w14:textId="77777777" w:rsidR="00582A68" w:rsidRPr="006E16F2" w:rsidRDefault="00582A68" w:rsidP="00582A68">
            <w:pPr>
              <w:spacing w:after="200" w:line="276" w:lineRule="auto"/>
            </w:pPr>
            <w:r w:rsidRPr="006E16F2">
              <w:t>This includes the use, sharing, storage of personal data whether in the process or related activities</w:t>
            </w:r>
          </w:p>
          <w:p w14:paraId="5077AF47" w14:textId="77777777" w:rsidR="00582A68" w:rsidRPr="006E16F2" w:rsidRDefault="00582A68" w:rsidP="00582A68">
            <w:pPr>
              <w:spacing w:after="200" w:line="276" w:lineRule="auto"/>
            </w:pPr>
          </w:p>
        </w:tc>
        <w:tc>
          <w:tcPr>
            <w:tcW w:w="3451" w:type="dxa"/>
          </w:tcPr>
          <w:p w14:paraId="78CEF478" w14:textId="77777777" w:rsidR="00582A68" w:rsidRPr="006E16F2" w:rsidRDefault="00582A68" w:rsidP="00582A68">
            <w:pPr>
              <w:spacing w:after="200" w:line="276" w:lineRule="auto"/>
            </w:pPr>
          </w:p>
        </w:tc>
        <w:tc>
          <w:tcPr>
            <w:tcW w:w="3451" w:type="dxa"/>
          </w:tcPr>
          <w:p w14:paraId="36858D84" w14:textId="77777777" w:rsidR="00582A68" w:rsidRPr="006E16F2" w:rsidRDefault="00582A68" w:rsidP="00582A68">
            <w:pPr>
              <w:spacing w:after="200" w:line="276" w:lineRule="auto"/>
            </w:pPr>
          </w:p>
        </w:tc>
      </w:tr>
      <w:tr w:rsidR="00582A68" w:rsidRPr="006E16F2" w14:paraId="31E07D16" w14:textId="77777777" w:rsidTr="00AD1071">
        <w:tc>
          <w:tcPr>
            <w:tcW w:w="3510" w:type="dxa"/>
            <w:shd w:val="clear" w:color="auto" w:fill="auto"/>
          </w:tcPr>
          <w:p w14:paraId="65D29298" w14:textId="77777777" w:rsidR="00582A68" w:rsidRPr="006E16F2" w:rsidRDefault="00582A68" w:rsidP="00582A68">
            <w:pPr>
              <w:spacing w:after="200" w:line="276" w:lineRule="auto"/>
            </w:pPr>
            <w:r w:rsidRPr="006E16F2">
              <w:t xml:space="preserve">Have you identified what information is </w:t>
            </w:r>
            <w:r w:rsidRPr="006E16F2">
              <w:rPr>
                <w:b/>
              </w:rPr>
              <w:t>required</w:t>
            </w:r>
            <w:r w:rsidRPr="006E16F2">
              <w:t xml:space="preserve"> to be collected?</w:t>
            </w:r>
          </w:p>
          <w:p w14:paraId="5A4EB300" w14:textId="77777777" w:rsidR="00582A68" w:rsidRPr="006E16F2" w:rsidRDefault="00582A68" w:rsidP="00582A68">
            <w:pPr>
              <w:spacing w:after="200" w:line="276" w:lineRule="auto"/>
            </w:pPr>
          </w:p>
        </w:tc>
        <w:tc>
          <w:tcPr>
            <w:tcW w:w="1130" w:type="dxa"/>
            <w:shd w:val="clear" w:color="auto" w:fill="auto"/>
          </w:tcPr>
          <w:p w14:paraId="1835E26A" w14:textId="1A2E8D17" w:rsidR="00582A68" w:rsidRPr="006E16F2" w:rsidRDefault="00582A68" w:rsidP="00582A68">
            <w:pPr>
              <w:spacing w:after="200" w:line="276" w:lineRule="auto"/>
            </w:pPr>
          </w:p>
        </w:tc>
        <w:tc>
          <w:tcPr>
            <w:tcW w:w="3450" w:type="dxa"/>
            <w:shd w:val="clear" w:color="auto" w:fill="auto"/>
          </w:tcPr>
          <w:p w14:paraId="663BC70F" w14:textId="77777777" w:rsidR="00582A68" w:rsidRPr="006E16F2" w:rsidRDefault="00582A68" w:rsidP="00582A68">
            <w:pPr>
              <w:spacing w:after="200" w:line="276" w:lineRule="auto"/>
            </w:pPr>
            <w:r w:rsidRPr="006E16F2">
              <w:t xml:space="preserve">What is the minimum amount of information required for the activity?  </w:t>
            </w:r>
          </w:p>
        </w:tc>
        <w:tc>
          <w:tcPr>
            <w:tcW w:w="3451" w:type="dxa"/>
          </w:tcPr>
          <w:p w14:paraId="115A2C10" w14:textId="70899A90" w:rsidR="00582A68" w:rsidRPr="006E16F2" w:rsidRDefault="00582A68" w:rsidP="00582A68">
            <w:pPr>
              <w:spacing w:after="200" w:line="276" w:lineRule="auto"/>
            </w:pPr>
          </w:p>
        </w:tc>
        <w:tc>
          <w:tcPr>
            <w:tcW w:w="3451" w:type="dxa"/>
          </w:tcPr>
          <w:p w14:paraId="4B5909F9" w14:textId="77777777" w:rsidR="00582A68" w:rsidRPr="006E16F2" w:rsidRDefault="00582A68" w:rsidP="00582A68">
            <w:pPr>
              <w:spacing w:after="200" w:line="276" w:lineRule="auto"/>
            </w:pPr>
          </w:p>
        </w:tc>
      </w:tr>
      <w:tr w:rsidR="00582A68" w:rsidRPr="006E16F2" w14:paraId="124A0E06" w14:textId="77777777" w:rsidTr="00AD1071">
        <w:tc>
          <w:tcPr>
            <w:tcW w:w="3510" w:type="dxa"/>
            <w:shd w:val="clear" w:color="auto" w:fill="auto"/>
          </w:tcPr>
          <w:p w14:paraId="0C2B707D" w14:textId="77777777" w:rsidR="00582A68" w:rsidRPr="006E16F2" w:rsidRDefault="00582A68" w:rsidP="00582A68">
            <w:pPr>
              <w:spacing w:after="200" w:line="276" w:lineRule="auto"/>
            </w:pPr>
            <w:r w:rsidRPr="006E16F2">
              <w:t xml:space="preserve">Have you identified the </w:t>
            </w:r>
            <w:r w:rsidRPr="006E16F2">
              <w:rPr>
                <w:b/>
              </w:rPr>
              <w:t>purpose</w:t>
            </w:r>
            <w:r w:rsidRPr="006E16F2">
              <w:t xml:space="preserve"> for which you are collecting the personal information?</w:t>
            </w:r>
          </w:p>
          <w:p w14:paraId="7987276D" w14:textId="77777777" w:rsidR="00582A68" w:rsidRPr="006E16F2" w:rsidRDefault="00582A68" w:rsidP="00582A68">
            <w:pPr>
              <w:spacing w:after="200" w:line="276" w:lineRule="auto"/>
            </w:pPr>
          </w:p>
        </w:tc>
        <w:tc>
          <w:tcPr>
            <w:tcW w:w="1130" w:type="dxa"/>
            <w:shd w:val="clear" w:color="auto" w:fill="auto"/>
          </w:tcPr>
          <w:p w14:paraId="51006D65" w14:textId="766A14D2" w:rsidR="00582A68" w:rsidRPr="006E16F2" w:rsidRDefault="00582A68" w:rsidP="00582A68">
            <w:pPr>
              <w:spacing w:after="200" w:line="276" w:lineRule="auto"/>
            </w:pPr>
          </w:p>
        </w:tc>
        <w:tc>
          <w:tcPr>
            <w:tcW w:w="3450" w:type="dxa"/>
            <w:shd w:val="clear" w:color="auto" w:fill="auto"/>
          </w:tcPr>
          <w:p w14:paraId="18718BA5" w14:textId="77777777" w:rsidR="00582A68" w:rsidRPr="006E16F2" w:rsidRDefault="00582A68" w:rsidP="00582A68">
            <w:pPr>
              <w:spacing w:after="200" w:line="276" w:lineRule="auto"/>
            </w:pPr>
            <w:r w:rsidRPr="006E16F2">
              <w:t>Is this as part of a contract?  Statutory duty?  Required for the public interest or needs consent?</w:t>
            </w:r>
          </w:p>
        </w:tc>
        <w:tc>
          <w:tcPr>
            <w:tcW w:w="3451" w:type="dxa"/>
          </w:tcPr>
          <w:p w14:paraId="3E91C317" w14:textId="54EA231E" w:rsidR="00582A68" w:rsidRPr="006E16F2" w:rsidRDefault="00582A68" w:rsidP="00582A68">
            <w:pPr>
              <w:spacing w:after="200" w:line="276" w:lineRule="auto"/>
            </w:pPr>
          </w:p>
        </w:tc>
        <w:tc>
          <w:tcPr>
            <w:tcW w:w="3451" w:type="dxa"/>
          </w:tcPr>
          <w:p w14:paraId="78F60C7D" w14:textId="77777777" w:rsidR="00582A68" w:rsidRPr="006E16F2" w:rsidRDefault="00582A68" w:rsidP="00582A68">
            <w:pPr>
              <w:spacing w:after="200" w:line="276" w:lineRule="auto"/>
            </w:pPr>
          </w:p>
        </w:tc>
      </w:tr>
      <w:tr w:rsidR="00582A68" w:rsidRPr="006E16F2" w14:paraId="29F36A14" w14:textId="77777777" w:rsidTr="00AD1071">
        <w:tc>
          <w:tcPr>
            <w:tcW w:w="3510" w:type="dxa"/>
            <w:shd w:val="clear" w:color="auto" w:fill="auto"/>
          </w:tcPr>
          <w:p w14:paraId="3E08C456" w14:textId="77777777" w:rsidR="00582A68" w:rsidRPr="006E16F2" w:rsidRDefault="00582A68" w:rsidP="00582A68">
            <w:pPr>
              <w:spacing w:after="200" w:line="276" w:lineRule="auto"/>
            </w:pPr>
            <w:r w:rsidRPr="006E16F2">
              <w:t xml:space="preserve">How will individuals be </w:t>
            </w:r>
            <w:r w:rsidRPr="006E16F2">
              <w:rPr>
                <w:b/>
              </w:rPr>
              <w:t>informed</w:t>
            </w:r>
            <w:r w:rsidRPr="006E16F2">
              <w:t xml:space="preserve"> of the purpose for which their information will be held?</w:t>
            </w:r>
          </w:p>
          <w:p w14:paraId="7160EE02" w14:textId="77777777" w:rsidR="00582A68" w:rsidRPr="006E16F2" w:rsidRDefault="00582A68" w:rsidP="00582A68">
            <w:pPr>
              <w:spacing w:after="200" w:line="276" w:lineRule="auto"/>
            </w:pPr>
          </w:p>
        </w:tc>
        <w:tc>
          <w:tcPr>
            <w:tcW w:w="1130" w:type="dxa"/>
            <w:shd w:val="clear" w:color="auto" w:fill="auto"/>
          </w:tcPr>
          <w:p w14:paraId="2E97A99B" w14:textId="77777777" w:rsidR="00582A68" w:rsidRPr="006E16F2" w:rsidRDefault="00582A68" w:rsidP="00582A68">
            <w:pPr>
              <w:spacing w:after="200" w:line="276" w:lineRule="auto"/>
            </w:pPr>
          </w:p>
        </w:tc>
        <w:tc>
          <w:tcPr>
            <w:tcW w:w="3450" w:type="dxa"/>
            <w:shd w:val="clear" w:color="auto" w:fill="auto"/>
          </w:tcPr>
          <w:p w14:paraId="0B5261EC" w14:textId="77777777" w:rsidR="00582A68" w:rsidRPr="006E16F2" w:rsidRDefault="00582A68" w:rsidP="00582A68">
            <w:pPr>
              <w:spacing w:after="200" w:line="276" w:lineRule="auto"/>
            </w:pPr>
            <w:r w:rsidRPr="006E16F2">
              <w:t>Via privacy notice, how will this be communicated – verbally, via system sign up?</w:t>
            </w:r>
          </w:p>
          <w:p w14:paraId="72836091" w14:textId="77777777" w:rsidR="00582A68" w:rsidRPr="006E16F2" w:rsidRDefault="00582A68" w:rsidP="00582A68">
            <w:pPr>
              <w:spacing w:after="200" w:line="276" w:lineRule="auto"/>
            </w:pPr>
            <w:r w:rsidRPr="006E16F2">
              <w:t xml:space="preserve">Or is there a reason not to tell data subjects about this processing? </w:t>
            </w:r>
          </w:p>
        </w:tc>
        <w:tc>
          <w:tcPr>
            <w:tcW w:w="3451" w:type="dxa"/>
          </w:tcPr>
          <w:p w14:paraId="21582A90" w14:textId="3EDB3102" w:rsidR="00582A68" w:rsidRPr="006E16F2" w:rsidRDefault="00582A68" w:rsidP="00582A68">
            <w:pPr>
              <w:spacing w:after="200" w:line="276" w:lineRule="auto"/>
            </w:pPr>
          </w:p>
        </w:tc>
        <w:tc>
          <w:tcPr>
            <w:tcW w:w="3451" w:type="dxa"/>
          </w:tcPr>
          <w:p w14:paraId="4E659434" w14:textId="77777777" w:rsidR="00582A68" w:rsidRPr="006E16F2" w:rsidRDefault="00582A68" w:rsidP="00582A68">
            <w:pPr>
              <w:spacing w:after="200" w:line="276" w:lineRule="auto"/>
            </w:pPr>
          </w:p>
        </w:tc>
      </w:tr>
      <w:tr w:rsidR="00582A68" w:rsidRPr="006E16F2" w14:paraId="3D6ED54C" w14:textId="77777777" w:rsidTr="00AD1071">
        <w:tc>
          <w:tcPr>
            <w:tcW w:w="3510" w:type="dxa"/>
            <w:shd w:val="clear" w:color="auto" w:fill="auto"/>
          </w:tcPr>
          <w:p w14:paraId="7A395D46" w14:textId="31CA5766" w:rsidR="00582A68" w:rsidRPr="006E16F2" w:rsidRDefault="00582A68" w:rsidP="00582A68">
            <w:pPr>
              <w:spacing w:after="200" w:line="276" w:lineRule="auto"/>
            </w:pPr>
            <w:r w:rsidRPr="006E16F2">
              <w:t>If consent is required how will consent/opt out be managed?</w:t>
            </w:r>
          </w:p>
          <w:p w14:paraId="05BC48BC" w14:textId="77777777" w:rsidR="00582A68" w:rsidRPr="006E16F2" w:rsidRDefault="00582A68" w:rsidP="00582A68">
            <w:pPr>
              <w:spacing w:after="200" w:line="276" w:lineRule="auto"/>
            </w:pPr>
          </w:p>
        </w:tc>
        <w:tc>
          <w:tcPr>
            <w:tcW w:w="1130" w:type="dxa"/>
            <w:shd w:val="clear" w:color="auto" w:fill="auto"/>
          </w:tcPr>
          <w:p w14:paraId="233F02FB" w14:textId="5EADC315" w:rsidR="00582A68" w:rsidRPr="006E16F2" w:rsidRDefault="00582A68" w:rsidP="00582A68">
            <w:pPr>
              <w:spacing w:after="200" w:line="276" w:lineRule="auto"/>
            </w:pPr>
          </w:p>
        </w:tc>
        <w:tc>
          <w:tcPr>
            <w:tcW w:w="3450" w:type="dxa"/>
            <w:shd w:val="clear" w:color="auto" w:fill="auto"/>
          </w:tcPr>
          <w:p w14:paraId="436210E1" w14:textId="77777777" w:rsidR="00582A68" w:rsidRPr="006E16F2" w:rsidRDefault="00582A68" w:rsidP="00582A68">
            <w:pPr>
              <w:spacing w:after="200" w:line="276" w:lineRule="auto"/>
            </w:pPr>
            <w:r w:rsidRPr="006E16F2">
              <w:t>If requires consent, how will we ask for and audit consent?</w:t>
            </w:r>
          </w:p>
        </w:tc>
        <w:tc>
          <w:tcPr>
            <w:tcW w:w="3451" w:type="dxa"/>
          </w:tcPr>
          <w:p w14:paraId="2199057E" w14:textId="79F3E1A8" w:rsidR="00582A68" w:rsidRPr="006E16F2" w:rsidRDefault="00582A68" w:rsidP="00582A68">
            <w:pPr>
              <w:spacing w:after="200" w:line="276" w:lineRule="auto"/>
            </w:pPr>
          </w:p>
        </w:tc>
        <w:tc>
          <w:tcPr>
            <w:tcW w:w="3451" w:type="dxa"/>
          </w:tcPr>
          <w:p w14:paraId="067479BC" w14:textId="77777777" w:rsidR="00582A68" w:rsidRPr="006E16F2" w:rsidRDefault="00582A68" w:rsidP="00582A68">
            <w:pPr>
              <w:spacing w:after="200" w:line="276" w:lineRule="auto"/>
            </w:pPr>
          </w:p>
        </w:tc>
      </w:tr>
      <w:tr w:rsidR="00582A68" w:rsidRPr="006E16F2" w14:paraId="31A5F8FF" w14:textId="77777777" w:rsidTr="00AD1071">
        <w:tc>
          <w:tcPr>
            <w:tcW w:w="3510" w:type="dxa"/>
            <w:shd w:val="clear" w:color="auto" w:fill="auto"/>
          </w:tcPr>
          <w:p w14:paraId="5FF9A0B2" w14:textId="370F9B21" w:rsidR="00582A68" w:rsidRPr="006E16F2" w:rsidRDefault="00582A68" w:rsidP="00582A68">
            <w:pPr>
              <w:spacing w:after="200" w:line="276" w:lineRule="auto"/>
            </w:pPr>
            <w:r w:rsidRPr="006E16F2">
              <w:t>Does this activity make use of existing information for new purposes?</w:t>
            </w:r>
          </w:p>
          <w:p w14:paraId="0696AF93" w14:textId="77777777" w:rsidR="00582A68" w:rsidRPr="006E16F2" w:rsidRDefault="00582A68" w:rsidP="00582A68">
            <w:pPr>
              <w:spacing w:after="200" w:line="276" w:lineRule="auto"/>
            </w:pPr>
          </w:p>
        </w:tc>
        <w:tc>
          <w:tcPr>
            <w:tcW w:w="1130" w:type="dxa"/>
            <w:shd w:val="clear" w:color="auto" w:fill="auto"/>
          </w:tcPr>
          <w:p w14:paraId="5DDA44E3" w14:textId="4B21F424" w:rsidR="00582A68" w:rsidRPr="006E16F2" w:rsidRDefault="00582A68" w:rsidP="00582A68">
            <w:pPr>
              <w:spacing w:after="200" w:line="276" w:lineRule="auto"/>
            </w:pPr>
          </w:p>
        </w:tc>
        <w:tc>
          <w:tcPr>
            <w:tcW w:w="3450" w:type="dxa"/>
            <w:shd w:val="clear" w:color="auto" w:fill="auto"/>
          </w:tcPr>
          <w:p w14:paraId="199191EF" w14:textId="77777777" w:rsidR="00582A68" w:rsidRPr="006E16F2" w:rsidRDefault="00582A68" w:rsidP="00582A68">
            <w:pPr>
              <w:spacing w:after="200" w:line="276" w:lineRule="auto"/>
            </w:pPr>
            <w:r w:rsidRPr="006E16F2">
              <w:t>Reusing existing personal data for new purposes?</w:t>
            </w:r>
          </w:p>
        </w:tc>
        <w:tc>
          <w:tcPr>
            <w:tcW w:w="3451" w:type="dxa"/>
          </w:tcPr>
          <w:p w14:paraId="68F5F0A9" w14:textId="1683F680" w:rsidR="00582A68" w:rsidRPr="006E16F2" w:rsidRDefault="00582A68" w:rsidP="00582A68">
            <w:pPr>
              <w:spacing w:after="200" w:line="276" w:lineRule="auto"/>
            </w:pPr>
          </w:p>
        </w:tc>
        <w:tc>
          <w:tcPr>
            <w:tcW w:w="3451" w:type="dxa"/>
          </w:tcPr>
          <w:p w14:paraId="3E1E761D" w14:textId="77777777" w:rsidR="00582A68" w:rsidRPr="006E16F2" w:rsidRDefault="00582A68" w:rsidP="00582A68">
            <w:pPr>
              <w:spacing w:after="200" w:line="276" w:lineRule="auto"/>
            </w:pPr>
          </w:p>
        </w:tc>
      </w:tr>
      <w:tr w:rsidR="00582A68" w:rsidRPr="006E16F2" w14:paraId="6573FFE0" w14:textId="77777777" w:rsidTr="00AD1071">
        <w:tc>
          <w:tcPr>
            <w:tcW w:w="3510" w:type="dxa"/>
            <w:shd w:val="clear" w:color="auto" w:fill="auto"/>
          </w:tcPr>
          <w:p w14:paraId="474E2CE5" w14:textId="3EF44801" w:rsidR="00582A68" w:rsidRPr="006E16F2" w:rsidRDefault="00582A68" w:rsidP="00582A68">
            <w:pPr>
              <w:spacing w:after="200" w:line="276" w:lineRule="auto"/>
            </w:pPr>
            <w:r w:rsidRPr="006E16F2">
              <w:t xml:space="preserve">Does the </w:t>
            </w:r>
            <w:r w:rsidR="007836E0" w:rsidRPr="006E16F2">
              <w:t xml:space="preserve">activity </w:t>
            </w:r>
            <w:r w:rsidRPr="006E16F2">
              <w:t>include the transfer of information outside of the organisation?</w:t>
            </w:r>
          </w:p>
          <w:p w14:paraId="1D1D3A5D" w14:textId="77777777" w:rsidR="00582A68" w:rsidRPr="006E16F2" w:rsidRDefault="00582A68" w:rsidP="00582A68">
            <w:pPr>
              <w:spacing w:after="200" w:line="276" w:lineRule="auto"/>
            </w:pPr>
          </w:p>
        </w:tc>
        <w:tc>
          <w:tcPr>
            <w:tcW w:w="1130" w:type="dxa"/>
            <w:shd w:val="clear" w:color="auto" w:fill="auto"/>
          </w:tcPr>
          <w:p w14:paraId="0554CE37" w14:textId="709FD80D" w:rsidR="00582A68" w:rsidRPr="006E16F2" w:rsidRDefault="00582A68" w:rsidP="00582A68">
            <w:pPr>
              <w:spacing w:after="200" w:line="276" w:lineRule="auto"/>
            </w:pPr>
          </w:p>
        </w:tc>
        <w:tc>
          <w:tcPr>
            <w:tcW w:w="3450" w:type="dxa"/>
            <w:shd w:val="clear" w:color="auto" w:fill="auto"/>
          </w:tcPr>
          <w:p w14:paraId="2177D1F3" w14:textId="775A6E98" w:rsidR="00582A68" w:rsidRPr="006E16F2" w:rsidRDefault="00582A68">
            <w:pPr>
              <w:spacing w:after="200" w:line="276" w:lineRule="auto"/>
            </w:pPr>
            <w:r w:rsidRPr="006E16F2">
              <w:t>Is personal data being published?  Shared with a contactor or third party?</w:t>
            </w:r>
          </w:p>
        </w:tc>
        <w:tc>
          <w:tcPr>
            <w:tcW w:w="3451" w:type="dxa"/>
          </w:tcPr>
          <w:p w14:paraId="72EE716D" w14:textId="6C621F8E" w:rsidR="00582A68" w:rsidRPr="006E16F2" w:rsidRDefault="00582A68" w:rsidP="00582A68">
            <w:pPr>
              <w:spacing w:after="200" w:line="276" w:lineRule="auto"/>
            </w:pPr>
          </w:p>
        </w:tc>
        <w:tc>
          <w:tcPr>
            <w:tcW w:w="3451" w:type="dxa"/>
          </w:tcPr>
          <w:p w14:paraId="40826546" w14:textId="77777777" w:rsidR="00582A68" w:rsidRPr="006E16F2" w:rsidRDefault="00582A68" w:rsidP="00582A68">
            <w:pPr>
              <w:spacing w:after="200" w:line="276" w:lineRule="auto"/>
            </w:pPr>
          </w:p>
        </w:tc>
      </w:tr>
      <w:tr w:rsidR="00582A68" w:rsidRPr="006E16F2" w14:paraId="53A67EC1" w14:textId="77777777" w:rsidTr="00AD1071">
        <w:tc>
          <w:tcPr>
            <w:tcW w:w="3510" w:type="dxa"/>
            <w:shd w:val="clear" w:color="auto" w:fill="auto"/>
          </w:tcPr>
          <w:p w14:paraId="2E2C1F39" w14:textId="58B16613" w:rsidR="00582A68" w:rsidRPr="006E16F2" w:rsidRDefault="00582A68" w:rsidP="00582A68">
            <w:pPr>
              <w:spacing w:after="200" w:line="276" w:lineRule="auto"/>
            </w:pPr>
            <w:r w:rsidRPr="006E16F2">
              <w:t xml:space="preserve">Does the </w:t>
            </w:r>
            <w:r w:rsidR="007836E0" w:rsidRPr="006E16F2">
              <w:t xml:space="preserve">activity </w:t>
            </w:r>
            <w:r w:rsidRPr="006E16F2">
              <w:t xml:space="preserve">include the sharing of information within the </w:t>
            </w:r>
            <w:r w:rsidR="007836E0" w:rsidRPr="006E16F2">
              <w:t>organisation</w:t>
            </w:r>
            <w:r w:rsidRPr="006E16F2">
              <w:t>?</w:t>
            </w:r>
          </w:p>
          <w:p w14:paraId="6DB6A84B" w14:textId="77777777" w:rsidR="00582A68" w:rsidRPr="006E16F2" w:rsidRDefault="00582A68" w:rsidP="00582A68">
            <w:pPr>
              <w:spacing w:after="200" w:line="276" w:lineRule="auto"/>
            </w:pPr>
          </w:p>
        </w:tc>
        <w:tc>
          <w:tcPr>
            <w:tcW w:w="1130" w:type="dxa"/>
            <w:shd w:val="clear" w:color="auto" w:fill="auto"/>
          </w:tcPr>
          <w:p w14:paraId="1363363E" w14:textId="3F3055CC" w:rsidR="00582A68" w:rsidRPr="006E16F2" w:rsidRDefault="00582A68" w:rsidP="00582A68">
            <w:pPr>
              <w:spacing w:after="200" w:line="276" w:lineRule="auto"/>
            </w:pPr>
          </w:p>
        </w:tc>
        <w:tc>
          <w:tcPr>
            <w:tcW w:w="3450" w:type="dxa"/>
            <w:shd w:val="clear" w:color="auto" w:fill="auto"/>
          </w:tcPr>
          <w:p w14:paraId="602498B3" w14:textId="77777777" w:rsidR="00582A68" w:rsidRPr="006E16F2" w:rsidRDefault="00582A68" w:rsidP="00582A68">
            <w:pPr>
              <w:spacing w:after="200" w:line="276" w:lineRule="auto"/>
            </w:pPr>
            <w:r w:rsidRPr="006E16F2">
              <w:t>Which team collects the information?  Who else needs access?</w:t>
            </w:r>
          </w:p>
        </w:tc>
        <w:tc>
          <w:tcPr>
            <w:tcW w:w="3451" w:type="dxa"/>
          </w:tcPr>
          <w:p w14:paraId="7703035C" w14:textId="52AAF4E1" w:rsidR="00582A68" w:rsidRPr="006E16F2" w:rsidRDefault="00582A68" w:rsidP="00582A68">
            <w:pPr>
              <w:spacing w:after="200" w:line="276" w:lineRule="auto"/>
            </w:pPr>
          </w:p>
        </w:tc>
        <w:tc>
          <w:tcPr>
            <w:tcW w:w="3451" w:type="dxa"/>
          </w:tcPr>
          <w:p w14:paraId="49A4D5AF" w14:textId="77777777" w:rsidR="00582A68" w:rsidRPr="006E16F2" w:rsidRDefault="00582A68" w:rsidP="00582A68">
            <w:pPr>
              <w:spacing w:after="200" w:line="276" w:lineRule="auto"/>
            </w:pPr>
          </w:p>
        </w:tc>
      </w:tr>
      <w:tr w:rsidR="00582A68" w:rsidRPr="006E16F2" w14:paraId="39F7A77D" w14:textId="77777777" w:rsidTr="00AD1071">
        <w:tc>
          <w:tcPr>
            <w:tcW w:w="3510" w:type="dxa"/>
            <w:shd w:val="clear" w:color="auto" w:fill="auto"/>
          </w:tcPr>
          <w:p w14:paraId="35598655" w14:textId="77777777" w:rsidR="00582A68" w:rsidRPr="006E16F2" w:rsidRDefault="00582A68" w:rsidP="00582A68">
            <w:pPr>
              <w:spacing w:after="200" w:line="276" w:lineRule="auto"/>
            </w:pPr>
            <w:r w:rsidRPr="006E16F2">
              <w:t>Where will the information be held?</w:t>
            </w:r>
          </w:p>
          <w:p w14:paraId="46834B03" w14:textId="77777777" w:rsidR="00582A68" w:rsidRPr="006E16F2" w:rsidRDefault="00582A68" w:rsidP="00582A68">
            <w:pPr>
              <w:spacing w:after="200" w:line="276" w:lineRule="auto"/>
            </w:pPr>
          </w:p>
        </w:tc>
        <w:tc>
          <w:tcPr>
            <w:tcW w:w="1130" w:type="dxa"/>
            <w:shd w:val="clear" w:color="auto" w:fill="auto"/>
          </w:tcPr>
          <w:p w14:paraId="35E18DA7" w14:textId="77777777" w:rsidR="00582A68" w:rsidRPr="006E16F2" w:rsidRDefault="00582A68" w:rsidP="00582A68">
            <w:pPr>
              <w:spacing w:after="200" w:line="276" w:lineRule="auto"/>
            </w:pPr>
          </w:p>
        </w:tc>
        <w:tc>
          <w:tcPr>
            <w:tcW w:w="3450" w:type="dxa"/>
            <w:shd w:val="clear" w:color="auto" w:fill="auto"/>
          </w:tcPr>
          <w:p w14:paraId="29041829" w14:textId="6F358AF0" w:rsidR="00582A68" w:rsidRPr="006E16F2" w:rsidRDefault="007836E0" w:rsidP="00582A68">
            <w:pPr>
              <w:spacing w:after="200" w:line="276" w:lineRule="auto"/>
            </w:pPr>
            <w:r w:rsidRPr="006E16F2">
              <w:t xml:space="preserve">Internal systems?  Cloud services? </w:t>
            </w:r>
            <w:r w:rsidR="00B43988" w:rsidRPr="006E16F2">
              <w:t>Hard copy?  Transferred to off-</w:t>
            </w:r>
            <w:r w:rsidR="00582A68" w:rsidRPr="006E16F2">
              <w:t>site storage?</w:t>
            </w:r>
          </w:p>
        </w:tc>
        <w:tc>
          <w:tcPr>
            <w:tcW w:w="3451" w:type="dxa"/>
          </w:tcPr>
          <w:p w14:paraId="1D1FA43B" w14:textId="03813EDF" w:rsidR="00582A68" w:rsidRPr="006E16F2" w:rsidRDefault="00582A68" w:rsidP="00582A68">
            <w:pPr>
              <w:spacing w:after="200" w:line="276" w:lineRule="auto"/>
            </w:pPr>
          </w:p>
        </w:tc>
        <w:tc>
          <w:tcPr>
            <w:tcW w:w="3451" w:type="dxa"/>
          </w:tcPr>
          <w:p w14:paraId="61EC1BE9" w14:textId="77777777" w:rsidR="00582A68" w:rsidRPr="006E16F2" w:rsidRDefault="00582A68" w:rsidP="00582A68">
            <w:pPr>
              <w:spacing w:after="200" w:line="276" w:lineRule="auto"/>
            </w:pPr>
          </w:p>
        </w:tc>
      </w:tr>
      <w:tr w:rsidR="00582A68" w:rsidRPr="006E16F2" w14:paraId="7A2ED16D" w14:textId="77777777" w:rsidTr="00AD1071">
        <w:tc>
          <w:tcPr>
            <w:tcW w:w="3510" w:type="dxa"/>
            <w:shd w:val="clear" w:color="auto" w:fill="auto"/>
          </w:tcPr>
          <w:p w14:paraId="6CE14B30" w14:textId="77777777" w:rsidR="00582A68" w:rsidRPr="006E16F2" w:rsidRDefault="00582A68" w:rsidP="00582A68">
            <w:pPr>
              <w:spacing w:after="200" w:line="276" w:lineRule="auto"/>
            </w:pPr>
            <w:r w:rsidRPr="006E16F2">
              <w:t>How many records of personal information will be held?</w:t>
            </w:r>
          </w:p>
          <w:p w14:paraId="1A0E560B" w14:textId="77777777" w:rsidR="00582A68" w:rsidRPr="006E16F2" w:rsidRDefault="00582A68" w:rsidP="00582A68">
            <w:pPr>
              <w:spacing w:after="200" w:line="276" w:lineRule="auto"/>
            </w:pPr>
          </w:p>
        </w:tc>
        <w:tc>
          <w:tcPr>
            <w:tcW w:w="1130" w:type="dxa"/>
            <w:shd w:val="clear" w:color="auto" w:fill="auto"/>
          </w:tcPr>
          <w:p w14:paraId="3307A329" w14:textId="77777777" w:rsidR="00582A68" w:rsidRPr="006E16F2" w:rsidRDefault="00582A68" w:rsidP="00582A68">
            <w:pPr>
              <w:spacing w:after="200" w:line="276" w:lineRule="auto"/>
            </w:pPr>
          </w:p>
        </w:tc>
        <w:tc>
          <w:tcPr>
            <w:tcW w:w="3450" w:type="dxa"/>
            <w:shd w:val="clear" w:color="auto" w:fill="auto"/>
          </w:tcPr>
          <w:p w14:paraId="470B3A74" w14:textId="77777777" w:rsidR="00582A68" w:rsidRPr="006E16F2" w:rsidRDefault="00582A68" w:rsidP="00582A68">
            <w:pPr>
              <w:spacing w:after="200" w:line="276" w:lineRule="auto"/>
            </w:pPr>
            <w:r w:rsidRPr="006E16F2">
              <w:t>Expected number of data subjects concerned</w:t>
            </w:r>
          </w:p>
        </w:tc>
        <w:tc>
          <w:tcPr>
            <w:tcW w:w="3451" w:type="dxa"/>
          </w:tcPr>
          <w:p w14:paraId="4AE59898" w14:textId="2590B51C" w:rsidR="00582A68" w:rsidRPr="006E16F2" w:rsidRDefault="00582A68" w:rsidP="00582A68">
            <w:pPr>
              <w:spacing w:after="200" w:line="276" w:lineRule="auto"/>
            </w:pPr>
          </w:p>
        </w:tc>
        <w:tc>
          <w:tcPr>
            <w:tcW w:w="3451" w:type="dxa"/>
          </w:tcPr>
          <w:p w14:paraId="651BE50B" w14:textId="77777777" w:rsidR="00582A68" w:rsidRPr="006E16F2" w:rsidRDefault="00582A68" w:rsidP="00582A68">
            <w:pPr>
              <w:spacing w:after="200" w:line="276" w:lineRule="auto"/>
            </w:pPr>
          </w:p>
        </w:tc>
      </w:tr>
      <w:tr w:rsidR="00582A68" w:rsidRPr="006E16F2" w14:paraId="269E7205" w14:textId="77777777" w:rsidTr="00AD1071">
        <w:tc>
          <w:tcPr>
            <w:tcW w:w="3510" w:type="dxa"/>
            <w:shd w:val="clear" w:color="auto" w:fill="auto"/>
          </w:tcPr>
          <w:p w14:paraId="71253B28" w14:textId="77777777" w:rsidR="00582A68" w:rsidRPr="006E16F2" w:rsidRDefault="00582A68" w:rsidP="00582A68">
            <w:pPr>
              <w:spacing w:after="200" w:line="276" w:lineRule="auto"/>
            </w:pPr>
            <w:r w:rsidRPr="006E16F2">
              <w:t>Who is the owner of the information?</w:t>
            </w:r>
          </w:p>
          <w:p w14:paraId="3C5B5169" w14:textId="77777777" w:rsidR="00582A68" w:rsidRPr="006E16F2" w:rsidRDefault="00582A68" w:rsidP="00582A68">
            <w:pPr>
              <w:spacing w:after="200" w:line="276" w:lineRule="auto"/>
            </w:pPr>
          </w:p>
        </w:tc>
        <w:tc>
          <w:tcPr>
            <w:tcW w:w="1130" w:type="dxa"/>
            <w:shd w:val="clear" w:color="auto" w:fill="auto"/>
          </w:tcPr>
          <w:p w14:paraId="164F07EF" w14:textId="77777777" w:rsidR="00582A68" w:rsidRPr="006E16F2" w:rsidRDefault="00582A68" w:rsidP="00582A68">
            <w:pPr>
              <w:spacing w:after="200" w:line="276" w:lineRule="auto"/>
            </w:pPr>
          </w:p>
        </w:tc>
        <w:tc>
          <w:tcPr>
            <w:tcW w:w="3450" w:type="dxa"/>
            <w:shd w:val="clear" w:color="auto" w:fill="auto"/>
          </w:tcPr>
          <w:p w14:paraId="70F006AE" w14:textId="77777777" w:rsidR="00582A68" w:rsidRPr="006E16F2" w:rsidRDefault="00582A68" w:rsidP="00582A68">
            <w:pPr>
              <w:spacing w:after="200" w:line="276" w:lineRule="auto"/>
            </w:pPr>
            <w:r w:rsidRPr="006E16F2">
              <w:t>Single point of contact for the day to day use and management of the data</w:t>
            </w:r>
          </w:p>
        </w:tc>
        <w:tc>
          <w:tcPr>
            <w:tcW w:w="3451" w:type="dxa"/>
          </w:tcPr>
          <w:p w14:paraId="1F6DD7FB" w14:textId="3B80B688" w:rsidR="00582A68" w:rsidRPr="006E16F2" w:rsidRDefault="00582A68" w:rsidP="00582A68">
            <w:pPr>
              <w:spacing w:after="200" w:line="276" w:lineRule="auto"/>
            </w:pPr>
          </w:p>
        </w:tc>
        <w:tc>
          <w:tcPr>
            <w:tcW w:w="3451" w:type="dxa"/>
          </w:tcPr>
          <w:p w14:paraId="540388A8" w14:textId="77777777" w:rsidR="00582A68" w:rsidRPr="006E16F2" w:rsidRDefault="00582A68" w:rsidP="00582A68">
            <w:pPr>
              <w:spacing w:after="200" w:line="276" w:lineRule="auto"/>
            </w:pPr>
          </w:p>
        </w:tc>
      </w:tr>
    </w:tbl>
    <w:p w14:paraId="2788ED41" w14:textId="77777777" w:rsidR="00582A68" w:rsidRPr="006E16F2" w:rsidRDefault="00582A68" w:rsidP="00582A68">
      <w:pPr>
        <w:spacing w:after="200" w:line="276" w:lineRule="auto"/>
      </w:pPr>
    </w:p>
    <w:p w14:paraId="4B029C5F" w14:textId="77777777" w:rsidR="00582A68" w:rsidRPr="006E16F2" w:rsidRDefault="00582A68" w:rsidP="00582A68">
      <w:pPr>
        <w:spacing w:after="200" w:line="276" w:lineRule="auto"/>
      </w:pPr>
      <w:r w:rsidRPr="006E16F2">
        <w:t>Further recommendations (Data Protection Officer to complete)</w:t>
      </w:r>
    </w:p>
    <w:p w14:paraId="3E35C679" w14:textId="77777777" w:rsidR="00582A68" w:rsidRPr="006E16F2" w:rsidRDefault="00582A68" w:rsidP="00582A68">
      <w:pPr>
        <w:spacing w:after="200" w:line="276" w:lineRule="auto"/>
      </w:pPr>
    </w:p>
    <w:tbl>
      <w:tblPr>
        <w:tblW w:w="14992"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Look w:val="01E0" w:firstRow="1" w:lastRow="1" w:firstColumn="1" w:lastColumn="1" w:noHBand="0" w:noVBand="0"/>
      </w:tblPr>
      <w:tblGrid>
        <w:gridCol w:w="3936"/>
        <w:gridCol w:w="5953"/>
        <w:gridCol w:w="5103"/>
      </w:tblGrid>
      <w:tr w:rsidR="00582A68" w:rsidRPr="006E16F2" w14:paraId="60387578" w14:textId="77777777" w:rsidTr="00AD1071">
        <w:tc>
          <w:tcPr>
            <w:tcW w:w="3936" w:type="dxa"/>
            <w:shd w:val="clear" w:color="auto" w:fill="auto"/>
          </w:tcPr>
          <w:p w14:paraId="300BE141" w14:textId="77777777" w:rsidR="00582A68" w:rsidRPr="006E16F2" w:rsidRDefault="00582A68" w:rsidP="00582A68">
            <w:pPr>
              <w:spacing w:after="200" w:line="276" w:lineRule="auto"/>
              <w:rPr>
                <w:b/>
                <w:bCs/>
              </w:rPr>
            </w:pPr>
            <w:r w:rsidRPr="006E16F2">
              <w:rPr>
                <w:b/>
                <w:bCs/>
              </w:rPr>
              <w:t>Area</w:t>
            </w:r>
          </w:p>
        </w:tc>
        <w:tc>
          <w:tcPr>
            <w:tcW w:w="5953" w:type="dxa"/>
            <w:shd w:val="clear" w:color="auto" w:fill="auto"/>
          </w:tcPr>
          <w:p w14:paraId="52CD5786" w14:textId="77777777" w:rsidR="00582A68" w:rsidRPr="006E16F2" w:rsidRDefault="00582A68" w:rsidP="00582A68">
            <w:pPr>
              <w:spacing w:after="200" w:line="276" w:lineRule="auto"/>
              <w:rPr>
                <w:b/>
                <w:bCs/>
              </w:rPr>
            </w:pPr>
            <w:r w:rsidRPr="006E16F2">
              <w:rPr>
                <w:b/>
                <w:bCs/>
              </w:rPr>
              <w:t>Notes</w:t>
            </w:r>
          </w:p>
        </w:tc>
        <w:tc>
          <w:tcPr>
            <w:tcW w:w="5103" w:type="dxa"/>
          </w:tcPr>
          <w:p w14:paraId="2AA39283" w14:textId="77777777" w:rsidR="00582A68" w:rsidRPr="006E16F2" w:rsidRDefault="00582A68" w:rsidP="00582A68">
            <w:pPr>
              <w:spacing w:after="200" w:line="276" w:lineRule="auto"/>
              <w:rPr>
                <w:b/>
                <w:bCs/>
              </w:rPr>
            </w:pPr>
            <w:r w:rsidRPr="006E16F2">
              <w:rPr>
                <w:b/>
                <w:bCs/>
              </w:rPr>
              <w:t>Description</w:t>
            </w:r>
          </w:p>
        </w:tc>
      </w:tr>
      <w:tr w:rsidR="00582A68" w:rsidRPr="006E16F2" w14:paraId="10B530D0" w14:textId="77777777" w:rsidTr="00AD1071">
        <w:tc>
          <w:tcPr>
            <w:tcW w:w="3936" w:type="dxa"/>
            <w:shd w:val="clear" w:color="auto" w:fill="auto"/>
          </w:tcPr>
          <w:p w14:paraId="70FF5A2D" w14:textId="77777777" w:rsidR="00582A68" w:rsidRPr="006E16F2" w:rsidRDefault="00582A68" w:rsidP="00AD1071">
            <w:pPr>
              <w:spacing w:after="200" w:line="276" w:lineRule="auto"/>
            </w:pPr>
            <w:r w:rsidRPr="006E16F2">
              <w:t>Access/security</w:t>
            </w:r>
          </w:p>
          <w:p w14:paraId="0F336B88" w14:textId="77777777" w:rsidR="00582A68" w:rsidRPr="006E16F2" w:rsidRDefault="00582A68" w:rsidP="00AD1071">
            <w:pPr>
              <w:spacing w:after="200" w:line="276" w:lineRule="auto"/>
            </w:pPr>
          </w:p>
        </w:tc>
        <w:tc>
          <w:tcPr>
            <w:tcW w:w="5953" w:type="dxa"/>
            <w:shd w:val="clear" w:color="auto" w:fill="auto"/>
          </w:tcPr>
          <w:p w14:paraId="42B10B8F" w14:textId="0737E24F" w:rsidR="00582A68" w:rsidRPr="006E16F2" w:rsidRDefault="00582A68" w:rsidP="00AD1071">
            <w:pPr>
              <w:spacing w:after="200" w:line="276" w:lineRule="auto"/>
            </w:pPr>
            <w:r w:rsidRPr="006E16F2">
              <w:t>Ho</w:t>
            </w:r>
            <w:r w:rsidR="00BB2C7C">
              <w:t xml:space="preserve">w should this data be secured? </w:t>
            </w:r>
            <w:r w:rsidRPr="006E16F2">
              <w:t>Consistent across the media in which it is stored</w:t>
            </w:r>
          </w:p>
          <w:p w14:paraId="1D154DE9" w14:textId="77777777" w:rsidR="00582A68" w:rsidRPr="006E16F2" w:rsidRDefault="00582A68" w:rsidP="00AD1071">
            <w:pPr>
              <w:spacing w:after="200" w:line="276" w:lineRule="auto"/>
            </w:pPr>
          </w:p>
        </w:tc>
        <w:tc>
          <w:tcPr>
            <w:tcW w:w="5103" w:type="dxa"/>
          </w:tcPr>
          <w:p w14:paraId="555A98C5" w14:textId="77777777" w:rsidR="00582A68" w:rsidRPr="006E16F2" w:rsidRDefault="00582A68" w:rsidP="00582A68">
            <w:pPr>
              <w:spacing w:after="200" w:line="276" w:lineRule="auto"/>
            </w:pPr>
          </w:p>
          <w:p w14:paraId="0FA38F17" w14:textId="77777777" w:rsidR="00582A68" w:rsidRPr="006E16F2" w:rsidRDefault="00582A68" w:rsidP="00582A68">
            <w:pPr>
              <w:spacing w:after="200" w:line="276" w:lineRule="auto"/>
            </w:pPr>
          </w:p>
        </w:tc>
      </w:tr>
      <w:tr w:rsidR="00582A68" w:rsidRPr="006E16F2" w14:paraId="6E48B678" w14:textId="77777777" w:rsidTr="00AD1071">
        <w:tc>
          <w:tcPr>
            <w:tcW w:w="3936" w:type="dxa"/>
            <w:shd w:val="clear" w:color="auto" w:fill="auto"/>
          </w:tcPr>
          <w:p w14:paraId="121E4BAB" w14:textId="77777777" w:rsidR="00582A68" w:rsidRPr="006E16F2" w:rsidRDefault="00582A68" w:rsidP="00582A68">
            <w:pPr>
              <w:spacing w:after="200" w:line="276" w:lineRule="auto"/>
            </w:pPr>
            <w:r w:rsidRPr="006E16F2">
              <w:t>Restrictions</w:t>
            </w:r>
          </w:p>
          <w:p w14:paraId="2F49AA20" w14:textId="77777777" w:rsidR="00582A68" w:rsidRPr="006E16F2" w:rsidRDefault="00582A68" w:rsidP="00582A68">
            <w:pPr>
              <w:spacing w:after="200" w:line="276" w:lineRule="auto"/>
            </w:pPr>
          </w:p>
        </w:tc>
        <w:tc>
          <w:tcPr>
            <w:tcW w:w="5953" w:type="dxa"/>
            <w:shd w:val="clear" w:color="auto" w:fill="auto"/>
          </w:tcPr>
          <w:p w14:paraId="381060A5" w14:textId="55BDF30D" w:rsidR="00582A68" w:rsidRPr="006E16F2" w:rsidRDefault="00582A68" w:rsidP="00582A68">
            <w:pPr>
              <w:spacing w:after="200" w:line="276" w:lineRule="auto"/>
            </w:pPr>
            <w:r w:rsidRPr="006E16F2">
              <w:t xml:space="preserve">Does the </w:t>
            </w:r>
            <w:r w:rsidR="007836E0" w:rsidRPr="006E16F2">
              <w:t>activity</w:t>
            </w:r>
            <w:r w:rsidRPr="006E16F2">
              <w:t xml:space="preserve"> relate to information which is in any way exempt from fair processing provisions?</w:t>
            </w:r>
          </w:p>
          <w:p w14:paraId="67587DAB" w14:textId="77777777" w:rsidR="00582A68" w:rsidRPr="006E16F2" w:rsidRDefault="00582A68" w:rsidP="00582A68">
            <w:pPr>
              <w:spacing w:after="200" w:line="276" w:lineRule="auto"/>
            </w:pPr>
          </w:p>
        </w:tc>
        <w:tc>
          <w:tcPr>
            <w:tcW w:w="5103" w:type="dxa"/>
          </w:tcPr>
          <w:p w14:paraId="48DA0042" w14:textId="77777777" w:rsidR="00582A68" w:rsidRPr="006E16F2" w:rsidRDefault="00582A68" w:rsidP="00582A68">
            <w:pPr>
              <w:spacing w:after="200" w:line="276" w:lineRule="auto"/>
            </w:pPr>
          </w:p>
        </w:tc>
      </w:tr>
      <w:tr w:rsidR="00582A68" w:rsidRPr="006E16F2" w14:paraId="2E47F88E" w14:textId="77777777" w:rsidTr="00AD1071">
        <w:tc>
          <w:tcPr>
            <w:tcW w:w="3936" w:type="dxa"/>
            <w:shd w:val="clear" w:color="auto" w:fill="auto"/>
          </w:tcPr>
          <w:p w14:paraId="768D1945" w14:textId="77777777" w:rsidR="00582A68" w:rsidRPr="006E16F2" w:rsidRDefault="00582A68" w:rsidP="00582A68">
            <w:pPr>
              <w:spacing w:after="200" w:line="276" w:lineRule="auto"/>
            </w:pPr>
            <w:r w:rsidRPr="006E16F2">
              <w:t>Accuracy checks</w:t>
            </w:r>
          </w:p>
          <w:p w14:paraId="1E0F59B0" w14:textId="77777777" w:rsidR="00582A68" w:rsidRPr="006E16F2" w:rsidRDefault="00582A68" w:rsidP="00582A68">
            <w:pPr>
              <w:spacing w:after="200" w:line="276" w:lineRule="auto"/>
            </w:pPr>
          </w:p>
        </w:tc>
        <w:tc>
          <w:tcPr>
            <w:tcW w:w="5953" w:type="dxa"/>
            <w:shd w:val="clear" w:color="auto" w:fill="auto"/>
          </w:tcPr>
          <w:p w14:paraId="4DF084E3" w14:textId="77777777" w:rsidR="00582A68" w:rsidRPr="006E16F2" w:rsidRDefault="00582A68" w:rsidP="00582A68">
            <w:pPr>
              <w:spacing w:after="200" w:line="276" w:lineRule="auto"/>
            </w:pPr>
            <w:r w:rsidRPr="006E16F2">
              <w:t>How frequently should accuracy be checked?  How should this be managed?</w:t>
            </w:r>
          </w:p>
        </w:tc>
        <w:tc>
          <w:tcPr>
            <w:tcW w:w="5103" w:type="dxa"/>
          </w:tcPr>
          <w:p w14:paraId="1F26CB0A" w14:textId="77777777" w:rsidR="00582A68" w:rsidRPr="006E16F2" w:rsidRDefault="00582A68" w:rsidP="00582A68">
            <w:pPr>
              <w:spacing w:after="200" w:line="276" w:lineRule="auto"/>
            </w:pPr>
          </w:p>
        </w:tc>
      </w:tr>
      <w:tr w:rsidR="00582A68" w:rsidRPr="006E16F2" w14:paraId="1717DA23" w14:textId="77777777" w:rsidTr="00AD1071">
        <w:tc>
          <w:tcPr>
            <w:tcW w:w="3936" w:type="dxa"/>
            <w:shd w:val="clear" w:color="auto" w:fill="auto"/>
          </w:tcPr>
          <w:p w14:paraId="1A1722B9" w14:textId="77777777" w:rsidR="00582A68" w:rsidRPr="006E16F2" w:rsidRDefault="00582A68" w:rsidP="00582A68">
            <w:pPr>
              <w:spacing w:after="200" w:line="276" w:lineRule="auto"/>
            </w:pPr>
            <w:r w:rsidRPr="006E16F2">
              <w:t>Retention/disposal</w:t>
            </w:r>
          </w:p>
          <w:p w14:paraId="049BE376" w14:textId="77777777" w:rsidR="00582A68" w:rsidRPr="006E16F2" w:rsidRDefault="00582A68" w:rsidP="00582A68">
            <w:pPr>
              <w:spacing w:after="200" w:line="276" w:lineRule="auto"/>
            </w:pPr>
          </w:p>
        </w:tc>
        <w:tc>
          <w:tcPr>
            <w:tcW w:w="5953" w:type="dxa"/>
            <w:shd w:val="clear" w:color="auto" w:fill="auto"/>
          </w:tcPr>
          <w:p w14:paraId="6B71C795" w14:textId="28CE18CE" w:rsidR="00582A68" w:rsidRPr="006E16F2" w:rsidRDefault="00582A68" w:rsidP="00582A68">
            <w:pPr>
              <w:spacing w:after="200" w:line="276" w:lineRule="auto"/>
            </w:pPr>
            <w:r w:rsidRPr="006E16F2">
              <w:t>How long do we need to keep this data for? Is there a legal reason for keeping (or not keeping) the data?</w:t>
            </w:r>
          </w:p>
          <w:p w14:paraId="0702954B" w14:textId="77777777" w:rsidR="00582A68" w:rsidRPr="006E16F2" w:rsidRDefault="00582A68" w:rsidP="00582A68">
            <w:pPr>
              <w:spacing w:after="200" w:line="276" w:lineRule="auto"/>
            </w:pPr>
            <w:r w:rsidRPr="006E16F2">
              <w:t>Where should in active records be stored?</w:t>
            </w:r>
          </w:p>
        </w:tc>
        <w:tc>
          <w:tcPr>
            <w:tcW w:w="5103" w:type="dxa"/>
          </w:tcPr>
          <w:p w14:paraId="092622F6" w14:textId="77777777" w:rsidR="00582A68" w:rsidRPr="006E16F2" w:rsidRDefault="00582A68" w:rsidP="00582A68">
            <w:pPr>
              <w:spacing w:after="200" w:line="276" w:lineRule="auto"/>
            </w:pPr>
          </w:p>
        </w:tc>
      </w:tr>
      <w:tr w:rsidR="00582A68" w:rsidRPr="006E16F2" w14:paraId="35637EC9" w14:textId="77777777" w:rsidTr="00AD1071">
        <w:tc>
          <w:tcPr>
            <w:tcW w:w="3936" w:type="dxa"/>
            <w:shd w:val="clear" w:color="auto" w:fill="auto"/>
          </w:tcPr>
          <w:p w14:paraId="09182EFC" w14:textId="77777777" w:rsidR="00582A68" w:rsidRPr="006E16F2" w:rsidRDefault="00582A68" w:rsidP="00582A68">
            <w:pPr>
              <w:spacing w:after="200" w:line="276" w:lineRule="auto"/>
            </w:pPr>
            <w:r w:rsidRPr="006E16F2">
              <w:t>Policy/procedure/guidance</w:t>
            </w:r>
          </w:p>
          <w:p w14:paraId="7FCF2AD9" w14:textId="77777777" w:rsidR="00582A68" w:rsidRPr="006E16F2" w:rsidRDefault="00582A68" w:rsidP="00582A68">
            <w:pPr>
              <w:spacing w:after="200" w:line="276" w:lineRule="auto"/>
            </w:pPr>
          </w:p>
          <w:p w14:paraId="49ABB49A" w14:textId="77777777" w:rsidR="00582A68" w:rsidRPr="006E16F2" w:rsidRDefault="00582A68" w:rsidP="00582A68">
            <w:pPr>
              <w:spacing w:after="200" w:line="276" w:lineRule="auto"/>
            </w:pPr>
          </w:p>
        </w:tc>
        <w:tc>
          <w:tcPr>
            <w:tcW w:w="5953" w:type="dxa"/>
            <w:shd w:val="clear" w:color="auto" w:fill="auto"/>
          </w:tcPr>
          <w:p w14:paraId="5B3C55D4" w14:textId="6A94309D" w:rsidR="00582A68" w:rsidRPr="006E16F2" w:rsidRDefault="00582A68" w:rsidP="00BB2C7C">
            <w:pPr>
              <w:spacing w:after="200" w:line="276" w:lineRule="auto"/>
            </w:pPr>
            <w:r w:rsidRPr="006E16F2">
              <w:t>Is there a policy/procedure or guidance that covers this activity? Does it need updating?</w:t>
            </w:r>
          </w:p>
        </w:tc>
        <w:tc>
          <w:tcPr>
            <w:tcW w:w="5103" w:type="dxa"/>
          </w:tcPr>
          <w:p w14:paraId="34B596B5" w14:textId="77777777" w:rsidR="00582A68" w:rsidRPr="006E16F2" w:rsidRDefault="00582A68" w:rsidP="00582A68">
            <w:pPr>
              <w:spacing w:after="200" w:line="276" w:lineRule="auto"/>
            </w:pPr>
          </w:p>
        </w:tc>
      </w:tr>
      <w:tr w:rsidR="007836E0" w:rsidRPr="006E16F2" w14:paraId="147EFF1C" w14:textId="77777777" w:rsidTr="00582A68">
        <w:tc>
          <w:tcPr>
            <w:tcW w:w="3936" w:type="dxa"/>
            <w:shd w:val="clear" w:color="auto" w:fill="auto"/>
          </w:tcPr>
          <w:p w14:paraId="316FFECE" w14:textId="77777777" w:rsidR="007836E0" w:rsidRPr="006E16F2" w:rsidRDefault="007836E0" w:rsidP="00582A68">
            <w:pPr>
              <w:spacing w:after="200" w:line="276" w:lineRule="auto"/>
            </w:pPr>
            <w:r w:rsidRPr="006E16F2">
              <w:t>Review</w:t>
            </w:r>
          </w:p>
          <w:p w14:paraId="6AE67678" w14:textId="7B095E35" w:rsidR="007836E0" w:rsidRPr="006E16F2" w:rsidRDefault="007836E0" w:rsidP="00582A68">
            <w:pPr>
              <w:spacing w:after="200" w:line="276" w:lineRule="auto"/>
            </w:pPr>
          </w:p>
        </w:tc>
        <w:tc>
          <w:tcPr>
            <w:tcW w:w="5953" w:type="dxa"/>
            <w:shd w:val="clear" w:color="auto" w:fill="auto"/>
          </w:tcPr>
          <w:p w14:paraId="265BB6CE" w14:textId="5A3EAD69" w:rsidR="007836E0" w:rsidRPr="006E16F2" w:rsidRDefault="007836E0" w:rsidP="00582A68">
            <w:pPr>
              <w:spacing w:after="200" w:line="276" w:lineRule="auto"/>
            </w:pPr>
            <w:r w:rsidRPr="006E16F2">
              <w:t>What is the recommended period of review of this assessment?</w:t>
            </w:r>
          </w:p>
        </w:tc>
        <w:tc>
          <w:tcPr>
            <w:tcW w:w="5103" w:type="dxa"/>
          </w:tcPr>
          <w:p w14:paraId="2780D52E" w14:textId="77777777" w:rsidR="007836E0" w:rsidRPr="006E16F2" w:rsidRDefault="007836E0" w:rsidP="00582A68">
            <w:pPr>
              <w:spacing w:after="200" w:line="276" w:lineRule="auto"/>
            </w:pPr>
          </w:p>
        </w:tc>
      </w:tr>
      <w:tr w:rsidR="00582A68" w:rsidRPr="00582A68" w14:paraId="5DEE63BD" w14:textId="77777777" w:rsidTr="00AD1071">
        <w:tc>
          <w:tcPr>
            <w:tcW w:w="3936" w:type="dxa"/>
            <w:shd w:val="clear" w:color="auto" w:fill="C0C0C0"/>
          </w:tcPr>
          <w:p w14:paraId="4503C77A" w14:textId="77777777" w:rsidR="00582A68" w:rsidRPr="006E16F2" w:rsidRDefault="00582A68" w:rsidP="00582A68">
            <w:pPr>
              <w:spacing w:after="200" w:line="276" w:lineRule="auto"/>
            </w:pPr>
            <w:r w:rsidRPr="006E16F2">
              <w:t>Protective marking</w:t>
            </w:r>
          </w:p>
          <w:p w14:paraId="3D0860B9" w14:textId="77777777" w:rsidR="00582A68" w:rsidRPr="006E16F2" w:rsidRDefault="00582A68" w:rsidP="00582A68">
            <w:pPr>
              <w:spacing w:after="200" w:line="276" w:lineRule="auto"/>
            </w:pPr>
          </w:p>
        </w:tc>
        <w:tc>
          <w:tcPr>
            <w:tcW w:w="5953" w:type="dxa"/>
            <w:shd w:val="clear" w:color="auto" w:fill="C0C0C0"/>
          </w:tcPr>
          <w:p w14:paraId="0573650A" w14:textId="481BEF4D" w:rsidR="00582A68" w:rsidRPr="00582A68" w:rsidRDefault="00582A68" w:rsidP="00582A68">
            <w:pPr>
              <w:spacing w:after="200" w:line="276" w:lineRule="auto"/>
            </w:pPr>
            <w:r w:rsidRPr="006E16F2">
              <w:t>The minimum marking for pe</w:t>
            </w:r>
            <w:r w:rsidR="00B43988" w:rsidRPr="006E16F2">
              <w:t>rsonal information is ‘Official’</w:t>
            </w:r>
          </w:p>
        </w:tc>
        <w:tc>
          <w:tcPr>
            <w:tcW w:w="5103" w:type="dxa"/>
            <w:shd w:val="clear" w:color="auto" w:fill="C0C0C0"/>
          </w:tcPr>
          <w:p w14:paraId="36F7DD37" w14:textId="77777777" w:rsidR="00582A68" w:rsidRPr="00582A68" w:rsidRDefault="00582A68" w:rsidP="00582A68">
            <w:pPr>
              <w:spacing w:after="200" w:line="276" w:lineRule="auto"/>
            </w:pPr>
          </w:p>
        </w:tc>
      </w:tr>
      <w:bookmarkEnd w:id="157"/>
      <w:bookmarkEnd w:id="158"/>
      <w:bookmarkEnd w:id="159"/>
      <w:bookmarkEnd w:id="160"/>
    </w:tbl>
    <w:p w14:paraId="47C33320" w14:textId="34623871" w:rsidR="00102922" w:rsidRDefault="00102922" w:rsidP="004F02A5"/>
    <w:sectPr w:rsidR="00102922" w:rsidSect="007D7FE7">
      <w:pgSz w:w="16838" w:h="11906" w:orient="landscape"/>
      <w:pgMar w:top="1080" w:right="1440" w:bottom="108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5DB85" w14:textId="77777777" w:rsidR="0022761E" w:rsidRDefault="0022761E" w:rsidP="007C3C55">
      <w:r>
        <w:separator/>
      </w:r>
    </w:p>
  </w:endnote>
  <w:endnote w:type="continuationSeparator" w:id="0">
    <w:p w14:paraId="2A6CD3D0" w14:textId="77777777" w:rsidR="0022761E" w:rsidRDefault="0022761E" w:rsidP="007C3C55">
      <w:r>
        <w:continuationSeparator/>
      </w:r>
    </w:p>
  </w:endnote>
  <w:endnote w:type="continuationNotice" w:id="1">
    <w:p w14:paraId="1572CFB7" w14:textId="77777777" w:rsidR="0022761E" w:rsidRDefault="002276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wis721 Lt BT">
    <w:altName w:val="Courier New"/>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00930" w14:textId="6EF9082C" w:rsidR="0022761E" w:rsidRDefault="0022761E" w:rsidP="00517E90">
    <w:pPr>
      <w:pStyle w:val="Footer"/>
      <w:jc w:val="center"/>
    </w:pPr>
    <w:r>
      <w:fldChar w:fldCharType="begin"/>
    </w:r>
    <w:r>
      <w:instrText xml:space="preserve"> PAGE   \* MERGEFORMAT </w:instrText>
    </w:r>
    <w:r>
      <w:fldChar w:fldCharType="separate"/>
    </w:r>
    <w:r w:rsidR="00C35856">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7F606" w14:textId="261C2EAA" w:rsidR="0022761E" w:rsidRDefault="0022761E" w:rsidP="00D52DC5">
    <w:pPr>
      <w:pStyle w:val="Footer"/>
      <w:jc w:val="center"/>
    </w:pPr>
    <w:r>
      <w:fldChar w:fldCharType="begin"/>
    </w:r>
    <w:r>
      <w:instrText xml:space="preserve"> PAGE   \* MERGEFORMAT </w:instrText>
    </w:r>
    <w:r>
      <w:fldChar w:fldCharType="separate"/>
    </w:r>
    <w:r w:rsidR="00780CE1">
      <w:rPr>
        <w:noProof/>
      </w:rPr>
      <w:t>30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057708"/>
      <w:docPartObj>
        <w:docPartGallery w:val="Page Numbers (Bottom of Page)"/>
        <w:docPartUnique/>
      </w:docPartObj>
    </w:sdtPr>
    <w:sdtEndPr>
      <w:rPr>
        <w:noProof/>
      </w:rPr>
    </w:sdtEndPr>
    <w:sdtContent>
      <w:p w14:paraId="34DF9FD4" w14:textId="4F605201" w:rsidR="0022761E" w:rsidRDefault="0022761E">
        <w:pPr>
          <w:pStyle w:val="Footer"/>
          <w:jc w:val="center"/>
        </w:pPr>
        <w:r>
          <w:fldChar w:fldCharType="begin"/>
        </w:r>
        <w:r>
          <w:instrText xml:space="preserve"> PAGE   \* MERGEFORMAT </w:instrText>
        </w:r>
        <w:r>
          <w:fldChar w:fldCharType="separate"/>
        </w:r>
        <w:r w:rsidR="00780CE1">
          <w:rPr>
            <w:noProof/>
          </w:rPr>
          <w:t>31</w:t>
        </w:r>
        <w:r>
          <w:rPr>
            <w:noProof/>
          </w:rPr>
          <w:fldChar w:fldCharType="end"/>
        </w:r>
      </w:p>
    </w:sdtContent>
  </w:sdt>
  <w:p w14:paraId="020348CC" w14:textId="77777777" w:rsidR="0022761E" w:rsidRDefault="00227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FE5B1" w14:textId="77777777" w:rsidR="0022761E" w:rsidRDefault="0022761E" w:rsidP="007C3C55">
      <w:r>
        <w:separator/>
      </w:r>
    </w:p>
  </w:footnote>
  <w:footnote w:type="continuationSeparator" w:id="0">
    <w:p w14:paraId="183F103E" w14:textId="77777777" w:rsidR="0022761E" w:rsidRDefault="0022761E" w:rsidP="007C3C55">
      <w:r>
        <w:continuationSeparator/>
      </w:r>
    </w:p>
  </w:footnote>
  <w:footnote w:type="continuationNotice" w:id="1">
    <w:p w14:paraId="3DBB6B8D" w14:textId="77777777" w:rsidR="0022761E" w:rsidRDefault="0022761E"/>
  </w:footnote>
  <w:footnote w:id="2">
    <w:p w14:paraId="2D935E2C" w14:textId="046FEBEB" w:rsidR="0022761E" w:rsidRDefault="0022761E" w:rsidP="007C3C55">
      <w:pPr>
        <w:pStyle w:val="FootnoteText"/>
      </w:pPr>
      <w:r>
        <w:rPr>
          <w:rStyle w:val="FootnoteReference"/>
        </w:rPr>
        <w:footnoteRef/>
      </w:r>
      <w:r>
        <w:t xml:space="preserve"> In this resource we use ‘RO’ as a generic term to refer to all types of Returning Officer.</w:t>
      </w:r>
    </w:p>
  </w:footnote>
  <w:footnote w:id="3">
    <w:p w14:paraId="670DDB90" w14:textId="057C49A2" w:rsidR="0022761E" w:rsidRDefault="0022761E">
      <w:pPr>
        <w:pStyle w:val="FootnoteText"/>
      </w:pPr>
      <w:r>
        <w:rPr>
          <w:rStyle w:val="FootnoteReference"/>
        </w:rPr>
        <w:footnoteRef/>
      </w:r>
      <w:r>
        <w:t xml:space="preserve"> Digital Economy Act 2017</w:t>
      </w:r>
    </w:p>
  </w:footnote>
  <w:footnote w:id="4">
    <w:p w14:paraId="71979DEB" w14:textId="0017A64B" w:rsidR="0022761E" w:rsidRDefault="0022761E">
      <w:pPr>
        <w:pStyle w:val="FootnoteText"/>
      </w:pPr>
      <w:r>
        <w:rPr>
          <w:rStyle w:val="FootnoteReference"/>
        </w:rPr>
        <w:footnoteRef/>
      </w:r>
      <w:r>
        <w:t xml:space="preserve"> Art 6 GDPR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2E0D"/>
    <w:multiLevelType w:val="hybridMultilevel"/>
    <w:tmpl w:val="A782C550"/>
    <w:lvl w:ilvl="0" w:tplc="05865166">
      <w:start w:val="1"/>
      <w:numFmt w:val="decimal"/>
      <w:lvlText w:val="%1."/>
      <w:lvlJc w:val="left"/>
      <w:pPr>
        <w:ind w:left="720" w:hanging="720"/>
      </w:pPr>
      <w:rPr>
        <w:i w:val="0"/>
        <w:color w:val="000000" w:themeColor="text1"/>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88C68BD"/>
    <w:multiLevelType w:val="hybridMultilevel"/>
    <w:tmpl w:val="7C30C7AE"/>
    <w:lvl w:ilvl="0" w:tplc="E8E8CF4A">
      <w:start w:val="1"/>
      <w:numFmt w:val="bullet"/>
      <w:pStyle w:val="ECbulletstyle"/>
      <w:lvlText w:val=""/>
      <w:lvlJc w:val="left"/>
      <w:pPr>
        <w:tabs>
          <w:tab w:val="num" w:pos="567"/>
        </w:tabs>
        <w:ind w:left="567" w:hanging="567"/>
      </w:pPr>
      <w:rPr>
        <w:rFonts w:ascii="Symbol" w:hAnsi="Symbol" w:hint="default"/>
        <w:color w:val="0099CC"/>
      </w:rPr>
    </w:lvl>
    <w:lvl w:ilvl="1" w:tplc="04090003">
      <w:start w:val="1"/>
      <w:numFmt w:val="bullet"/>
      <w:lvlText w:val=""/>
      <w:lvlJc w:val="left"/>
      <w:pPr>
        <w:tabs>
          <w:tab w:val="num" w:pos="1647"/>
        </w:tabs>
        <w:ind w:left="1647" w:hanging="567"/>
      </w:pPr>
      <w:rPr>
        <w:rFonts w:ascii="Symbol" w:hAnsi="Symbol" w:hint="default"/>
        <w:color w:val="auto"/>
      </w:rPr>
    </w:lvl>
    <w:lvl w:ilvl="2" w:tplc="04090005">
      <w:numFmt w:val="bullet"/>
      <w:lvlText w:val="-"/>
      <w:lvlJc w:val="left"/>
      <w:pPr>
        <w:tabs>
          <w:tab w:val="num" w:pos="2160"/>
        </w:tabs>
        <w:ind w:left="2160" w:hanging="360"/>
      </w:pPr>
      <w:rPr>
        <w:rFonts w:ascii="Swis721 Lt BT" w:eastAsia="Times New Roman" w:hAnsi="Swis721 Lt BT"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C50312"/>
    <w:multiLevelType w:val="hybridMultilevel"/>
    <w:tmpl w:val="40348CFC"/>
    <w:lvl w:ilvl="0" w:tplc="0E7630EE">
      <w:start w:val="1"/>
      <w:numFmt w:val="bullet"/>
      <w:pStyle w:val="Boxbulletpoints"/>
      <w:lvlText w:val=""/>
      <w:lvlJc w:val="left"/>
      <w:pPr>
        <w:ind w:left="720" w:hanging="360"/>
      </w:pPr>
      <w:rPr>
        <w:rFonts w:ascii="Symbol" w:hAnsi="Symbol" w:hint="default"/>
        <w:color w:val="0099CC"/>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223B4"/>
    <w:multiLevelType w:val="hybridMultilevel"/>
    <w:tmpl w:val="2604AA60"/>
    <w:lvl w:ilvl="0" w:tplc="E570C0A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44074"/>
    <w:multiLevelType w:val="hybridMultilevel"/>
    <w:tmpl w:val="1CE84450"/>
    <w:lvl w:ilvl="0" w:tplc="9D2AE4AC">
      <w:start w:val="1"/>
      <w:numFmt w:val="decimal"/>
      <w:pStyle w:val="ECnumberlistlevel1"/>
      <w:lvlText w:val="%1."/>
      <w:lvlJc w:val="left"/>
      <w:pPr>
        <w:tabs>
          <w:tab w:val="num" w:pos="567"/>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6B2A69"/>
    <w:multiLevelType w:val="hybridMultilevel"/>
    <w:tmpl w:val="CEEE0786"/>
    <w:lvl w:ilvl="0" w:tplc="A7CA62F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DA5A7B"/>
    <w:multiLevelType w:val="hybridMultilevel"/>
    <w:tmpl w:val="06BEF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9B6744"/>
    <w:multiLevelType w:val="multilevel"/>
    <w:tmpl w:val="E69A3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547461"/>
    <w:multiLevelType w:val="hybridMultilevel"/>
    <w:tmpl w:val="E5322A2A"/>
    <w:lvl w:ilvl="0" w:tplc="166A5016">
      <w:start w:val="1"/>
      <w:numFmt w:val="bullet"/>
      <w:pStyle w:val="Bulletpoints"/>
      <w:lvlText w:val=""/>
      <w:lvlJc w:val="left"/>
      <w:pPr>
        <w:ind w:left="720" w:hanging="360"/>
      </w:pPr>
      <w:rPr>
        <w:rFonts w:ascii="Symbol" w:hAnsi="Symbol" w:hint="default"/>
        <w:color w:val="0099CC"/>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4D65F6"/>
    <w:multiLevelType w:val="hybridMultilevel"/>
    <w:tmpl w:val="D5C46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CCD247F"/>
    <w:multiLevelType w:val="hybridMultilevel"/>
    <w:tmpl w:val="CC845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D8F1BBC"/>
    <w:multiLevelType w:val="multilevel"/>
    <w:tmpl w:val="17C89578"/>
    <w:lvl w:ilvl="0">
      <w:start w:val="1"/>
      <w:numFmt w:val="decimal"/>
      <w:pStyle w:val="Chapterhead"/>
      <w:lvlText w:val="%1"/>
      <w:lvlJc w:val="left"/>
      <w:pPr>
        <w:ind w:left="720" w:hanging="360"/>
      </w:pPr>
      <w:rPr>
        <w:rFonts w:hint="default"/>
        <w:b w:val="0"/>
      </w:rPr>
    </w:lvl>
    <w:lvl w:ilvl="1">
      <w:start w:val="1"/>
      <w:numFmt w:val="decimal"/>
      <w:pStyle w:val="Paranumber"/>
      <w:isLgl/>
      <w:lvlText w:val="%1.%2"/>
      <w:lvlJc w:val="left"/>
      <w:pPr>
        <w:ind w:left="1288"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7F7D23C0"/>
    <w:multiLevelType w:val="hybridMultilevel"/>
    <w:tmpl w:val="8912EE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11"/>
  </w:num>
  <w:num w:numId="4">
    <w:abstractNumId w:val="2"/>
  </w:num>
  <w:num w:numId="5">
    <w:abstractNumId w:val="8"/>
  </w:num>
  <w:num w:numId="6">
    <w:abstractNumId w:val="11"/>
  </w:num>
  <w:num w:numId="7">
    <w:abstractNumId w:val="11"/>
  </w:num>
  <w:num w:numId="8">
    <w:abstractNumId w:val="8"/>
  </w:num>
  <w:num w:numId="9">
    <w:abstractNumId w:val="11"/>
  </w:num>
  <w:num w:numId="10">
    <w:abstractNumId w:val="11"/>
  </w:num>
  <w:num w:numId="11">
    <w:abstractNumId w:val="11"/>
  </w:num>
  <w:num w:numId="12">
    <w:abstractNumId w:val="8"/>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1"/>
  </w:num>
  <w:num w:numId="18">
    <w:abstractNumId w:val="11"/>
  </w:num>
  <w:num w:numId="19">
    <w:abstractNumId w:val="12"/>
  </w:num>
  <w:num w:numId="20">
    <w:abstractNumId w:val="10"/>
  </w:num>
  <w:num w:numId="21">
    <w:abstractNumId w:val="9"/>
  </w:num>
  <w:num w:numId="22">
    <w:abstractNumId w:val="4"/>
  </w:num>
  <w:num w:numId="23">
    <w:abstractNumId w:val="1"/>
  </w:num>
  <w:num w:numId="24">
    <w:abstractNumId w:val="4"/>
    <w:lvlOverride w:ilvl="0">
      <w:startOverride w:val="1"/>
    </w:lvlOverride>
  </w:num>
  <w:num w:numId="25">
    <w:abstractNumId w:val="4"/>
    <w:lvlOverride w:ilvl="0">
      <w:startOverride w:val="1"/>
    </w:lvlOverride>
  </w:num>
  <w:num w:numId="26">
    <w:abstractNumId w:val="3"/>
  </w:num>
  <w:num w:numId="27">
    <w:abstractNumId w:val="7"/>
  </w:num>
  <w:num w:numId="28">
    <w:abstractNumId w:val="5"/>
  </w:num>
  <w:num w:numId="29">
    <w:abstractNumId w:val="11"/>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560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C55"/>
    <w:rsid w:val="000029E8"/>
    <w:rsid w:val="000051D8"/>
    <w:rsid w:val="00006C9E"/>
    <w:rsid w:val="000115D1"/>
    <w:rsid w:val="000123B9"/>
    <w:rsid w:val="00013CE2"/>
    <w:rsid w:val="00015077"/>
    <w:rsid w:val="000200FF"/>
    <w:rsid w:val="00023A9E"/>
    <w:rsid w:val="00025837"/>
    <w:rsid w:val="000301DD"/>
    <w:rsid w:val="00035FE0"/>
    <w:rsid w:val="00036585"/>
    <w:rsid w:val="000376B2"/>
    <w:rsid w:val="000447DB"/>
    <w:rsid w:val="00047B32"/>
    <w:rsid w:val="00050FA7"/>
    <w:rsid w:val="0005648C"/>
    <w:rsid w:val="0005663D"/>
    <w:rsid w:val="00062F2F"/>
    <w:rsid w:val="0006469E"/>
    <w:rsid w:val="00064CBC"/>
    <w:rsid w:val="00070360"/>
    <w:rsid w:val="00071ED9"/>
    <w:rsid w:val="00074D7F"/>
    <w:rsid w:val="000756BB"/>
    <w:rsid w:val="000820DB"/>
    <w:rsid w:val="00083EEF"/>
    <w:rsid w:val="0009184D"/>
    <w:rsid w:val="00092201"/>
    <w:rsid w:val="000922B7"/>
    <w:rsid w:val="00096EA9"/>
    <w:rsid w:val="000A361A"/>
    <w:rsid w:val="000B3B90"/>
    <w:rsid w:val="000B4B38"/>
    <w:rsid w:val="000B7177"/>
    <w:rsid w:val="000D09BC"/>
    <w:rsid w:val="000D2AE6"/>
    <w:rsid w:val="000D5FE0"/>
    <w:rsid w:val="000D7E57"/>
    <w:rsid w:val="000E0266"/>
    <w:rsid w:val="000E2293"/>
    <w:rsid w:val="000E2C0F"/>
    <w:rsid w:val="000E33A8"/>
    <w:rsid w:val="000F188C"/>
    <w:rsid w:val="000F3A98"/>
    <w:rsid w:val="00100EF7"/>
    <w:rsid w:val="00102172"/>
    <w:rsid w:val="00102922"/>
    <w:rsid w:val="0010499E"/>
    <w:rsid w:val="001161AB"/>
    <w:rsid w:val="00117A01"/>
    <w:rsid w:val="00127888"/>
    <w:rsid w:val="001315DD"/>
    <w:rsid w:val="001347F7"/>
    <w:rsid w:val="00134CFA"/>
    <w:rsid w:val="00137847"/>
    <w:rsid w:val="00142F7F"/>
    <w:rsid w:val="00144062"/>
    <w:rsid w:val="0014608F"/>
    <w:rsid w:val="0015219D"/>
    <w:rsid w:val="00152717"/>
    <w:rsid w:val="0015514C"/>
    <w:rsid w:val="001556CB"/>
    <w:rsid w:val="00156253"/>
    <w:rsid w:val="00156A9C"/>
    <w:rsid w:val="00160C95"/>
    <w:rsid w:val="00162010"/>
    <w:rsid w:val="0016446C"/>
    <w:rsid w:val="0016770D"/>
    <w:rsid w:val="0017571F"/>
    <w:rsid w:val="001800C2"/>
    <w:rsid w:val="00183C79"/>
    <w:rsid w:val="00186B84"/>
    <w:rsid w:val="001914C9"/>
    <w:rsid w:val="0019539D"/>
    <w:rsid w:val="001A0AEB"/>
    <w:rsid w:val="001A0EFF"/>
    <w:rsid w:val="001A2F3D"/>
    <w:rsid w:val="001C1B37"/>
    <w:rsid w:val="001D099B"/>
    <w:rsid w:val="001E08AC"/>
    <w:rsid w:val="001E1834"/>
    <w:rsid w:val="001E1979"/>
    <w:rsid w:val="001E44ED"/>
    <w:rsid w:val="001E4C8D"/>
    <w:rsid w:val="001E66AA"/>
    <w:rsid w:val="001F5522"/>
    <w:rsid w:val="001F6DAD"/>
    <w:rsid w:val="001F7766"/>
    <w:rsid w:val="00201286"/>
    <w:rsid w:val="00204825"/>
    <w:rsid w:val="00210846"/>
    <w:rsid w:val="00211A12"/>
    <w:rsid w:val="0021791D"/>
    <w:rsid w:val="00221292"/>
    <w:rsid w:val="00222AF3"/>
    <w:rsid w:val="0022761E"/>
    <w:rsid w:val="00227697"/>
    <w:rsid w:val="0024058D"/>
    <w:rsid w:val="00240F4A"/>
    <w:rsid w:val="00241CBF"/>
    <w:rsid w:val="00243876"/>
    <w:rsid w:val="00246EA4"/>
    <w:rsid w:val="00250402"/>
    <w:rsid w:val="00264531"/>
    <w:rsid w:val="0026540C"/>
    <w:rsid w:val="00272299"/>
    <w:rsid w:val="00273A9E"/>
    <w:rsid w:val="00277623"/>
    <w:rsid w:val="00280C2C"/>
    <w:rsid w:val="00280E14"/>
    <w:rsid w:val="002840FA"/>
    <w:rsid w:val="00284CD5"/>
    <w:rsid w:val="00285083"/>
    <w:rsid w:val="002955D5"/>
    <w:rsid w:val="00295E66"/>
    <w:rsid w:val="00297137"/>
    <w:rsid w:val="002A2C50"/>
    <w:rsid w:val="002A5B1E"/>
    <w:rsid w:val="002A6E2F"/>
    <w:rsid w:val="002B6196"/>
    <w:rsid w:val="002B71B0"/>
    <w:rsid w:val="002D236B"/>
    <w:rsid w:val="002D415B"/>
    <w:rsid w:val="002E19A4"/>
    <w:rsid w:val="002E36DC"/>
    <w:rsid w:val="002E5654"/>
    <w:rsid w:val="002F148C"/>
    <w:rsid w:val="002F3B9B"/>
    <w:rsid w:val="00301065"/>
    <w:rsid w:val="003022C1"/>
    <w:rsid w:val="00303184"/>
    <w:rsid w:val="0030456D"/>
    <w:rsid w:val="00314A09"/>
    <w:rsid w:val="00320DD6"/>
    <w:rsid w:val="003233DB"/>
    <w:rsid w:val="00323C07"/>
    <w:rsid w:val="003261B1"/>
    <w:rsid w:val="00336750"/>
    <w:rsid w:val="00340C6D"/>
    <w:rsid w:val="00353C3C"/>
    <w:rsid w:val="003568B3"/>
    <w:rsid w:val="00365CCD"/>
    <w:rsid w:val="0036700F"/>
    <w:rsid w:val="00372833"/>
    <w:rsid w:val="00373138"/>
    <w:rsid w:val="00373EC9"/>
    <w:rsid w:val="003746CC"/>
    <w:rsid w:val="00374BA1"/>
    <w:rsid w:val="00377A61"/>
    <w:rsid w:val="00377F40"/>
    <w:rsid w:val="0038065E"/>
    <w:rsid w:val="00384C67"/>
    <w:rsid w:val="00387629"/>
    <w:rsid w:val="00390C0B"/>
    <w:rsid w:val="00394E03"/>
    <w:rsid w:val="003A1489"/>
    <w:rsid w:val="003A2CC8"/>
    <w:rsid w:val="003A5F0A"/>
    <w:rsid w:val="003B0388"/>
    <w:rsid w:val="003B0944"/>
    <w:rsid w:val="003B1AD5"/>
    <w:rsid w:val="003B2707"/>
    <w:rsid w:val="003C0DA7"/>
    <w:rsid w:val="003C379D"/>
    <w:rsid w:val="003C7034"/>
    <w:rsid w:val="003D3290"/>
    <w:rsid w:val="003D6095"/>
    <w:rsid w:val="003D633D"/>
    <w:rsid w:val="003E493F"/>
    <w:rsid w:val="003E4D21"/>
    <w:rsid w:val="003E6642"/>
    <w:rsid w:val="003F0271"/>
    <w:rsid w:val="003F0556"/>
    <w:rsid w:val="003F0EB1"/>
    <w:rsid w:val="003F1DD8"/>
    <w:rsid w:val="003F4CE6"/>
    <w:rsid w:val="003F591E"/>
    <w:rsid w:val="003F63CD"/>
    <w:rsid w:val="00404765"/>
    <w:rsid w:val="00405EDE"/>
    <w:rsid w:val="0041515B"/>
    <w:rsid w:val="0041635C"/>
    <w:rsid w:val="00423BE7"/>
    <w:rsid w:val="00425ED7"/>
    <w:rsid w:val="00427451"/>
    <w:rsid w:val="00430D96"/>
    <w:rsid w:val="004320F4"/>
    <w:rsid w:val="0043527B"/>
    <w:rsid w:val="00441670"/>
    <w:rsid w:val="0044346B"/>
    <w:rsid w:val="00446AC5"/>
    <w:rsid w:val="00451F06"/>
    <w:rsid w:val="00455244"/>
    <w:rsid w:val="00460833"/>
    <w:rsid w:val="004614EA"/>
    <w:rsid w:val="00462283"/>
    <w:rsid w:val="0046446F"/>
    <w:rsid w:val="00465CEB"/>
    <w:rsid w:val="0047744D"/>
    <w:rsid w:val="004820E7"/>
    <w:rsid w:val="004A3A16"/>
    <w:rsid w:val="004B2042"/>
    <w:rsid w:val="004B2AF1"/>
    <w:rsid w:val="004C0DD4"/>
    <w:rsid w:val="004C5132"/>
    <w:rsid w:val="004C7F21"/>
    <w:rsid w:val="004D04D4"/>
    <w:rsid w:val="004E2CB4"/>
    <w:rsid w:val="004E3E48"/>
    <w:rsid w:val="004E5ED7"/>
    <w:rsid w:val="004E70F2"/>
    <w:rsid w:val="004F02A5"/>
    <w:rsid w:val="004F5C30"/>
    <w:rsid w:val="004F66C3"/>
    <w:rsid w:val="00504585"/>
    <w:rsid w:val="00506736"/>
    <w:rsid w:val="005120A2"/>
    <w:rsid w:val="0051361F"/>
    <w:rsid w:val="0051412B"/>
    <w:rsid w:val="005157B4"/>
    <w:rsid w:val="0051605D"/>
    <w:rsid w:val="00516B6F"/>
    <w:rsid w:val="00517E90"/>
    <w:rsid w:val="00517FC6"/>
    <w:rsid w:val="00522E2E"/>
    <w:rsid w:val="00531D55"/>
    <w:rsid w:val="00535B65"/>
    <w:rsid w:val="00535D0E"/>
    <w:rsid w:val="00541862"/>
    <w:rsid w:val="00541F5A"/>
    <w:rsid w:val="005425FE"/>
    <w:rsid w:val="00550E1E"/>
    <w:rsid w:val="005521CE"/>
    <w:rsid w:val="0055393F"/>
    <w:rsid w:val="00560D77"/>
    <w:rsid w:val="00566171"/>
    <w:rsid w:val="00570188"/>
    <w:rsid w:val="00573656"/>
    <w:rsid w:val="00582A68"/>
    <w:rsid w:val="00590336"/>
    <w:rsid w:val="00594465"/>
    <w:rsid w:val="005969F5"/>
    <w:rsid w:val="005A1DF8"/>
    <w:rsid w:val="005A2027"/>
    <w:rsid w:val="005A2B6E"/>
    <w:rsid w:val="005B2B3C"/>
    <w:rsid w:val="005B46D7"/>
    <w:rsid w:val="005C29F8"/>
    <w:rsid w:val="005C3AA3"/>
    <w:rsid w:val="005E3BFE"/>
    <w:rsid w:val="005F039E"/>
    <w:rsid w:val="005F1402"/>
    <w:rsid w:val="005F1F81"/>
    <w:rsid w:val="00600C3B"/>
    <w:rsid w:val="00602C64"/>
    <w:rsid w:val="006034CE"/>
    <w:rsid w:val="00603E7D"/>
    <w:rsid w:val="0060488C"/>
    <w:rsid w:val="00606802"/>
    <w:rsid w:val="00613AB6"/>
    <w:rsid w:val="0061758C"/>
    <w:rsid w:val="006224FE"/>
    <w:rsid w:val="00622E5F"/>
    <w:rsid w:val="006237E2"/>
    <w:rsid w:val="0062382B"/>
    <w:rsid w:val="00627237"/>
    <w:rsid w:val="00631A7C"/>
    <w:rsid w:val="00643DBC"/>
    <w:rsid w:val="00650B1F"/>
    <w:rsid w:val="00650BDF"/>
    <w:rsid w:val="00652A54"/>
    <w:rsid w:val="0065530B"/>
    <w:rsid w:val="0065579A"/>
    <w:rsid w:val="00656C25"/>
    <w:rsid w:val="006659FF"/>
    <w:rsid w:val="00680BD5"/>
    <w:rsid w:val="00683018"/>
    <w:rsid w:val="00685315"/>
    <w:rsid w:val="00687D76"/>
    <w:rsid w:val="00694747"/>
    <w:rsid w:val="00695442"/>
    <w:rsid w:val="00695A07"/>
    <w:rsid w:val="006A113D"/>
    <w:rsid w:val="006A2FDA"/>
    <w:rsid w:val="006B25A9"/>
    <w:rsid w:val="006B2E34"/>
    <w:rsid w:val="006B378C"/>
    <w:rsid w:val="006B4D31"/>
    <w:rsid w:val="006B6A4C"/>
    <w:rsid w:val="006C45D8"/>
    <w:rsid w:val="006D2E96"/>
    <w:rsid w:val="006D790A"/>
    <w:rsid w:val="006E16F2"/>
    <w:rsid w:val="006E3851"/>
    <w:rsid w:val="006F24EB"/>
    <w:rsid w:val="006F7453"/>
    <w:rsid w:val="006F761F"/>
    <w:rsid w:val="00702909"/>
    <w:rsid w:val="00704F20"/>
    <w:rsid w:val="00706706"/>
    <w:rsid w:val="0071155E"/>
    <w:rsid w:val="007138E6"/>
    <w:rsid w:val="007142BB"/>
    <w:rsid w:val="007254E0"/>
    <w:rsid w:val="00725BEF"/>
    <w:rsid w:val="007276E1"/>
    <w:rsid w:val="00730DB9"/>
    <w:rsid w:val="007316AB"/>
    <w:rsid w:val="007339FA"/>
    <w:rsid w:val="00734BBE"/>
    <w:rsid w:val="00735FDF"/>
    <w:rsid w:val="007369AB"/>
    <w:rsid w:val="00736DE0"/>
    <w:rsid w:val="00744B7C"/>
    <w:rsid w:val="00750532"/>
    <w:rsid w:val="0075391B"/>
    <w:rsid w:val="00761807"/>
    <w:rsid w:val="007725A3"/>
    <w:rsid w:val="00776D5B"/>
    <w:rsid w:val="00780CE1"/>
    <w:rsid w:val="0078351E"/>
    <w:rsid w:val="0078360C"/>
    <w:rsid w:val="007836E0"/>
    <w:rsid w:val="00784475"/>
    <w:rsid w:val="007921B0"/>
    <w:rsid w:val="007974F2"/>
    <w:rsid w:val="007A1CF6"/>
    <w:rsid w:val="007A63EF"/>
    <w:rsid w:val="007A72EB"/>
    <w:rsid w:val="007B0D09"/>
    <w:rsid w:val="007B29A5"/>
    <w:rsid w:val="007B2FE9"/>
    <w:rsid w:val="007B714C"/>
    <w:rsid w:val="007B758A"/>
    <w:rsid w:val="007B773C"/>
    <w:rsid w:val="007B7D6D"/>
    <w:rsid w:val="007C27F7"/>
    <w:rsid w:val="007C3C55"/>
    <w:rsid w:val="007C4EEC"/>
    <w:rsid w:val="007C6EAF"/>
    <w:rsid w:val="007D7FE7"/>
    <w:rsid w:val="007F5049"/>
    <w:rsid w:val="007F5EE3"/>
    <w:rsid w:val="007F705A"/>
    <w:rsid w:val="0080260D"/>
    <w:rsid w:val="0080302D"/>
    <w:rsid w:val="00807B95"/>
    <w:rsid w:val="00812DE0"/>
    <w:rsid w:val="00813A86"/>
    <w:rsid w:val="00815F8C"/>
    <w:rsid w:val="0082014A"/>
    <w:rsid w:val="00823C4F"/>
    <w:rsid w:val="00837AE0"/>
    <w:rsid w:val="00843243"/>
    <w:rsid w:val="00850D0B"/>
    <w:rsid w:val="0085580B"/>
    <w:rsid w:val="00860F24"/>
    <w:rsid w:val="008625FA"/>
    <w:rsid w:val="00864C43"/>
    <w:rsid w:val="00865458"/>
    <w:rsid w:val="00870E0E"/>
    <w:rsid w:val="00871D8E"/>
    <w:rsid w:val="008722B2"/>
    <w:rsid w:val="00875AD7"/>
    <w:rsid w:val="008806B2"/>
    <w:rsid w:val="00880AA5"/>
    <w:rsid w:val="00881424"/>
    <w:rsid w:val="00882C4A"/>
    <w:rsid w:val="008906C4"/>
    <w:rsid w:val="00891006"/>
    <w:rsid w:val="00891E0A"/>
    <w:rsid w:val="008A0213"/>
    <w:rsid w:val="008A0A61"/>
    <w:rsid w:val="008A1242"/>
    <w:rsid w:val="008A1836"/>
    <w:rsid w:val="008A2C73"/>
    <w:rsid w:val="008A3574"/>
    <w:rsid w:val="008A3A12"/>
    <w:rsid w:val="008A7AF2"/>
    <w:rsid w:val="008B0607"/>
    <w:rsid w:val="008C3530"/>
    <w:rsid w:val="008C76CD"/>
    <w:rsid w:val="008D6D18"/>
    <w:rsid w:val="008E09A3"/>
    <w:rsid w:val="008E0C66"/>
    <w:rsid w:val="008E6D21"/>
    <w:rsid w:val="008F3C5F"/>
    <w:rsid w:val="008F5AF3"/>
    <w:rsid w:val="009003CD"/>
    <w:rsid w:val="00903819"/>
    <w:rsid w:val="00903926"/>
    <w:rsid w:val="00906E9F"/>
    <w:rsid w:val="009077C2"/>
    <w:rsid w:val="0091043B"/>
    <w:rsid w:val="00912D0F"/>
    <w:rsid w:val="00915114"/>
    <w:rsid w:val="0091773F"/>
    <w:rsid w:val="00922E37"/>
    <w:rsid w:val="00924A95"/>
    <w:rsid w:val="00930E01"/>
    <w:rsid w:val="00933931"/>
    <w:rsid w:val="00934D42"/>
    <w:rsid w:val="00937BE5"/>
    <w:rsid w:val="00942449"/>
    <w:rsid w:val="00944277"/>
    <w:rsid w:val="00947E50"/>
    <w:rsid w:val="00947F87"/>
    <w:rsid w:val="0095121C"/>
    <w:rsid w:val="00951A4A"/>
    <w:rsid w:val="009535FA"/>
    <w:rsid w:val="009537D1"/>
    <w:rsid w:val="00956800"/>
    <w:rsid w:val="00957F7F"/>
    <w:rsid w:val="009602E9"/>
    <w:rsid w:val="00960882"/>
    <w:rsid w:val="009613F8"/>
    <w:rsid w:val="009618D4"/>
    <w:rsid w:val="00964F44"/>
    <w:rsid w:val="00972062"/>
    <w:rsid w:val="009732D3"/>
    <w:rsid w:val="009734A7"/>
    <w:rsid w:val="00974FE3"/>
    <w:rsid w:val="00975821"/>
    <w:rsid w:val="0097596E"/>
    <w:rsid w:val="009763AB"/>
    <w:rsid w:val="00985C5B"/>
    <w:rsid w:val="00991DBA"/>
    <w:rsid w:val="00993E8B"/>
    <w:rsid w:val="0099415A"/>
    <w:rsid w:val="00994BCA"/>
    <w:rsid w:val="009A121E"/>
    <w:rsid w:val="009A7CE9"/>
    <w:rsid w:val="009B173C"/>
    <w:rsid w:val="009B3BB8"/>
    <w:rsid w:val="009C2659"/>
    <w:rsid w:val="009C3E94"/>
    <w:rsid w:val="009C5824"/>
    <w:rsid w:val="009C7012"/>
    <w:rsid w:val="009D1FDD"/>
    <w:rsid w:val="009E297E"/>
    <w:rsid w:val="009E4B2E"/>
    <w:rsid w:val="009E7C08"/>
    <w:rsid w:val="009F34B3"/>
    <w:rsid w:val="009F3FF2"/>
    <w:rsid w:val="009F5088"/>
    <w:rsid w:val="009F528E"/>
    <w:rsid w:val="00A03B84"/>
    <w:rsid w:val="00A06C81"/>
    <w:rsid w:val="00A11D61"/>
    <w:rsid w:val="00A259D1"/>
    <w:rsid w:val="00A274A2"/>
    <w:rsid w:val="00A33416"/>
    <w:rsid w:val="00A51823"/>
    <w:rsid w:val="00A519C3"/>
    <w:rsid w:val="00A5607E"/>
    <w:rsid w:val="00A646ED"/>
    <w:rsid w:val="00A678AF"/>
    <w:rsid w:val="00A722F5"/>
    <w:rsid w:val="00A752C4"/>
    <w:rsid w:val="00A77429"/>
    <w:rsid w:val="00A87A95"/>
    <w:rsid w:val="00A87B72"/>
    <w:rsid w:val="00A87EDE"/>
    <w:rsid w:val="00A92D89"/>
    <w:rsid w:val="00AA1543"/>
    <w:rsid w:val="00AA2406"/>
    <w:rsid w:val="00AB21CC"/>
    <w:rsid w:val="00AB262A"/>
    <w:rsid w:val="00AB66F5"/>
    <w:rsid w:val="00AB7547"/>
    <w:rsid w:val="00AB75AC"/>
    <w:rsid w:val="00AC1578"/>
    <w:rsid w:val="00AC632C"/>
    <w:rsid w:val="00AD0F33"/>
    <w:rsid w:val="00AD1071"/>
    <w:rsid w:val="00AE0D24"/>
    <w:rsid w:val="00AF0ADC"/>
    <w:rsid w:val="00AF30DD"/>
    <w:rsid w:val="00AF77FA"/>
    <w:rsid w:val="00B00403"/>
    <w:rsid w:val="00B010EF"/>
    <w:rsid w:val="00B01DEA"/>
    <w:rsid w:val="00B05A47"/>
    <w:rsid w:val="00B07DA7"/>
    <w:rsid w:val="00B1455B"/>
    <w:rsid w:val="00B15756"/>
    <w:rsid w:val="00B26399"/>
    <w:rsid w:val="00B34D29"/>
    <w:rsid w:val="00B37915"/>
    <w:rsid w:val="00B423AF"/>
    <w:rsid w:val="00B43988"/>
    <w:rsid w:val="00B45F93"/>
    <w:rsid w:val="00B4615E"/>
    <w:rsid w:val="00B462C3"/>
    <w:rsid w:val="00B5348B"/>
    <w:rsid w:val="00B539C0"/>
    <w:rsid w:val="00B559B1"/>
    <w:rsid w:val="00B60DBE"/>
    <w:rsid w:val="00B63ED1"/>
    <w:rsid w:val="00B65545"/>
    <w:rsid w:val="00B67886"/>
    <w:rsid w:val="00B70FF2"/>
    <w:rsid w:val="00B72381"/>
    <w:rsid w:val="00B72D4B"/>
    <w:rsid w:val="00B83C0E"/>
    <w:rsid w:val="00B951A4"/>
    <w:rsid w:val="00BA20E1"/>
    <w:rsid w:val="00BA2230"/>
    <w:rsid w:val="00BA25A5"/>
    <w:rsid w:val="00BA47A0"/>
    <w:rsid w:val="00BA4C0B"/>
    <w:rsid w:val="00BA5626"/>
    <w:rsid w:val="00BA5D9C"/>
    <w:rsid w:val="00BA654D"/>
    <w:rsid w:val="00BA759F"/>
    <w:rsid w:val="00BB2C7C"/>
    <w:rsid w:val="00BB71FF"/>
    <w:rsid w:val="00BB741E"/>
    <w:rsid w:val="00BC39F7"/>
    <w:rsid w:val="00BC59DC"/>
    <w:rsid w:val="00BC5C6B"/>
    <w:rsid w:val="00BC5CCC"/>
    <w:rsid w:val="00BC7E09"/>
    <w:rsid w:val="00BE057C"/>
    <w:rsid w:val="00BE26EA"/>
    <w:rsid w:val="00BE4600"/>
    <w:rsid w:val="00BE642F"/>
    <w:rsid w:val="00BF0CBA"/>
    <w:rsid w:val="00BF2FAC"/>
    <w:rsid w:val="00BF740E"/>
    <w:rsid w:val="00C10536"/>
    <w:rsid w:val="00C1095D"/>
    <w:rsid w:val="00C12730"/>
    <w:rsid w:val="00C17E6E"/>
    <w:rsid w:val="00C21295"/>
    <w:rsid w:val="00C24586"/>
    <w:rsid w:val="00C3113D"/>
    <w:rsid w:val="00C31B4B"/>
    <w:rsid w:val="00C35856"/>
    <w:rsid w:val="00C40F28"/>
    <w:rsid w:val="00C50CF6"/>
    <w:rsid w:val="00C56458"/>
    <w:rsid w:val="00C62E13"/>
    <w:rsid w:val="00C63C3C"/>
    <w:rsid w:val="00C65172"/>
    <w:rsid w:val="00C66A3A"/>
    <w:rsid w:val="00C67F25"/>
    <w:rsid w:val="00C73BE2"/>
    <w:rsid w:val="00C74A1F"/>
    <w:rsid w:val="00C81C08"/>
    <w:rsid w:val="00C97D93"/>
    <w:rsid w:val="00CA0289"/>
    <w:rsid w:val="00CA249B"/>
    <w:rsid w:val="00CB2436"/>
    <w:rsid w:val="00CB3F71"/>
    <w:rsid w:val="00CB74D7"/>
    <w:rsid w:val="00CC31DD"/>
    <w:rsid w:val="00CD2DC5"/>
    <w:rsid w:val="00CD4E26"/>
    <w:rsid w:val="00CD5997"/>
    <w:rsid w:val="00CD7BD3"/>
    <w:rsid w:val="00CE1AB3"/>
    <w:rsid w:val="00CE37BF"/>
    <w:rsid w:val="00CE5DB5"/>
    <w:rsid w:val="00CF198D"/>
    <w:rsid w:val="00CF4AF6"/>
    <w:rsid w:val="00D018BB"/>
    <w:rsid w:val="00D03185"/>
    <w:rsid w:val="00D05738"/>
    <w:rsid w:val="00D058F4"/>
    <w:rsid w:val="00D06B50"/>
    <w:rsid w:val="00D10FC0"/>
    <w:rsid w:val="00D11A35"/>
    <w:rsid w:val="00D13208"/>
    <w:rsid w:val="00D166F2"/>
    <w:rsid w:val="00D20921"/>
    <w:rsid w:val="00D20A7C"/>
    <w:rsid w:val="00D215B5"/>
    <w:rsid w:val="00D24A4E"/>
    <w:rsid w:val="00D25AD0"/>
    <w:rsid w:val="00D27638"/>
    <w:rsid w:val="00D31A77"/>
    <w:rsid w:val="00D43F6C"/>
    <w:rsid w:val="00D516DA"/>
    <w:rsid w:val="00D5281C"/>
    <w:rsid w:val="00D52DC5"/>
    <w:rsid w:val="00D533B5"/>
    <w:rsid w:val="00D538A0"/>
    <w:rsid w:val="00D541DD"/>
    <w:rsid w:val="00D65D06"/>
    <w:rsid w:val="00D723A0"/>
    <w:rsid w:val="00D82FA8"/>
    <w:rsid w:val="00D843B3"/>
    <w:rsid w:val="00D84E44"/>
    <w:rsid w:val="00D92212"/>
    <w:rsid w:val="00DA65CF"/>
    <w:rsid w:val="00DB1027"/>
    <w:rsid w:val="00DB2AB5"/>
    <w:rsid w:val="00DC1259"/>
    <w:rsid w:val="00DC1430"/>
    <w:rsid w:val="00DD2E41"/>
    <w:rsid w:val="00DE62C4"/>
    <w:rsid w:val="00DF1662"/>
    <w:rsid w:val="00DF3B11"/>
    <w:rsid w:val="00DF3DDA"/>
    <w:rsid w:val="00E0063A"/>
    <w:rsid w:val="00E01EE6"/>
    <w:rsid w:val="00E042DE"/>
    <w:rsid w:val="00E070DD"/>
    <w:rsid w:val="00E11992"/>
    <w:rsid w:val="00E14395"/>
    <w:rsid w:val="00E1593D"/>
    <w:rsid w:val="00E202FF"/>
    <w:rsid w:val="00E224AC"/>
    <w:rsid w:val="00E23B5D"/>
    <w:rsid w:val="00E3164A"/>
    <w:rsid w:val="00E31ED4"/>
    <w:rsid w:val="00E37501"/>
    <w:rsid w:val="00E413DB"/>
    <w:rsid w:val="00E44654"/>
    <w:rsid w:val="00E55BCA"/>
    <w:rsid w:val="00E56811"/>
    <w:rsid w:val="00E5704E"/>
    <w:rsid w:val="00E60484"/>
    <w:rsid w:val="00E631D5"/>
    <w:rsid w:val="00E65AFF"/>
    <w:rsid w:val="00E66B7D"/>
    <w:rsid w:val="00E710ED"/>
    <w:rsid w:val="00E73951"/>
    <w:rsid w:val="00E811AE"/>
    <w:rsid w:val="00E8596A"/>
    <w:rsid w:val="00E86839"/>
    <w:rsid w:val="00E9120C"/>
    <w:rsid w:val="00E929D7"/>
    <w:rsid w:val="00E93B9B"/>
    <w:rsid w:val="00E9424A"/>
    <w:rsid w:val="00EA22E5"/>
    <w:rsid w:val="00EA2790"/>
    <w:rsid w:val="00EA31CE"/>
    <w:rsid w:val="00EA74A6"/>
    <w:rsid w:val="00EA7C77"/>
    <w:rsid w:val="00EB2CE5"/>
    <w:rsid w:val="00EB368E"/>
    <w:rsid w:val="00EB62C4"/>
    <w:rsid w:val="00EC425C"/>
    <w:rsid w:val="00EC5B0F"/>
    <w:rsid w:val="00ED3CAB"/>
    <w:rsid w:val="00ED4451"/>
    <w:rsid w:val="00ED4EF7"/>
    <w:rsid w:val="00EE3A70"/>
    <w:rsid w:val="00EF499E"/>
    <w:rsid w:val="00EF7CEC"/>
    <w:rsid w:val="00F00F10"/>
    <w:rsid w:val="00F01D35"/>
    <w:rsid w:val="00F02824"/>
    <w:rsid w:val="00F0293B"/>
    <w:rsid w:val="00F0357C"/>
    <w:rsid w:val="00F0472E"/>
    <w:rsid w:val="00F05A85"/>
    <w:rsid w:val="00F061AD"/>
    <w:rsid w:val="00F12E27"/>
    <w:rsid w:val="00F2671A"/>
    <w:rsid w:val="00F27AA6"/>
    <w:rsid w:val="00F323B9"/>
    <w:rsid w:val="00F338D7"/>
    <w:rsid w:val="00F35D5E"/>
    <w:rsid w:val="00F419AE"/>
    <w:rsid w:val="00F41A5F"/>
    <w:rsid w:val="00F42B78"/>
    <w:rsid w:val="00F46CE3"/>
    <w:rsid w:val="00F51193"/>
    <w:rsid w:val="00F51FD1"/>
    <w:rsid w:val="00F6093F"/>
    <w:rsid w:val="00F60CA9"/>
    <w:rsid w:val="00F634B2"/>
    <w:rsid w:val="00F6405D"/>
    <w:rsid w:val="00F641A5"/>
    <w:rsid w:val="00F649B1"/>
    <w:rsid w:val="00F649E9"/>
    <w:rsid w:val="00F65B68"/>
    <w:rsid w:val="00F66D81"/>
    <w:rsid w:val="00F67B19"/>
    <w:rsid w:val="00F72F77"/>
    <w:rsid w:val="00F7573C"/>
    <w:rsid w:val="00F931DE"/>
    <w:rsid w:val="00F93467"/>
    <w:rsid w:val="00F96FE1"/>
    <w:rsid w:val="00F97A19"/>
    <w:rsid w:val="00FA2202"/>
    <w:rsid w:val="00FA6C74"/>
    <w:rsid w:val="00FB1F7C"/>
    <w:rsid w:val="00FB2F94"/>
    <w:rsid w:val="00FB319B"/>
    <w:rsid w:val="00FB446A"/>
    <w:rsid w:val="00FB625A"/>
    <w:rsid w:val="00FE15A1"/>
    <w:rsid w:val="00FF131C"/>
    <w:rsid w:val="00FF4C24"/>
    <w:rsid w:val="00FF5942"/>
    <w:rsid w:val="00FF5996"/>
    <w:rsid w:val="00FF7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601"/>
    <o:shapelayout v:ext="edit">
      <o:idmap v:ext="edit" data="1"/>
    </o:shapelayout>
  </w:shapeDefaults>
  <w:decimalSymbol w:val="."/>
  <w:listSeparator w:val=","/>
  <w14:docId w14:val="2D935CA5"/>
  <w15:docId w15:val="{A9D283CD-8FF6-467A-93C3-878C68BB7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C55"/>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0200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00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0F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
    <w:name w:val="A-head"/>
    <w:qFormat/>
    <w:rsid w:val="000200FF"/>
    <w:pPr>
      <w:spacing w:after="240" w:line="240" w:lineRule="auto"/>
    </w:pPr>
    <w:rPr>
      <w:color w:val="003366"/>
      <w:sz w:val="48"/>
      <w:szCs w:val="24"/>
      <w:lang w:val="sv-FI"/>
    </w:rPr>
  </w:style>
  <w:style w:type="paragraph" w:customStyle="1" w:styleId="B-head">
    <w:name w:val="B-head"/>
    <w:qFormat/>
    <w:rsid w:val="00606802"/>
    <w:pPr>
      <w:spacing w:after="240" w:line="240" w:lineRule="auto"/>
      <w:outlineLvl w:val="1"/>
    </w:pPr>
    <w:rPr>
      <w:color w:val="0099CC"/>
      <w:sz w:val="36"/>
      <w:szCs w:val="24"/>
      <w:lang w:val="sv-FI"/>
    </w:rPr>
  </w:style>
  <w:style w:type="paragraph" w:customStyle="1" w:styleId="Boxtext">
    <w:name w:val="Box text"/>
    <w:rsid w:val="00211A12"/>
    <w:pPr>
      <w:pBdr>
        <w:top w:val="single" w:sz="4" w:space="1" w:color="0099CC"/>
        <w:left w:val="single" w:sz="4" w:space="4" w:color="0099CC"/>
        <w:bottom w:val="single" w:sz="4" w:space="1" w:color="0099CC"/>
        <w:right w:val="single" w:sz="4" w:space="4" w:color="0099CC"/>
      </w:pBdr>
      <w:tabs>
        <w:tab w:val="left" w:pos="567"/>
      </w:tabs>
    </w:pPr>
    <w:rPr>
      <w:szCs w:val="24"/>
    </w:rPr>
  </w:style>
  <w:style w:type="paragraph" w:customStyle="1" w:styleId="Boxbulletpoints">
    <w:name w:val="Box bullet points"/>
    <w:basedOn w:val="Boxtext"/>
    <w:rsid w:val="00211A12"/>
    <w:pPr>
      <w:numPr>
        <w:numId w:val="4"/>
      </w:numPr>
    </w:pPr>
  </w:style>
  <w:style w:type="paragraph" w:customStyle="1" w:styleId="Bulletpoints">
    <w:name w:val="Bullet points"/>
    <w:qFormat/>
    <w:rsid w:val="000200FF"/>
    <w:pPr>
      <w:numPr>
        <w:numId w:val="8"/>
      </w:numPr>
      <w:tabs>
        <w:tab w:val="left" w:pos="567"/>
      </w:tabs>
      <w:spacing w:after="0" w:line="240" w:lineRule="auto"/>
    </w:pPr>
    <w:rPr>
      <w:szCs w:val="24"/>
    </w:rPr>
  </w:style>
  <w:style w:type="paragraph" w:customStyle="1" w:styleId="Chapterhead0">
    <w:name w:val="Chapterhead"/>
    <w:rsid w:val="00211A12"/>
    <w:pPr>
      <w:tabs>
        <w:tab w:val="left" w:pos="1389"/>
      </w:tabs>
      <w:spacing w:after="400"/>
    </w:pPr>
    <w:rPr>
      <w:color w:val="003366"/>
      <w:sz w:val="60"/>
      <w:szCs w:val="24"/>
    </w:rPr>
  </w:style>
  <w:style w:type="paragraph" w:customStyle="1" w:styleId="C-head">
    <w:name w:val="C-head"/>
    <w:qFormat/>
    <w:rsid w:val="000200FF"/>
    <w:pPr>
      <w:spacing w:after="0" w:line="240" w:lineRule="auto"/>
    </w:pPr>
    <w:rPr>
      <w:b/>
      <w:color w:val="003366"/>
      <w:szCs w:val="24"/>
      <w:lang w:val="sv-FI"/>
    </w:rPr>
  </w:style>
  <w:style w:type="paragraph" w:customStyle="1" w:styleId="Paranonumber">
    <w:name w:val="Para no number"/>
    <w:rsid w:val="00211A12"/>
    <w:pPr>
      <w:keepNext/>
      <w:widowControl w:val="0"/>
    </w:pPr>
    <w:rPr>
      <w:szCs w:val="24"/>
    </w:rPr>
  </w:style>
  <w:style w:type="paragraph" w:customStyle="1" w:styleId="ContentsA-head">
    <w:name w:val="Contents A-head"/>
    <w:basedOn w:val="Paranonumber"/>
    <w:rsid w:val="00211A12"/>
    <w:pPr>
      <w:tabs>
        <w:tab w:val="left" w:pos="567"/>
      </w:tabs>
      <w:ind w:left="567"/>
    </w:pPr>
  </w:style>
  <w:style w:type="paragraph" w:customStyle="1" w:styleId="Contentschapterhead">
    <w:name w:val="Contents chapterhead"/>
    <w:rsid w:val="00211A12"/>
    <w:pPr>
      <w:tabs>
        <w:tab w:val="left" w:pos="851"/>
      </w:tabs>
      <w:spacing w:after="20"/>
    </w:pPr>
    <w:rPr>
      <w:color w:val="003366"/>
      <w:szCs w:val="24"/>
    </w:rPr>
  </w:style>
  <w:style w:type="paragraph" w:customStyle="1" w:styleId="Contentspagenumber">
    <w:name w:val="Contents page number"/>
    <w:basedOn w:val="Contentschapterhead"/>
    <w:rsid w:val="00211A12"/>
    <w:pPr>
      <w:jc w:val="right"/>
    </w:pPr>
  </w:style>
  <w:style w:type="paragraph" w:customStyle="1" w:styleId="ECtablecolumnheading">
    <w:name w:val="EC table column heading"/>
    <w:basedOn w:val="Normal"/>
    <w:rsid w:val="00211A12"/>
    <w:rPr>
      <w:b/>
      <w:color w:val="003366"/>
    </w:rPr>
  </w:style>
  <w:style w:type="paragraph" w:customStyle="1" w:styleId="Weblink">
    <w:name w:val="Weblink"/>
    <w:rsid w:val="00211A12"/>
    <w:rPr>
      <w:color w:val="003366"/>
      <w:szCs w:val="24"/>
      <w:u w:val="single"/>
    </w:rPr>
  </w:style>
  <w:style w:type="paragraph" w:customStyle="1" w:styleId="Paranumber">
    <w:name w:val="Para number"/>
    <w:basedOn w:val="Normal"/>
    <w:qFormat/>
    <w:rsid w:val="000200FF"/>
    <w:pPr>
      <w:numPr>
        <w:ilvl w:val="1"/>
        <w:numId w:val="11"/>
      </w:numPr>
      <w:tabs>
        <w:tab w:val="left" w:pos="567"/>
      </w:tabs>
      <w:spacing w:after="240"/>
    </w:pPr>
  </w:style>
  <w:style w:type="paragraph" w:customStyle="1" w:styleId="Chapterhead">
    <w:name w:val="Chapter head"/>
    <w:qFormat/>
    <w:rsid w:val="00606802"/>
    <w:pPr>
      <w:numPr>
        <w:numId w:val="11"/>
      </w:numPr>
      <w:tabs>
        <w:tab w:val="left" w:pos="709"/>
      </w:tabs>
      <w:spacing w:after="400" w:line="240" w:lineRule="auto"/>
      <w:ind w:hanging="720"/>
      <w:outlineLvl w:val="0"/>
    </w:pPr>
    <w:rPr>
      <w:rFonts w:eastAsia="Times New Roman" w:cs="Times New Roman"/>
      <w:color w:val="003366"/>
      <w:sz w:val="60"/>
      <w:szCs w:val="24"/>
    </w:rPr>
  </w:style>
  <w:style w:type="character" w:customStyle="1" w:styleId="Heading1Char">
    <w:name w:val="Heading 1 Char"/>
    <w:basedOn w:val="DefaultParagraphFont"/>
    <w:link w:val="Heading1"/>
    <w:uiPriority w:val="9"/>
    <w:rsid w:val="000200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00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00FF"/>
    <w:rPr>
      <w:rFonts w:asciiTheme="majorHAnsi" w:eastAsiaTheme="majorEastAsia" w:hAnsiTheme="majorHAnsi" w:cstheme="majorBidi"/>
      <w:b/>
      <w:bCs/>
      <w:color w:val="4F81BD" w:themeColor="accent1"/>
    </w:rPr>
  </w:style>
  <w:style w:type="paragraph" w:styleId="ListParagraph">
    <w:name w:val="List Paragraph"/>
    <w:aliases w:val="List Paragraph2,Dot pt,Normal numbered,List Paragraph11,OBC Bullet,List Paragraph12,Bullet Style,F5 List Paragraph,List Paragraph1,Numbered Para 1,No Spacing1,List Paragraph Char Char Char,Indicator Text,Bullet Points,MAIN CONTENT,Bullet"/>
    <w:basedOn w:val="Normal"/>
    <w:link w:val="ListParagraphChar"/>
    <w:uiPriority w:val="34"/>
    <w:qFormat/>
    <w:rsid w:val="000200FF"/>
    <w:pPr>
      <w:ind w:left="720"/>
      <w:contextualSpacing/>
    </w:pPr>
  </w:style>
  <w:style w:type="character" w:customStyle="1" w:styleId="ListParagraphChar">
    <w:name w:val="List Paragraph Char"/>
    <w:aliases w:val="List Paragraph2 Char,Dot pt Char,Normal numbered Char,List Paragraph11 Char,OBC Bullet Char,List Paragraph12 Char,Bullet Style Char,F5 List Paragraph Char,List Paragraph1 Char,Numbered Para 1 Char,No Spacing1 Char,Indicator Text Char"/>
    <w:basedOn w:val="DefaultParagraphFont"/>
    <w:link w:val="ListParagraph"/>
    <w:uiPriority w:val="34"/>
    <w:locked/>
    <w:rsid w:val="000200FF"/>
  </w:style>
  <w:style w:type="character" w:styleId="Hyperlink">
    <w:name w:val="Hyperlink"/>
    <w:basedOn w:val="DefaultParagraphFont"/>
    <w:uiPriority w:val="99"/>
    <w:unhideWhenUsed/>
    <w:rsid w:val="007C3C55"/>
    <w:rPr>
      <w:color w:val="0000FF" w:themeColor="hyperlink"/>
      <w:u w:val="single"/>
    </w:rPr>
  </w:style>
  <w:style w:type="paragraph" w:styleId="FootnoteText">
    <w:name w:val="footnote text"/>
    <w:basedOn w:val="Normal"/>
    <w:link w:val="FootnoteTextChar"/>
    <w:uiPriority w:val="99"/>
    <w:semiHidden/>
    <w:unhideWhenUsed/>
    <w:rsid w:val="007C3C55"/>
    <w:rPr>
      <w:sz w:val="20"/>
      <w:szCs w:val="20"/>
    </w:rPr>
  </w:style>
  <w:style w:type="character" w:customStyle="1" w:styleId="FootnoteTextChar">
    <w:name w:val="Footnote Text Char"/>
    <w:basedOn w:val="DefaultParagraphFont"/>
    <w:link w:val="FootnoteText"/>
    <w:uiPriority w:val="99"/>
    <w:semiHidden/>
    <w:rsid w:val="007C3C55"/>
    <w:rPr>
      <w:rFonts w:eastAsia="Times New Roman" w:cs="Times New Roman"/>
      <w:sz w:val="20"/>
      <w:szCs w:val="20"/>
      <w:lang w:eastAsia="en-GB"/>
    </w:rPr>
  </w:style>
  <w:style w:type="paragraph" w:styleId="CommentText">
    <w:name w:val="annotation text"/>
    <w:basedOn w:val="Normal"/>
    <w:link w:val="CommentTextChar"/>
    <w:uiPriority w:val="99"/>
    <w:unhideWhenUsed/>
    <w:rsid w:val="007C3C55"/>
    <w:rPr>
      <w:sz w:val="20"/>
      <w:szCs w:val="20"/>
      <w:lang w:eastAsia="en-US"/>
    </w:rPr>
  </w:style>
  <w:style w:type="character" w:customStyle="1" w:styleId="CommentTextChar">
    <w:name w:val="Comment Text Char"/>
    <w:basedOn w:val="DefaultParagraphFont"/>
    <w:link w:val="CommentText"/>
    <w:uiPriority w:val="99"/>
    <w:rsid w:val="007C3C55"/>
    <w:rPr>
      <w:rFonts w:eastAsia="Times New Roman" w:cs="Times New Roman"/>
      <w:sz w:val="20"/>
      <w:szCs w:val="20"/>
    </w:rPr>
  </w:style>
  <w:style w:type="character" w:styleId="FootnoteReference">
    <w:name w:val="footnote reference"/>
    <w:basedOn w:val="DefaultParagraphFont"/>
    <w:semiHidden/>
    <w:unhideWhenUsed/>
    <w:rsid w:val="007C3C55"/>
    <w:rPr>
      <w:vertAlign w:val="superscript"/>
    </w:rPr>
  </w:style>
  <w:style w:type="character" w:styleId="CommentReference">
    <w:name w:val="annotation reference"/>
    <w:basedOn w:val="DefaultParagraphFont"/>
    <w:uiPriority w:val="99"/>
    <w:semiHidden/>
    <w:unhideWhenUsed/>
    <w:rsid w:val="007C3C55"/>
    <w:rPr>
      <w:sz w:val="16"/>
      <w:szCs w:val="16"/>
    </w:rPr>
  </w:style>
  <w:style w:type="table" w:styleId="TableGrid">
    <w:name w:val="Table Grid"/>
    <w:basedOn w:val="TableNormal"/>
    <w:uiPriority w:val="59"/>
    <w:rsid w:val="007C3C55"/>
    <w:pPr>
      <w:spacing w:after="0" w:line="240" w:lineRule="auto"/>
    </w:pPr>
    <w:rPr>
      <w:rFonts w:eastAsia="Times New Roman" w:cs="Times New Roman"/>
      <w:szCs w:val="24"/>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42F7F"/>
    <w:pPr>
      <w:tabs>
        <w:tab w:val="right" w:leader="dot" w:pos="9356"/>
      </w:tabs>
      <w:spacing w:after="100"/>
      <w:ind w:left="442"/>
    </w:pPr>
  </w:style>
  <w:style w:type="paragraph" w:styleId="TOC1">
    <w:name w:val="toc 1"/>
    <w:basedOn w:val="Normal"/>
    <w:next w:val="Normal"/>
    <w:autoRedefine/>
    <w:uiPriority w:val="39"/>
    <w:unhideWhenUsed/>
    <w:rsid w:val="00142F7F"/>
    <w:pPr>
      <w:tabs>
        <w:tab w:val="left" w:pos="442"/>
        <w:tab w:val="right" w:leader="dot" w:pos="9356"/>
      </w:tabs>
      <w:spacing w:after="100"/>
    </w:pPr>
    <w:rPr>
      <w:b/>
    </w:rPr>
  </w:style>
  <w:style w:type="paragraph" w:styleId="BalloonText">
    <w:name w:val="Balloon Text"/>
    <w:basedOn w:val="Normal"/>
    <w:link w:val="BalloonTextChar"/>
    <w:uiPriority w:val="99"/>
    <w:semiHidden/>
    <w:unhideWhenUsed/>
    <w:rsid w:val="007C3C55"/>
    <w:rPr>
      <w:rFonts w:ascii="Tahoma" w:hAnsi="Tahoma" w:cs="Tahoma"/>
      <w:sz w:val="16"/>
      <w:szCs w:val="16"/>
    </w:rPr>
  </w:style>
  <w:style w:type="character" w:customStyle="1" w:styleId="BalloonTextChar">
    <w:name w:val="Balloon Text Char"/>
    <w:basedOn w:val="DefaultParagraphFont"/>
    <w:link w:val="BalloonText"/>
    <w:uiPriority w:val="99"/>
    <w:semiHidden/>
    <w:rsid w:val="007C3C55"/>
    <w:rPr>
      <w:rFonts w:ascii="Tahoma" w:eastAsia="Times New Roman" w:hAnsi="Tahoma" w:cs="Tahoma"/>
      <w:sz w:val="16"/>
      <w:szCs w:val="16"/>
      <w:lang w:eastAsia="en-GB"/>
    </w:rPr>
  </w:style>
  <w:style w:type="paragraph" w:styleId="CommentSubject">
    <w:name w:val="annotation subject"/>
    <w:basedOn w:val="CommentText"/>
    <w:next w:val="CommentText"/>
    <w:link w:val="CommentSubjectChar"/>
    <w:uiPriority w:val="99"/>
    <w:semiHidden/>
    <w:unhideWhenUsed/>
    <w:rsid w:val="00AB7547"/>
    <w:rPr>
      <w:b/>
      <w:bCs/>
      <w:lang w:eastAsia="en-GB"/>
    </w:rPr>
  </w:style>
  <w:style w:type="character" w:customStyle="1" w:styleId="CommentSubjectChar">
    <w:name w:val="Comment Subject Char"/>
    <w:basedOn w:val="CommentTextChar"/>
    <w:link w:val="CommentSubject"/>
    <w:uiPriority w:val="99"/>
    <w:semiHidden/>
    <w:rsid w:val="00AB7547"/>
    <w:rPr>
      <w:rFonts w:eastAsia="Times New Roman" w:cs="Times New Roman"/>
      <w:b/>
      <w:bCs/>
      <w:sz w:val="20"/>
      <w:szCs w:val="20"/>
      <w:lang w:eastAsia="en-GB"/>
    </w:rPr>
  </w:style>
  <w:style w:type="paragraph" w:customStyle="1" w:styleId="BulletSpaced">
    <w:name w:val="BulletSpaced"/>
    <w:basedOn w:val="Bulletpoints"/>
    <w:uiPriority w:val="6"/>
    <w:qFormat/>
    <w:rsid w:val="00570188"/>
    <w:pPr>
      <w:numPr>
        <w:numId w:val="0"/>
      </w:numPr>
      <w:spacing w:after="240"/>
      <w:ind w:left="720" w:hanging="360"/>
    </w:pPr>
    <w:rPr>
      <w:rFonts w:eastAsia="Times New Roman" w:cs="Times New Roman"/>
    </w:rPr>
  </w:style>
  <w:style w:type="character" w:styleId="FollowedHyperlink">
    <w:name w:val="FollowedHyperlink"/>
    <w:basedOn w:val="DefaultParagraphFont"/>
    <w:uiPriority w:val="99"/>
    <w:semiHidden/>
    <w:unhideWhenUsed/>
    <w:rsid w:val="00BA2230"/>
    <w:rPr>
      <w:color w:val="800080" w:themeColor="followedHyperlink"/>
      <w:u w:val="single"/>
    </w:rPr>
  </w:style>
  <w:style w:type="paragraph" w:styleId="Header">
    <w:name w:val="header"/>
    <w:basedOn w:val="Normal"/>
    <w:link w:val="HeaderChar"/>
    <w:uiPriority w:val="99"/>
    <w:unhideWhenUsed/>
    <w:rsid w:val="00A92D89"/>
    <w:pPr>
      <w:tabs>
        <w:tab w:val="center" w:pos="4513"/>
        <w:tab w:val="right" w:pos="9026"/>
      </w:tabs>
    </w:pPr>
  </w:style>
  <w:style w:type="character" w:customStyle="1" w:styleId="HeaderChar">
    <w:name w:val="Header Char"/>
    <w:basedOn w:val="DefaultParagraphFont"/>
    <w:link w:val="Header"/>
    <w:uiPriority w:val="99"/>
    <w:rsid w:val="00A92D89"/>
    <w:rPr>
      <w:rFonts w:eastAsia="Times New Roman" w:cs="Times New Roman"/>
      <w:szCs w:val="24"/>
      <w:lang w:eastAsia="en-GB"/>
    </w:rPr>
  </w:style>
  <w:style w:type="paragraph" w:styleId="Footer">
    <w:name w:val="footer"/>
    <w:basedOn w:val="Normal"/>
    <w:link w:val="FooterChar"/>
    <w:uiPriority w:val="99"/>
    <w:unhideWhenUsed/>
    <w:rsid w:val="00A92D89"/>
    <w:pPr>
      <w:tabs>
        <w:tab w:val="center" w:pos="4513"/>
        <w:tab w:val="right" w:pos="9026"/>
      </w:tabs>
    </w:pPr>
  </w:style>
  <w:style w:type="character" w:customStyle="1" w:styleId="FooterChar">
    <w:name w:val="Footer Char"/>
    <w:basedOn w:val="DefaultParagraphFont"/>
    <w:link w:val="Footer"/>
    <w:uiPriority w:val="99"/>
    <w:rsid w:val="00A92D89"/>
    <w:rPr>
      <w:rFonts w:eastAsia="Times New Roman" w:cs="Times New Roman"/>
      <w:szCs w:val="24"/>
      <w:lang w:eastAsia="en-GB"/>
    </w:rPr>
  </w:style>
  <w:style w:type="paragraph" w:styleId="Revision">
    <w:name w:val="Revision"/>
    <w:hidden/>
    <w:uiPriority w:val="99"/>
    <w:semiHidden/>
    <w:rsid w:val="00EA74A6"/>
    <w:pPr>
      <w:spacing w:after="0" w:line="240" w:lineRule="auto"/>
    </w:pPr>
    <w:rPr>
      <w:rFonts w:eastAsia="Times New Roman" w:cs="Times New Roman"/>
      <w:szCs w:val="24"/>
      <w:lang w:eastAsia="en-GB"/>
    </w:rPr>
  </w:style>
  <w:style w:type="paragraph" w:styleId="NoSpacing">
    <w:name w:val="No Spacing"/>
    <w:uiPriority w:val="1"/>
    <w:qFormat/>
    <w:rsid w:val="00430D96"/>
    <w:pPr>
      <w:spacing w:after="0" w:line="240" w:lineRule="auto"/>
    </w:pPr>
    <w:rPr>
      <w:rFonts w:eastAsia="Times New Roman" w:cs="Times New Roman"/>
      <w:szCs w:val="24"/>
      <w:lang w:eastAsia="en-GB"/>
    </w:rPr>
  </w:style>
  <w:style w:type="paragraph" w:customStyle="1" w:styleId="ECnumberlistlevel1">
    <w:name w:val="*EC number list level 1"/>
    <w:basedOn w:val="Normal"/>
    <w:rsid w:val="00582A68"/>
    <w:pPr>
      <w:numPr>
        <w:numId w:val="22"/>
      </w:numPr>
    </w:pPr>
    <w:rPr>
      <w:lang w:eastAsia="en-US"/>
    </w:rPr>
  </w:style>
  <w:style w:type="paragraph" w:customStyle="1" w:styleId="ECbulletstyle">
    <w:name w:val="*EC_bullet style"/>
    <w:basedOn w:val="Normal"/>
    <w:qFormat/>
    <w:rsid w:val="00582A68"/>
    <w:pPr>
      <w:numPr>
        <w:numId w:val="23"/>
      </w:numPr>
    </w:pPr>
    <w:rPr>
      <w:lang w:eastAsia="en-US"/>
    </w:rPr>
  </w:style>
  <w:style w:type="character" w:styleId="Emphasis">
    <w:name w:val="Emphasis"/>
    <w:basedOn w:val="DefaultParagraphFont"/>
    <w:uiPriority w:val="20"/>
    <w:qFormat/>
    <w:rsid w:val="00A87B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427948">
      <w:bodyDiv w:val="1"/>
      <w:marLeft w:val="0"/>
      <w:marRight w:val="0"/>
      <w:marTop w:val="0"/>
      <w:marBottom w:val="0"/>
      <w:divBdr>
        <w:top w:val="none" w:sz="0" w:space="0" w:color="auto"/>
        <w:left w:val="none" w:sz="0" w:space="0" w:color="auto"/>
        <w:bottom w:val="none" w:sz="0" w:space="0" w:color="auto"/>
        <w:right w:val="none" w:sz="0" w:space="0" w:color="auto"/>
      </w:divBdr>
      <w:divsChild>
        <w:div w:id="163513029">
          <w:marLeft w:val="0"/>
          <w:marRight w:val="0"/>
          <w:marTop w:val="0"/>
          <w:marBottom w:val="0"/>
          <w:divBdr>
            <w:top w:val="none" w:sz="0" w:space="0" w:color="auto"/>
            <w:left w:val="none" w:sz="0" w:space="0" w:color="auto"/>
            <w:bottom w:val="none" w:sz="0" w:space="0" w:color="auto"/>
            <w:right w:val="none" w:sz="0" w:space="0" w:color="auto"/>
          </w:divBdr>
          <w:divsChild>
            <w:div w:id="2120485815">
              <w:marLeft w:val="0"/>
              <w:marRight w:val="0"/>
              <w:marTop w:val="0"/>
              <w:marBottom w:val="0"/>
              <w:divBdr>
                <w:top w:val="none" w:sz="0" w:space="0" w:color="auto"/>
                <w:left w:val="none" w:sz="0" w:space="0" w:color="auto"/>
                <w:bottom w:val="none" w:sz="0" w:space="0" w:color="auto"/>
                <w:right w:val="none" w:sz="0" w:space="0" w:color="auto"/>
              </w:divBdr>
              <w:divsChild>
                <w:div w:id="16117448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387558880">
      <w:bodyDiv w:val="1"/>
      <w:marLeft w:val="0"/>
      <w:marRight w:val="0"/>
      <w:marTop w:val="0"/>
      <w:marBottom w:val="0"/>
      <w:divBdr>
        <w:top w:val="none" w:sz="0" w:space="0" w:color="auto"/>
        <w:left w:val="none" w:sz="0" w:space="0" w:color="auto"/>
        <w:bottom w:val="none" w:sz="0" w:space="0" w:color="auto"/>
        <w:right w:val="none" w:sz="0" w:space="0" w:color="auto"/>
      </w:divBdr>
    </w:div>
    <w:div w:id="1468279074">
      <w:bodyDiv w:val="1"/>
      <w:marLeft w:val="0"/>
      <w:marRight w:val="0"/>
      <w:marTop w:val="0"/>
      <w:marBottom w:val="0"/>
      <w:divBdr>
        <w:top w:val="none" w:sz="0" w:space="0" w:color="auto"/>
        <w:left w:val="none" w:sz="0" w:space="0" w:color="auto"/>
        <w:bottom w:val="none" w:sz="0" w:space="0" w:color="auto"/>
        <w:right w:val="none" w:sz="0" w:space="0" w:color="auto"/>
      </w:divBdr>
    </w:div>
    <w:div w:id="164858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electoralcommission.org.uk/i-am-a/electoral-administrator" TargetMode="External"/><Relationship Id="rId26" Type="http://schemas.openxmlformats.org/officeDocument/2006/relationships/hyperlink" Target="http://www.electoralcommission.org.uk/i-am-a/electoral-administrator/running-electoral-registration/" TargetMode="External"/><Relationship Id="rId39"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yperlink" Target="https://www.electoralcommission.org.uk/media/2841" TargetMode="External"/><Relationship Id="rId34" Type="http://schemas.openxmlformats.org/officeDocument/2006/relationships/hyperlink" Target="https://www.electoralcommission.org.uk/i-am-a/electoral-administrator" TargetMode="External"/><Relationship Id="rId42" Type="http://schemas.openxmlformats.org/officeDocument/2006/relationships/hyperlink" Target="http://ico.org.uk/for-organisations/guide-to-the-general-data-protection-regulation-gdpr/accountability-and-governance/data-protection-impact-assessments/" TargetMode="External"/><Relationship Id="rId47" Type="http://schemas.openxmlformats.org/officeDocument/2006/relationships/hyperlink" Target="https://www.electoralcommission.org.uk/registration-forms-and-letters" TargetMode="External"/><Relationship Id="rId50" Type="http://schemas.openxmlformats.org/officeDocument/2006/relationships/hyperlink" Target="https://www.electoralcommission.org.uk/media/1278"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hyperlink" Target="http://ico.org.uk/about-the-ico/ico-and-stakeholder-consultations/gdpr-consent-guidance/" TargetMode="External"/><Relationship Id="rId33" Type="http://schemas.openxmlformats.org/officeDocument/2006/relationships/hyperlink" Target="http://www.register-to-vote.gov.uk" TargetMode="External"/><Relationship Id="rId38" Type="http://schemas.openxmlformats.org/officeDocument/2006/relationships/hyperlink" Target="https://ico.org.uk/for-organisations/guide-to-data-protection/guide-to-the-general-data-protection-regulation-gdpr/contracts-and-liabilities-between-controllers-and-processors-multi/" TargetMode="External"/><Relationship Id="rId46" Type="http://schemas.openxmlformats.org/officeDocument/2006/relationships/hyperlink" Target="http://ico.org.uk/for-organisations/guide-to-the-general-data-protection-regulation-gdpr/" TargetMode="Externa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www.electoralcommission.org.uk/media/5099" TargetMode="External"/><Relationship Id="rId29" Type="http://schemas.openxmlformats.org/officeDocument/2006/relationships/hyperlink" Target="https://www.electoralcommission.org.uk/registration-forms-and-letters" TargetMode="External"/><Relationship Id="rId41" Type="http://schemas.openxmlformats.org/officeDocument/2006/relationships/hyperlink" Target="https://ico.org.uk/for-organisations/guide-to-data-protection/guide-to-the-general-data-protection-regulation-gdpr/special-category-data/"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ico.org.uk/for-organisations/guide-to-the-general-data-protection-regulation-gdpr/documentation/" TargetMode="External"/><Relationship Id="rId32" Type="http://schemas.openxmlformats.org/officeDocument/2006/relationships/hyperlink" Target="https://www.electoralcommission.org.uk/registration-forms-and-letters" TargetMode="External"/><Relationship Id="rId37" Type="http://schemas.openxmlformats.org/officeDocument/2006/relationships/hyperlink" Target="http://www.electoralcommission.org.uk/i-am-a/electoral-administrator/" TargetMode="External"/><Relationship Id="rId40" Type="http://schemas.openxmlformats.org/officeDocument/2006/relationships/hyperlink" Target="https://www.electoralcommission.org.uk/media/1278" TargetMode="External"/><Relationship Id="rId45" Type="http://schemas.openxmlformats.org/officeDocument/2006/relationships/hyperlink" Target="http://ico.org.uk/for-organisations/report-a-breach/" TargetMode="Externa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hyperlink" Target="http://ico.org.uk/for-organisations/guide-to-the-general-data-protection-regulation-gdpr/" TargetMode="External"/><Relationship Id="rId28" Type="http://schemas.openxmlformats.org/officeDocument/2006/relationships/hyperlink" Target="https://www.electoralcommission.org.uk/i-am-a/electoral-administrator/running-electoral-registration" TargetMode="External"/><Relationship Id="rId36" Type="http://schemas.openxmlformats.org/officeDocument/2006/relationships/hyperlink" Target="https://www.electoralcommission.org.uk/media/6643" TargetMode="External"/><Relationship Id="rId49"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https://ico.org.uk/for-organisations/guide-to-data-protection/guide-to-the-general-data-protection-regulation-gdpr/data-protection-fee/" TargetMode="External"/><Relationship Id="rId31" Type="http://schemas.openxmlformats.org/officeDocument/2006/relationships/hyperlink" Target="https://www.electoralcommission.org.uk/i-am-a/voter/how-cast-your-vote" TargetMode="External"/><Relationship Id="rId44" Type="http://schemas.openxmlformats.org/officeDocument/2006/relationships/hyperlink" Target="https://www.electoralcommission.org.uk/media/4166" TargetMode="External"/><Relationship Id="rId52" Type="http://schemas.openxmlformats.org/officeDocument/2006/relationships/hyperlink" Target="http://ico.org.uk/for-organisations/guide-to-the-general-data-protection-regulation-gdpr/accountability-and-governance/data-protection-impact-assessment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yperlink" Target="https://www.electoralcommission.org.uk/media/3811" TargetMode="External"/><Relationship Id="rId27" Type="http://schemas.openxmlformats.org/officeDocument/2006/relationships/hyperlink" Target="http://www.electoralcommission.org.uk/i-am-a/electoral-administrator/" TargetMode="External"/><Relationship Id="rId30" Type="http://schemas.openxmlformats.org/officeDocument/2006/relationships/hyperlink" Target="https://www.electoralcommission.org.uk/registration-forms-and-letters" TargetMode="External"/><Relationship Id="rId35" Type="http://schemas.openxmlformats.org/officeDocument/2006/relationships/hyperlink" Target="https://www.electoralcommission.org.uk/i-am-a/electoral-administrator" TargetMode="External"/><Relationship Id="rId43" Type="http://schemas.openxmlformats.org/officeDocument/2006/relationships/hyperlink" Target="https://www.electoralcommission.org.uk/i-am-a/electoral-administrator" TargetMode="External"/><Relationship Id="rId48" Type="http://schemas.openxmlformats.org/officeDocument/2006/relationships/footer" Target="footer1.xml"/><Relationship Id="rId8" Type="http://schemas.openxmlformats.org/officeDocument/2006/relationships/styles" Target="styles.xm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b78556a5ab004a83993a9660bce6152c xmlns="0b644c8d-8442-43d3-b70d-a766ab8538c3">
      <Terms xmlns="http://schemas.microsoft.com/office/infopath/2007/PartnerControls"/>
    </b78556a5ab004a83993a9660bce6152c>
    <Retention xmlns="0b644c8d-8442-43d3-b70d-a766ab8538c3" xsi:nil="true"/>
    <Original_x0020_Creator xmlns="d091c58a-92a6-4874-9249-ff899a5e6e67" xsi:nil="true"/>
    <nc1286104a3a4088847700fe2f03ac10 xmlns="c0973202-7c92-449b-a95a-8ec26691ea65">
      <Terms xmlns="http://schemas.microsoft.com/office/infopath/2007/PartnerControls">
        <TermInfo xmlns="http://schemas.microsoft.com/office/infopath/2007/PartnerControls">
          <TermName xmlns="http://schemas.microsoft.com/office/infopath/2007/PartnerControls">ERO</TermName>
          <TermId xmlns="http://schemas.microsoft.com/office/infopath/2007/PartnerControls">a6ba3a8a-4279-45f6-9c44-720447ffc9ad</TermId>
        </TermInfo>
        <TermInfo xmlns="http://schemas.microsoft.com/office/infopath/2007/PartnerControls">
          <TermName xmlns="http://schemas.microsoft.com/office/infopath/2007/PartnerControls">RO</TermName>
          <TermId xmlns="http://schemas.microsoft.com/office/infopath/2007/PartnerControls">9ab7a96e-a7bd-4c42-99d8-e2b2fe25086a</TermId>
        </TermInfo>
      </Terms>
    </nc1286104a3a4088847700fe2f03ac10>
    <j5093c87c62f4e2ea96105d295eed61a xmlns="0b644c8d-8442-43d3-b70d-a766ab8538c3">
      <Terms xmlns="http://schemas.microsoft.com/office/infopath/2007/PartnerControls"/>
    </j5093c87c62f4e2ea96105d295eed61a>
    <ArticleName xmlns="0b644c8d-8442-43d3-b70d-a766ab8538c3" xsi:nil="true"/>
    <Language_x0020__x0028_EA_x0029_ xmlns="c0973202-7c92-449b-a95a-8ec26691ea65">English</Language_x0020__x0028_EA_x0029_>
    <je831b0ab68147b593f643c3e92cd3da xmlns="c0973202-7c92-449b-a95a-8ec26691ea65">
      <Terms xmlns="http://schemas.microsoft.com/office/infopath/2007/PartnerControls">
        <TermInfo xmlns="http://schemas.microsoft.com/office/infopath/2007/PartnerControls">
          <TermName xmlns="http://schemas.microsoft.com/office/infopath/2007/PartnerControls">UK Wide</TermName>
          <TermId xmlns="http://schemas.microsoft.com/office/infopath/2007/PartnerControls">35497391-78cd-4432-a919-8eedf1a8689e</TermId>
        </TermInfo>
      </Terms>
    </je831b0ab68147b593f643c3e92cd3da>
    <b9ca678d06974d1b9a589aa70f41520a xmlns="0b644c8d-8442-43d3-b70d-a766ab8538c3">
      <Terms xmlns="http://schemas.microsoft.com/office/infopath/2007/PartnerControls"/>
    </b9ca678d06974d1b9a589aa70f41520a>
    <TaxCatchAll xmlns="0b644c8d-8442-43d3-b70d-a766ab8538c3">
      <Value>2851</Value>
      <Value>2778</Value>
      <Value>3000</Value>
      <Value>687</Value>
      <Value>684</Value>
      <Value>682</Value>
    </TaxCatchAll>
    <_dlc_DocIdPersistId xmlns="0b644c8d-8442-43d3-b70d-a766ab8538c3" xsi:nil="true"/>
    <Original_x0020_Modified_x0020_By xmlns="d091c58a-92a6-4874-9249-ff899a5e6e67" xsi:nil="true"/>
    <o4f6c70134b64a99b8a9c18b6cabc6d3 xmlns="0b644c8d-8442-43d3-b70d-a766ab8538c3">
      <Terms xmlns="http://schemas.microsoft.com/office/infopath/2007/PartnerControls"/>
    </o4f6c70134b64a99b8a9c18b6cabc6d3>
    <k8d136f7c151492e9a8c9a3ff7eb0306 xmlns="0b644c8d-8442-43d3-b70d-a766ab8538c3">
      <Terms xmlns="http://schemas.microsoft.com/office/infopath/2007/PartnerControls"/>
    </k8d136f7c151492e9a8c9a3ff7eb0306>
    <Owner xmlns="0b644c8d-8442-43d3-b70d-a766ab8538c3">
      <UserInfo>
        <DisplayName/>
        <AccountId xsi:nil="true"/>
        <AccountType/>
      </UserInfo>
    </Owner>
    <j4f12893337a4eac9e2d2c696f543b80 xmlns="0b644c8d-8442-43d3-b70d-a766ab8538c3">
      <Terms xmlns="http://schemas.microsoft.com/office/infopath/2007/PartnerControls"/>
    </j4f12893337a4eac9e2d2c696f543b80>
    <p66823bc255a48c5b1111b08c7c3cd3f xmlns="c0973202-7c92-449b-a95a-8ec26691ea65">
      <Terms xmlns="http://schemas.microsoft.com/office/infopath/2007/PartnerControls">
        <TermInfo xmlns="http://schemas.microsoft.com/office/infopath/2007/PartnerControls">
          <TermName xmlns="http://schemas.microsoft.com/office/infopath/2007/PartnerControls">Electoral Registration - Sharing Good Practice</TermName>
          <TermId xmlns="http://schemas.microsoft.com/office/infopath/2007/PartnerControls">ff9a4b40-eef2-4050-9b36-cfbdbc682725</TermId>
        </TermInfo>
        <TermInfo xmlns="http://schemas.microsoft.com/office/infopath/2007/PartnerControls">
          <TermName xmlns="http://schemas.microsoft.com/office/infopath/2007/PartnerControls">Electoral Registration - General</TermName>
          <TermId xmlns="http://schemas.microsoft.com/office/infopath/2007/PartnerControls">f362cff4-6cfb-4c49-aeb6-f748414e3023</TermId>
        </TermInfo>
      </Terms>
    </p66823bc255a48c5b1111b08c7c3cd3f>
    <l31485a79714489ba1e137a3446044a9 xmlns="c0973202-7c92-449b-a95a-8ec26691ea65">
      <Terms xmlns="http://schemas.microsoft.com/office/infopath/2007/PartnerControls">
        <TermInfo xmlns="http://schemas.microsoft.com/office/infopath/2007/PartnerControls">
          <TermName xmlns="http://schemas.microsoft.com/office/infopath/2007/PartnerControls">Supporting Resource</TermName>
          <TermId xmlns="http://schemas.microsoft.com/office/infopath/2007/PartnerControls">046fdab6-b44b-4f3d-aa13-e1a7611ba2d0</TermId>
        </TermInfo>
      </Terms>
    </l31485a79714489ba1e137a3446044a9>
    <_dlc_DocId xmlns="0b644c8d-8442-43d3-b70d-a766ab8538c3">TX6SW6SUV4E4-666515829-1280</_dlc_DocId>
    <_dlc_DocIdUrl xmlns="0b644c8d-8442-43d3-b70d-a766ab8538c3">
      <Url>http://skynet/dm/Functions/eaeventguide/_layouts/15/DocIdRedir.aspx?ID=TX6SW6SUV4E4-666515829-1280</Url>
      <Description>TX6SW6SUV4E4-666515829-1280</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Guidance (EA)" ma:contentTypeID="0x010100C9ADBE5EDAD5E947B0458271EF26F4F31200FE37DB52ACB97D4BAF431AA03270AEB700B787114CD77425479D3933963D191A7A" ma:contentTypeVersion="99" ma:contentTypeDescription="For all EA Guidance" ma:contentTypeScope="" ma:versionID="27853e2d1d124eac83a8b833d21f5f0b">
  <xsd:schema xmlns:xsd="http://www.w3.org/2001/XMLSchema" xmlns:xs="http://www.w3.org/2001/XMLSchema" xmlns:p="http://schemas.microsoft.com/office/2006/metadata/properties" xmlns:ns2="c0973202-7c92-449b-a95a-8ec26691ea65" xmlns:ns3="0b644c8d-8442-43d3-b70d-a766ab8538c3" xmlns:ns4="d091c58a-92a6-4874-9249-ff899a5e6e67" targetNamespace="http://schemas.microsoft.com/office/2006/metadata/properties" ma:root="true" ma:fieldsID="97c265011083506b2795cc20ae69ad74" ns2:_="" ns3:_="" ns4:_="">
    <xsd:import namespace="c0973202-7c92-449b-a95a-8ec26691ea65"/>
    <xsd:import namespace="0b644c8d-8442-43d3-b70d-a766ab8538c3"/>
    <xsd:import namespace="d091c58a-92a6-4874-9249-ff899a5e6e67"/>
    <xsd:element name="properties">
      <xsd:complexType>
        <xsd:sequence>
          <xsd:element name="documentManagement">
            <xsd:complexType>
              <xsd:all>
                <xsd:element ref="ns2:Language_x0020__x0028_EA_x0029_"/>
                <xsd:element ref="ns3:Owner" minOccurs="0"/>
                <xsd:element ref="ns3:_dlc_DocIdPersistId" minOccurs="0"/>
                <xsd:element ref="ns3:ArticleName" minOccurs="0"/>
                <xsd:element ref="ns3:j5093c87c62f4e2ea96105d295eed61a" minOccurs="0"/>
                <xsd:element ref="ns3:TaxCatchAll" minOccurs="0"/>
                <xsd:element ref="ns3:TaxCatchAllLabel" minOccurs="0"/>
                <xsd:element ref="ns3:k8d136f7c151492e9a8c9a3ff7eb0306" minOccurs="0"/>
                <xsd:element ref="ns3:o4f6c70134b64a99b8a9c18b6cabc6d3" minOccurs="0"/>
                <xsd:element ref="ns3:_dlc_DocId" minOccurs="0"/>
                <xsd:element ref="ns3:b78556a5ab004a83993a9660bce6152c" minOccurs="0"/>
                <xsd:element ref="ns3:b9ca678d06974d1b9a589aa70f41520a" minOccurs="0"/>
                <xsd:element ref="ns3:j4f12893337a4eac9e2d2c696f543b80" minOccurs="0"/>
                <xsd:element ref="ns3:_dlc_DocIdUrl" minOccurs="0"/>
                <xsd:element ref="ns2:nc1286104a3a4088847700fe2f03ac10" minOccurs="0"/>
                <xsd:element ref="ns4:Original_x0020_Modified_x0020_By" minOccurs="0"/>
                <xsd:element ref="ns2:p66823bc255a48c5b1111b08c7c3cd3f" minOccurs="0"/>
                <xsd:element ref="ns2:je831b0ab68147b593f643c3e92cd3da" minOccurs="0"/>
                <xsd:element ref="ns4:Original_x0020_Creator" minOccurs="0"/>
                <xsd:element ref="ns2:l31485a79714489ba1e137a3446044a9" minOccurs="0"/>
                <xsd:element ref="ns3:Reten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973202-7c92-449b-a95a-8ec26691ea65" elementFormDefault="qualified">
    <xsd:import namespace="http://schemas.microsoft.com/office/2006/documentManagement/types"/>
    <xsd:import namespace="http://schemas.microsoft.com/office/infopath/2007/PartnerControls"/>
    <xsd:element name="Language_x0020__x0028_EA_x0029_" ma:index="6" ma:displayName="Language (EA)" ma:default="English" ma:format="Dropdown" ma:internalName="Language_x0020__x0028_EA_x0029_" ma:readOnly="false">
      <xsd:simpleType>
        <xsd:restriction base="dms:Choice">
          <xsd:enumeration value="English"/>
          <xsd:enumeration value="Welsh"/>
        </xsd:restriction>
      </xsd:simpleType>
    </xsd:element>
    <xsd:element name="nc1286104a3a4088847700fe2f03ac10" ma:index="28" ma:taxonomy="true" ma:internalName="nc1286104a3a4088847700fe2f03ac10" ma:taxonomyFieldName="Audience_x0020__x0028_EA_x0029_" ma:displayName="Audience (EA)" ma:readOnly="false" ma:default="" ma:fieldId="{7c128610-4a3a-4088-8477-00fe2f03ac10}" ma:taxonomyMulti="true" ma:sspId="42db2267-da8a-4033-a749-d2c129898989" ma:termSetId="22883ab1-20fa-409f-82a0-6cdff8d70e8a" ma:anchorId="5d5bd0c3-7875-465b-aaa0-f3c8899b7cc0" ma:open="false" ma:isKeyword="false">
      <xsd:complexType>
        <xsd:sequence>
          <xsd:element ref="pc:Terms" minOccurs="0" maxOccurs="1"/>
        </xsd:sequence>
      </xsd:complexType>
    </xsd:element>
    <xsd:element name="p66823bc255a48c5b1111b08c7c3cd3f" ma:index="32" ma:taxonomy="true" ma:internalName="p66823bc255a48c5b1111b08c7c3cd3f" ma:taxonomyFieldName="Event_x0020__x0028_EA_x0029_" ma:displayName="Event (EA)" ma:readOnly="false" ma:default="" ma:fieldId="{966823bc-255a-48c5-b111-1b08c7c3cd3f}" ma:taxonomyMulti="true" ma:sspId="42db2267-da8a-4033-a749-d2c129898989" ma:termSetId="22883ab1-20fa-409f-82a0-6cdff8d70e8a" ma:anchorId="048ff262-93eb-4a22-8161-7af91aebadd7" ma:open="false" ma:isKeyword="false">
      <xsd:complexType>
        <xsd:sequence>
          <xsd:element ref="pc:Terms" minOccurs="0" maxOccurs="1"/>
        </xsd:sequence>
      </xsd:complexType>
    </xsd:element>
    <xsd:element name="je831b0ab68147b593f643c3e92cd3da" ma:index="34" ma:taxonomy="true" ma:internalName="je831b0ab68147b593f643c3e92cd3da" ma:taxonomyFieldName="Area_x0020__x0028_EA_x0029_" ma:displayName="Area (EA)" ma:readOnly="false" ma:fieldId="{3e831b0a-b681-47b5-93f6-43c3e92cd3da}" ma:taxonomyMulti="true" ma:sspId="42db2267-da8a-4033-a749-d2c129898989" ma:termSetId="22883ab1-20fa-409f-82a0-6cdff8d70e8a" ma:anchorId="b01feb59-ce96-4bd5-a292-147479242a05" ma:open="false" ma:isKeyword="false">
      <xsd:complexType>
        <xsd:sequence>
          <xsd:element ref="pc:Terms" minOccurs="0" maxOccurs="1"/>
        </xsd:sequence>
      </xsd:complexType>
    </xsd:element>
    <xsd:element name="l31485a79714489ba1e137a3446044a9" ma:index="36" ma:taxonomy="true" ma:internalName="l31485a79714489ba1e137a3446044a9" ma:taxonomyFieldName="Guidance_x0020_type_x0020__x0028_EA_x0029_" ma:displayName="Guidance type (EA)" ma:indexed="true" ma:readOnly="false" ma:default="" ma:fieldId="{531485a7-9714-489b-a1e1-37a3446044a9}" ma:sspId="42db2267-da8a-4033-a749-d2c129898989" ma:termSetId="22883ab1-20fa-409f-82a0-6cdff8d70e8a" ma:anchorId="5db1a8b8-4c6c-44c9-aa98-67114c5e6289"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Owner" ma:index="7"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ArticleName" ma:index="11" nillable="true" ma:displayName="Name" ma:hidden="true" ma:internalName="ArticleName" ma:readOnly="false">
      <xsd:simpleType>
        <xsd:restriction base="dms:Text"/>
      </xsd:simpleType>
    </xsd:element>
    <xsd:element name="j5093c87c62f4e2ea96105d295eed61a" ma:index="13" nillable="true" ma:taxonomy="true" ma:internalName="j5093c87c62f4e2ea96105d295eed61a" ma:taxonomyFieldName="GPMS_x0020_marking" ma:displayName="GPMS marking" ma:readOnly="false" ma:default="1;#Official|77462fb2-11a1-4cd5-8628-4e6081b9477e" ma:fieldId="{35093c87-c62f-4e2e-a961-05d295eed61a}" ma:sspId="42db2267-da8a-4033-a749-d2c129898989" ma:termSetId="1f343abd-db6c-4475-a574-cc7b5b5bdee2" ma:anchorId="00000000-0000-0000-0000-000000000000" ma:open="true" ma:isKeyword="false">
      <xsd:complexType>
        <xsd:sequence>
          <xsd:element ref="pc:Terms" minOccurs="0" maxOccurs="1"/>
        </xsd:sequence>
      </xsd:complexType>
    </xsd:element>
    <xsd:element name="TaxCatchAll" ma:index="14" nillable="true" ma:displayName="Taxonomy Catch All Column" ma:description="" ma:hidden="true" ma:list="{6708adcd-333c-40a9-a727-e91b23fef4c3}" ma:internalName="TaxCatchAll" ma:readOnly="false" ma:showField="CatchAllData"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6708adcd-333c-40a9-a727-e91b23fef4c3}" ma:internalName="TaxCatchAllLabel" ma:readOnly="true" ma:showField="CatchAllDataLabel" ma:web="c0973202-7c92-449b-a95a-8ec26691ea65">
      <xsd:complexType>
        <xsd:complexContent>
          <xsd:extension base="dms:MultiChoiceLookup">
            <xsd:sequence>
              <xsd:element name="Value" type="dms:Lookup" maxOccurs="unbounded" minOccurs="0" nillable="true"/>
            </xsd:sequence>
          </xsd:extension>
        </xsd:complexContent>
      </xsd:complexType>
    </xsd:element>
    <xsd:element name="k8d136f7c151492e9a8c9a3ff7eb0306" ma:index="18" nillable="true" ma:taxonomy="true" ma:internalName="k8d136f7c151492e9a8c9a3ff7eb0306" ma:taxonomyFieldName="ECSubject" ma:displayName="EC Subject" ma:readOnly="false" ma:default="" ma:fieldId="{48d136f7-c151-492e-9a8c-9a3ff7eb0306}" ma:taxonomyMulti="true" ma:sspId="42db2267-da8a-4033-a749-d2c129898989" ma:termSetId="0d5ca8a1-c45c-44af-a3cd-d024f1ba8d30" ma:anchorId="00000000-0000-0000-0000-000000000000" ma:open="false" ma:isKeyword="false">
      <xsd:complexType>
        <xsd:sequence>
          <xsd:element ref="pc:Terms" minOccurs="0" maxOccurs="1"/>
        </xsd:sequence>
      </xsd:complexType>
    </xsd:element>
    <xsd:element name="o4f6c70134b64a99b8a9c18b6cabc6d3" ma:index="20" nillable="true" ma:taxonomy="true" ma:internalName="o4f6c70134b64a99b8a9c18b6cabc6d3" ma:taxonomyFieldName="Calendar_x0020_Year" ma:displayName="Calendar Year" ma:readOnly="false" ma:default="1898;#2018|26ca1e8c-16e7-413b-b05d-61c89da0dc68" ma:fieldId="{84f6c701-34b6-4a99-b8a9-c18b6cabc6d3}" ma:sspId="42db2267-da8a-4033-a749-d2c129898989" ma:termSetId="edba5c96-86f2-4f08-a5c2-e39c740b563b" ma:anchorId="00000000-0000-0000-0000-000000000000" ma:open="tru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b78556a5ab004a83993a9660bce6152c" ma:index="22" nillable="true" ma:taxonomy="true" ma:internalName="b78556a5ab004a83993a9660bce6152c" ma:taxonomyFieldName="Audience1" ma:displayName="Audience" ma:readOnly="false" ma:default="2;#All staff|1a1e0e6e-8d96-4235-ac5f-9f1dcc3600b0" ma:fieldId="{b78556a5-ab00-4a83-993a-9660bce6152c}" ma:taxonomyMulti="true" ma:sspId="42db2267-da8a-4033-a749-d2c129898989" ma:termSetId="12a82b95-0313-4ef6-8f09-a1fc7e7a5295" ma:anchorId="00000000-0000-0000-0000-000000000000" ma:open="false" ma:isKeyword="false">
      <xsd:complexType>
        <xsd:sequence>
          <xsd:element ref="pc:Terms" minOccurs="0" maxOccurs="1"/>
        </xsd:sequence>
      </xsd:complexType>
    </xsd:element>
    <xsd:element name="b9ca678d06974d1b9a589aa70f41520a" ma:index="24" nillable="true" ma:taxonomy="true" ma:internalName="b9ca678d06974d1b9a589aa70f41520a" ma:taxonomyFieldName="Countries" ma:displayName="Country" ma:readOnly="false" ma:default="3;#UK wide|6834a7d2-fb91-47b3-99a3-3181df52306f" ma:fieldId="{b9ca678d-0697-4d1b-9a58-9aa70f41520a}" ma:taxonomyMulti="true" ma:sspId="42db2267-da8a-4033-a749-d2c129898989" ma:termSetId="84dafbee-6db0-42d8-9610-c7f28f591f89" ma:anchorId="00000000-0000-0000-0000-000000000000" ma:open="false" ma:isKeyword="false">
      <xsd:complexType>
        <xsd:sequence>
          <xsd:element ref="pc:Terms" minOccurs="0" maxOccurs="1"/>
        </xsd:sequence>
      </xsd:complexType>
    </xsd:element>
    <xsd:element name="j4f12893337a4eac9e2d2c696f543b80" ma:index="26" nillable="true" ma:taxonomy="true" ma:internalName="j4f12893337a4eac9e2d2c696f543b80" ma:taxonomyFieldName="Financial_x0020_year" ma:displayName="Financial year" ma:readOnly="false" ma:default="" ma:fieldId="{34f12893-337a-4eac-9e2d-2c696f543b80}" ma:sspId="42db2267-da8a-4033-a749-d2c129898989" ma:termSetId="e63f34e3-1607-4f97-aade-c4ace54ed86c" ma:anchorId="00000000-0000-0000-0000-000000000000" ma:open="true" ma:isKeyword="false">
      <xsd:complexType>
        <xsd:sequence>
          <xsd:element ref="pc:Terms" minOccurs="0" maxOccurs="1"/>
        </xsd:sequence>
      </xsd:complex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Retention" ma:index="38" nillable="true" ma:displayName="Retention" ma:default="7 years" ma:format="Dropdown" ma:hidden="true" ma:internalName="Retention" ma:readOnly="false">
      <xsd:simpleType>
        <xsd:restriction base="dms:Choice">
          <xsd:enumeration value="6 months"/>
          <xsd:enumeration value="1 year"/>
          <xsd:enumeration value="3 years"/>
          <xsd:enumeration value="7 years"/>
          <xsd:enumeration value="12 years"/>
          <xsd:enumeration value="100 years"/>
        </xsd:restriction>
      </xsd:simpleType>
    </xsd:element>
  </xsd:schema>
  <xsd:schema xmlns:xsd="http://www.w3.org/2001/XMLSchema" xmlns:xs="http://www.w3.org/2001/XMLSchema" xmlns:dms="http://schemas.microsoft.com/office/2006/documentManagement/types" xmlns:pc="http://schemas.microsoft.com/office/infopath/2007/PartnerControls" targetNamespace="d091c58a-92a6-4874-9249-ff899a5e6e67" elementFormDefault="qualified">
    <xsd:import namespace="http://schemas.microsoft.com/office/2006/documentManagement/types"/>
    <xsd:import namespace="http://schemas.microsoft.com/office/infopath/2007/PartnerControls"/>
    <xsd:element name="Original_x0020_Modified_x0020_By" ma:index="31" nillable="true" ma:displayName="Original Modified By" ma:hidden="true" ma:internalName="Original_x0020_Modified_x0020_By" ma:readOnly="false">
      <xsd:simpleType>
        <xsd:restriction base="dms:Text"/>
      </xsd:simpleType>
    </xsd:element>
    <xsd:element name="Original_x0020_Creator" ma:index="35" nillable="true" ma:displayName="Original Creator" ma:hidden="true" ma:internalName="Original_x0020_Creato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42db2267-da8a-4033-a749-d2c129898989" ContentTypeId="0x010100C9ADBE5EDAD5E947B0458271EF26F4F312" PreviousValue="tru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62230-C9E9-47C3-86D5-3B4C8EE65488}">
  <ds:schemaRefs>
    <ds:schemaRef ds:uri="d091c58a-92a6-4874-9249-ff899a5e6e67"/>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0b644c8d-8442-43d3-b70d-a766ab8538c3"/>
    <ds:schemaRef ds:uri="c0973202-7c92-449b-a95a-8ec26691ea65"/>
    <ds:schemaRef ds:uri="http://www.w3.org/XML/1998/namespace"/>
    <ds:schemaRef ds:uri="http://purl.org/dc/dcmitype/"/>
  </ds:schemaRefs>
</ds:datastoreItem>
</file>

<file path=customXml/itemProps2.xml><?xml version="1.0" encoding="utf-8"?>
<ds:datastoreItem xmlns:ds="http://schemas.openxmlformats.org/officeDocument/2006/customXml" ds:itemID="{0D967F23-1AA1-47CD-83E4-D7880B5678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973202-7c92-449b-a95a-8ec26691ea65"/>
    <ds:schemaRef ds:uri="0b644c8d-8442-43d3-b70d-a766ab8538c3"/>
    <ds:schemaRef ds:uri="d091c58a-92a6-4874-9249-ff899a5e6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E07F9F-6780-4C16-A5CE-417CBCE2E482}">
  <ds:schemaRefs>
    <ds:schemaRef ds:uri="http://schemas.microsoft.com/sharepoint/events"/>
  </ds:schemaRefs>
</ds:datastoreItem>
</file>

<file path=customXml/itemProps4.xml><?xml version="1.0" encoding="utf-8"?>
<ds:datastoreItem xmlns:ds="http://schemas.openxmlformats.org/officeDocument/2006/customXml" ds:itemID="{AB782753-7C88-457F-9512-F6E6490F7355}">
  <ds:schemaRefs>
    <ds:schemaRef ds:uri="Microsoft.SharePoint.Taxonomy.ContentTypeSync"/>
  </ds:schemaRefs>
</ds:datastoreItem>
</file>

<file path=customXml/itemProps5.xml><?xml version="1.0" encoding="utf-8"?>
<ds:datastoreItem xmlns:ds="http://schemas.openxmlformats.org/officeDocument/2006/customXml" ds:itemID="{FD240634-A361-4DC7-B816-D406F6CDAF43}">
  <ds:schemaRefs>
    <ds:schemaRef ds:uri="http://schemas.microsoft.com/sharepoint/v3/contenttype/forms"/>
  </ds:schemaRefs>
</ds:datastoreItem>
</file>

<file path=customXml/itemProps6.xml><?xml version="1.0" encoding="utf-8"?>
<ds:datastoreItem xmlns:ds="http://schemas.openxmlformats.org/officeDocument/2006/customXml" ds:itemID="{07ED52D9-96CD-48AC-8C8B-9D483129C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10444</Words>
  <Characters>54628</Characters>
  <Application>Microsoft Office Word</Application>
  <DocSecurity>0</DocSecurity>
  <Lines>1300</Lines>
  <Paragraphs>533</Paragraphs>
  <ScaleCrop>false</ScaleCrop>
  <HeadingPairs>
    <vt:vector size="2" baseType="variant">
      <vt:variant>
        <vt:lpstr>Title</vt:lpstr>
      </vt:variant>
      <vt:variant>
        <vt:i4>1</vt:i4>
      </vt:variant>
    </vt:vector>
  </HeadingPairs>
  <TitlesOfParts>
    <vt:vector size="1" baseType="lpstr">
      <vt:lpstr>eu general data protection regulation factsheet</vt:lpstr>
    </vt:vector>
  </TitlesOfParts>
  <Company/>
  <LinksUpToDate>false</LinksUpToDate>
  <CharactersWithSpaces>64539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 general data protection regulation factsheet</dc:title>
  <dc:subject/>
  <dc:creator>Richard Harris</dc:creator>
  <cp:keywords/>
  <cp:lastModifiedBy>Susanne Malmgren</cp:lastModifiedBy>
  <cp:revision>2</cp:revision>
  <cp:lastPrinted>2018-02-22T15:43:00Z</cp:lastPrinted>
  <dcterms:created xsi:type="dcterms:W3CDTF">2021-05-26T10:32:00Z</dcterms:created>
  <dcterms:modified xsi:type="dcterms:W3CDTF">2021-05-26T10:32:00Z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0x010100C9ADBE5EDAD5E947B0458271EF26F4F31200FE37DB52ACB97D4BAF431AA03270AEB700B787114CD77425479D3933963D191A7A</vt:lpwstr>
  </property>
  <property fmtid="{D5CDD505-2E9C-101B-9397-08002B2CF9AE}" pid="3" name="_dlc_DocIdItemGuid">
    <vt:lpwstr>e634a2c8-f533-4aa1-950f-51aa3a74ae16</vt:lpwstr>
  </property>
  <property fmtid="{D5CDD505-2E9C-101B-9397-08002B2CF9AE}" pid="4" name="Guidance type (EA)">
    <vt:lpwstr>682;#Supporting Resource|046fdab6-b44b-4f3d-aa13-e1a7611ba2d0</vt:lpwstr>
  </property>
  <property fmtid="{D5CDD505-2E9C-101B-9397-08002B2CF9AE}" pid="5" name="Event (EA)">
    <vt:lpwstr>3000;#Electoral Registration - Sharing Good Practice|ff9a4b40-eef2-4050-9b36-cfbdbc682725;#2851;#Electoral Registration - General|f362cff4-6cfb-4c49-aeb6-f748414e3023</vt:lpwstr>
  </property>
  <property fmtid="{D5CDD505-2E9C-101B-9397-08002B2CF9AE}" pid="6" name="TaxKeyword">
    <vt:lpwstr/>
  </property>
  <property fmtid="{D5CDD505-2E9C-101B-9397-08002B2CF9AE}" pid="7" name="Countries">
    <vt:lpwstr/>
  </property>
  <property fmtid="{D5CDD505-2E9C-101B-9397-08002B2CF9AE}" pid="8" name="Audience1">
    <vt:lpwstr/>
  </property>
  <property fmtid="{D5CDD505-2E9C-101B-9397-08002B2CF9AE}" pid="9" name="Audience (EA)">
    <vt:lpwstr>2778;#ERO|a6ba3a8a-4279-45f6-9c44-720447ffc9ad;#684;#RO|9ab7a96e-a7bd-4c42-99d8-e2b2fe25086a</vt:lpwstr>
  </property>
  <property fmtid="{D5CDD505-2E9C-101B-9397-08002B2CF9AE}" pid="10" name="Area (EA)">
    <vt:lpwstr>687;#UK Wide|35497391-78cd-4432-a919-8eedf1a8689e</vt:lpwstr>
  </property>
  <property fmtid="{D5CDD505-2E9C-101B-9397-08002B2CF9AE}" pid="11" name="ECSubject">
    <vt:lpwstr/>
  </property>
  <property fmtid="{D5CDD505-2E9C-101B-9397-08002B2CF9AE}" pid="12" name="Calendar Year">
    <vt:lpwstr/>
  </property>
  <property fmtid="{D5CDD505-2E9C-101B-9397-08002B2CF9AE}" pid="13" name="GPMS marking">
    <vt:lpwstr/>
  </property>
  <property fmtid="{D5CDD505-2E9C-101B-9397-08002B2CF9AE}" pid="14" name="TaxKeywordTaxHTField">
    <vt:lpwstr/>
  </property>
  <property fmtid="{D5CDD505-2E9C-101B-9397-08002B2CF9AE}" pid="15" name="Financial year">
    <vt:lpwstr/>
  </property>
  <property fmtid="{D5CDD505-2E9C-101B-9397-08002B2CF9AE}" pid="16" name="SharedWithUsers">
    <vt:lpwstr>477;#Claire Wardle</vt:lpwstr>
  </property>
  <property fmtid="{D5CDD505-2E9C-101B-9397-08002B2CF9AE}" pid="17" name="pf1c3e1bd69e4157938b459bbd5820b8">
    <vt:lpwstr/>
  </property>
  <property fmtid="{D5CDD505-2E9C-101B-9397-08002B2CF9AE}" pid="18" name="PPM Name">
    <vt:lpwstr/>
  </property>
</Properties>
</file>