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154D3" w14:textId="13C57C40" w:rsidR="00F56E57" w:rsidRDefault="00F56E57" w:rsidP="00720940">
      <w:pPr>
        <w:pStyle w:val="Chapterhead"/>
      </w:pPr>
      <w:r>
        <w:rPr>
          <w:noProof/>
          <w:lang w:eastAsia="en-GB"/>
        </w:rPr>
        <w:drawing>
          <wp:anchor distT="0" distB="0" distL="114300" distR="114300" simplePos="0" relativeHeight="251658240" behindDoc="1" locked="0" layoutInCell="1" allowOverlap="1" wp14:anchorId="133EEFA0" wp14:editId="707B86AB">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p>
    <w:p w14:paraId="3E900EB3" w14:textId="77777777" w:rsidR="00F56E57" w:rsidRDefault="00F56E57">
      <w:pPr>
        <w:pStyle w:val="Chapterhead"/>
      </w:pPr>
    </w:p>
    <w:p w14:paraId="3790C005" w14:textId="499474E9" w:rsidR="00F56E57" w:rsidRDefault="00F56E57">
      <w:pPr>
        <w:pStyle w:val="Chapterhead"/>
      </w:pPr>
      <w:r>
        <w:t xml:space="preserve">Key considerations for the delivery of </w:t>
      </w:r>
      <w:r w:rsidR="00734F4A">
        <w:t xml:space="preserve">the </w:t>
      </w:r>
      <w:r>
        <w:t>May 2021 polls</w:t>
      </w:r>
      <w:r w:rsidR="00800E1B">
        <w:t>:</w:t>
      </w:r>
      <w:r w:rsidR="00C861DD">
        <w:t xml:space="preserve"> </w:t>
      </w:r>
      <w:r w:rsidR="003140E5">
        <w:t>p</w:t>
      </w:r>
      <w:r w:rsidR="00712E04">
        <w:t>olling station</w:t>
      </w:r>
      <w:r w:rsidR="0025332A">
        <w:t>s</w:t>
      </w:r>
    </w:p>
    <w:p w14:paraId="4723553C" w14:textId="77777777" w:rsidR="00F56E57" w:rsidRDefault="00F56E57" w:rsidP="00A34CDF">
      <w:pPr>
        <w:pStyle w:val="A-head"/>
        <w:spacing w:line="240" w:lineRule="auto"/>
      </w:pPr>
      <w:r>
        <w:t>Purpose</w:t>
      </w:r>
    </w:p>
    <w:p w14:paraId="4F798DC3" w14:textId="710C51F4" w:rsidR="008C738A" w:rsidRDefault="00221245" w:rsidP="00221245">
      <w:pPr>
        <w:pStyle w:val="NormalWeb"/>
        <w:rPr>
          <w:rFonts w:ascii="Arial" w:hAnsi="Arial" w:cs="Arial"/>
          <w:color w:val="000000"/>
        </w:rPr>
      </w:pPr>
      <w:r w:rsidRPr="00221245">
        <w:rPr>
          <w:rFonts w:ascii="Arial" w:hAnsi="Arial" w:cs="Arial"/>
          <w:color w:val="000000"/>
        </w:rPr>
        <w:t>The coronavirus pandemic is continuing to impact how we live in Great Britain and will present particular challenges for Returning Officers (ROs), Electoral Registration Officers (EROs) and their teams in preparing for and delivering the 2021 polls. To support you in planning for and delivering the May 2021 polls the Commission</w:t>
      </w:r>
      <w:r w:rsidR="004C5DBC">
        <w:rPr>
          <w:rFonts w:ascii="Arial" w:hAnsi="Arial" w:cs="Arial"/>
          <w:color w:val="000000"/>
        </w:rPr>
        <w:t xml:space="preserve"> has</w:t>
      </w:r>
      <w:r w:rsidRPr="00221245">
        <w:rPr>
          <w:rFonts w:ascii="Arial" w:hAnsi="Arial" w:cs="Arial"/>
          <w:color w:val="000000"/>
        </w:rPr>
        <w:t xml:space="preserve"> issu</w:t>
      </w:r>
      <w:r w:rsidR="004C5DBC">
        <w:rPr>
          <w:rFonts w:ascii="Arial" w:hAnsi="Arial" w:cs="Arial"/>
          <w:color w:val="000000"/>
        </w:rPr>
        <w:t>ed</w:t>
      </w:r>
      <w:r w:rsidR="008B4F75">
        <w:rPr>
          <w:rFonts w:ascii="Arial" w:hAnsi="Arial" w:cs="Arial"/>
          <w:color w:val="000000"/>
        </w:rPr>
        <w:t xml:space="preserve"> </w:t>
      </w:r>
      <w:bookmarkStart w:id="0" w:name="_GoBack"/>
      <w:bookmarkEnd w:id="0"/>
      <w:r w:rsidRPr="00221245">
        <w:rPr>
          <w:rFonts w:ascii="Arial" w:hAnsi="Arial" w:cs="Arial"/>
          <w:color w:val="000000"/>
        </w:rPr>
        <w:t>supplementary guidance documents that focus on key parts of the electoral process.</w:t>
      </w:r>
      <w:r w:rsidR="008B4F75">
        <w:rPr>
          <w:rFonts w:ascii="Arial" w:hAnsi="Arial" w:cs="Arial"/>
        </w:rPr>
      </w:r>
    </w:p>
    <w:p w14:paraId="647B6C6D" w14:textId="3808B45F" w:rsidR="00E5069D" w:rsidRDefault="00F56E57" w:rsidP="00A229DC">
      <w:pPr>
        <w:spacing w:before="240" w:after="240"/>
        <w:rPr>
          <w:rFonts w:cs="Arial"/>
        </w:rPr>
      </w:pPr>
      <w:r w:rsidRPr="00661A1C">
        <w:rPr>
          <w:rFonts w:cs="Arial"/>
        </w:rPr>
        <w:t>The purpose of this document</w:t>
      </w:r>
      <w:r>
        <w:rPr>
          <w:rFonts w:cs="Arial"/>
        </w:rPr>
        <w:t>, which has been developed in close consultation with the AEA,</w:t>
      </w:r>
      <w:r w:rsidR="00823A96">
        <w:rPr>
          <w:rFonts w:cs="Arial"/>
        </w:rPr>
        <w:t xml:space="preserve"> EMB, SAA</w:t>
      </w:r>
      <w:r>
        <w:rPr>
          <w:rFonts w:cs="Arial"/>
        </w:rPr>
        <w:t xml:space="preserve"> </w:t>
      </w:r>
      <w:r w:rsidR="00823A96">
        <w:rPr>
          <w:rFonts w:cs="Arial"/>
        </w:rPr>
        <w:t>and Scottish Government as well as our</w:t>
      </w:r>
      <w:r w:rsidR="0031187B">
        <w:rPr>
          <w:rFonts w:cs="Arial"/>
        </w:rPr>
        <w:t xml:space="preserve"> national public health bodies</w:t>
      </w:r>
      <w:r>
        <w:rPr>
          <w:rFonts w:cs="Arial"/>
        </w:rPr>
        <w:t>,</w:t>
      </w:r>
      <w:r w:rsidRPr="00661A1C">
        <w:rPr>
          <w:rFonts w:cs="Arial"/>
        </w:rPr>
        <w:t xml:space="preserve"> is</w:t>
      </w:r>
      <w:r w:rsidRPr="0032007A">
        <w:rPr>
          <w:rFonts w:cs="Arial"/>
        </w:rPr>
        <w:t xml:space="preserve"> to support you with the decisions you may need to take to manage the particular challenges</w:t>
      </w:r>
      <w:r w:rsidR="00DF3EDD">
        <w:rPr>
          <w:rFonts w:cs="Arial"/>
        </w:rPr>
        <w:t xml:space="preserve"> faced locally and nationally as a result of the current public health situation </w:t>
      </w:r>
      <w:r w:rsidR="00734F4A">
        <w:rPr>
          <w:rFonts w:cs="Arial"/>
        </w:rPr>
        <w:t>in relation to</w:t>
      </w:r>
      <w:r w:rsidR="00DF3EDD">
        <w:rPr>
          <w:rFonts w:cs="Arial"/>
        </w:rPr>
        <w:t xml:space="preserve"> </w:t>
      </w:r>
      <w:r w:rsidR="003140E5">
        <w:rPr>
          <w:rFonts w:cs="Arial"/>
        </w:rPr>
        <w:t>the management and set up of</w:t>
      </w:r>
      <w:r w:rsidR="00E902D1">
        <w:rPr>
          <w:rFonts w:cs="Arial"/>
        </w:rPr>
        <w:t xml:space="preserve"> polling stations</w:t>
      </w:r>
      <w:r w:rsidR="00DF3EDD">
        <w:rPr>
          <w:rFonts w:cs="Arial"/>
        </w:rPr>
        <w:t xml:space="preserve"> at </w:t>
      </w:r>
      <w:r>
        <w:rPr>
          <w:rFonts w:cs="Arial"/>
        </w:rPr>
        <w:t>the May 2021 polls</w:t>
      </w:r>
      <w:r w:rsidRPr="0032007A">
        <w:rPr>
          <w:rFonts w:cs="Arial"/>
        </w:rPr>
        <w:t xml:space="preserve">. </w:t>
      </w:r>
    </w:p>
    <w:p w14:paraId="76E8C137" w14:textId="1CE6B822" w:rsidR="00734F4A" w:rsidRDefault="003140E5" w:rsidP="00A229DC">
      <w:pPr>
        <w:spacing w:before="240" w:after="240"/>
        <w:rPr>
          <w:rFonts w:cs="Arial"/>
        </w:rPr>
      </w:pPr>
      <w:r>
        <w:rPr>
          <w:rFonts w:cs="Arial"/>
        </w:rPr>
        <w:t xml:space="preserve">It </w:t>
      </w:r>
      <w:r w:rsidR="00F56E57">
        <w:rPr>
          <w:rFonts w:cs="Arial"/>
        </w:rPr>
        <w:t>should be read alongside our</w:t>
      </w:r>
      <w:r w:rsidR="00F56E57" w:rsidRPr="00A7777A">
        <w:rPr>
          <w:rFonts w:cs="Arial"/>
        </w:rPr>
        <w:t xml:space="preserve"> </w:t>
      </w:r>
      <w:hyperlink r:id="rId14" w:history="1">
        <w:r w:rsidR="00F56E57" w:rsidRPr="00DD4BB1">
          <w:rPr>
            <w:rStyle w:val="Hyperlink"/>
            <w:rFonts w:cs="Arial"/>
          </w:rPr>
          <w:t>core guidance for electoral administrators</w:t>
        </w:r>
      </w:hyperlink>
      <w:r w:rsidR="00E5069D">
        <w:rPr>
          <w:rStyle w:val="Hyperlink"/>
          <w:rFonts w:cs="Arial"/>
        </w:rPr>
        <w:t>.</w:t>
      </w:r>
      <w:r w:rsidR="00E902D1">
        <w:rPr>
          <w:rFonts w:cs="Arial"/>
        </w:rPr>
        <w:t xml:space="preserve"> </w:t>
      </w:r>
      <w:r>
        <w:rPr>
          <w:rFonts w:cs="Arial"/>
        </w:rPr>
        <w:t xml:space="preserve">It has been designed to build on the guidance on risk assessments, staffing, training and venues which was set out in the supplementary guidance document on </w:t>
      </w:r>
      <w:hyperlink r:id="rId15" w:history="1">
        <w:r w:rsidRPr="005474EB">
          <w:rPr>
            <w:rStyle w:val="Hyperlink"/>
            <w:rFonts w:cs="Arial"/>
          </w:rPr>
          <w:t>planning considerations for the 2021 polls</w:t>
        </w:r>
      </w:hyperlink>
      <w:r>
        <w:rPr>
          <w:rFonts w:cs="Arial"/>
        </w:rPr>
        <w:t>. F</w:t>
      </w:r>
      <w:r w:rsidR="00FB3422" w:rsidRPr="00FB3422">
        <w:rPr>
          <w:rFonts w:cs="Arial"/>
        </w:rPr>
        <w:t xml:space="preserve">urther detailed guidance </w:t>
      </w:r>
      <w:r>
        <w:rPr>
          <w:rFonts w:cs="Arial"/>
        </w:rPr>
        <w:t>on the processes to be followed within polling stations on polling day itself will follow with the publication in early 2021 of updated versions of the p</w:t>
      </w:r>
      <w:r w:rsidR="00203F59">
        <w:rPr>
          <w:rFonts w:cs="Arial"/>
        </w:rPr>
        <w:t xml:space="preserve">olling </w:t>
      </w:r>
      <w:r>
        <w:rPr>
          <w:rFonts w:cs="Arial"/>
        </w:rPr>
        <w:t>s</w:t>
      </w:r>
      <w:r w:rsidR="00203F59">
        <w:rPr>
          <w:rFonts w:cs="Arial"/>
        </w:rPr>
        <w:t xml:space="preserve">tation </w:t>
      </w:r>
      <w:r>
        <w:rPr>
          <w:rFonts w:cs="Arial"/>
        </w:rPr>
        <w:t>h</w:t>
      </w:r>
      <w:r w:rsidR="00203F59">
        <w:rPr>
          <w:rFonts w:cs="Arial"/>
        </w:rPr>
        <w:t>andbook</w:t>
      </w:r>
      <w:r w:rsidR="00FB3422">
        <w:rPr>
          <w:rFonts w:cs="Arial"/>
        </w:rPr>
        <w:t xml:space="preserve">, </w:t>
      </w:r>
      <w:r>
        <w:rPr>
          <w:rFonts w:cs="Arial"/>
        </w:rPr>
        <w:t>and this will also be reflected in updated template polling station staff briefing presentations.</w:t>
      </w:r>
    </w:p>
    <w:p w14:paraId="0C4141CF" w14:textId="5CB0DE95" w:rsidR="00A34CDF" w:rsidRDefault="00DF3EDD" w:rsidP="005474EB">
      <w:pPr>
        <w:pStyle w:val="NormalWeb"/>
        <w:spacing w:before="240" w:beforeAutospacing="0" w:after="240" w:afterAutospacing="0"/>
      </w:pPr>
      <w:r w:rsidRPr="002F23F2">
        <w:rPr>
          <w:rFonts w:ascii="Arial" w:hAnsi="Arial" w:cs="Arial"/>
        </w:rPr>
        <w:t>Th</w:t>
      </w:r>
      <w:r w:rsidR="00A229DC">
        <w:rPr>
          <w:rFonts w:ascii="Arial" w:hAnsi="Arial" w:cs="Arial"/>
        </w:rPr>
        <w:t>i</w:t>
      </w:r>
      <w:r w:rsidRPr="002F23F2">
        <w:rPr>
          <w:rFonts w:ascii="Arial" w:hAnsi="Arial" w:cs="Arial"/>
        </w:rPr>
        <w:t xml:space="preserve">s guidance is a living document in recognition of the </w:t>
      </w:r>
      <w:r w:rsidR="002F23F2" w:rsidRPr="002F23F2">
        <w:rPr>
          <w:rFonts w:ascii="Arial" w:hAnsi="Arial" w:cs="Arial"/>
        </w:rPr>
        <w:t>c</w:t>
      </w:r>
      <w:r w:rsidRPr="002F23F2">
        <w:rPr>
          <w:rFonts w:ascii="Arial" w:hAnsi="Arial" w:cs="Arial"/>
        </w:rPr>
        <w:t>hanging landscape and ongoing developments in public health advice.</w:t>
      </w:r>
      <w:r w:rsidR="003140E5">
        <w:rPr>
          <w:rFonts w:ascii="Arial" w:hAnsi="Arial" w:cs="Arial"/>
          <w:color w:val="000000"/>
        </w:rPr>
        <w:t xml:space="preserve"> </w:t>
      </w:r>
      <w:r w:rsidR="005474EB" w:rsidRPr="002F23F2">
        <w:rPr>
          <w:rFonts w:ascii="Arial" w:hAnsi="Arial" w:cs="Arial"/>
          <w:color w:val="000000"/>
        </w:rPr>
        <w:t>We will update this document as and when there is</w:t>
      </w:r>
      <w:r w:rsidR="005474EB">
        <w:rPr>
          <w:rFonts w:ascii="Arial" w:hAnsi="Arial" w:cs="Arial"/>
          <w:color w:val="000000"/>
        </w:rPr>
        <w:t xml:space="preserve"> any</w:t>
      </w:r>
      <w:r w:rsidR="005474EB" w:rsidRPr="002F23F2">
        <w:rPr>
          <w:rFonts w:ascii="Arial" w:hAnsi="Arial" w:cs="Arial"/>
          <w:color w:val="000000"/>
        </w:rPr>
        <w:t xml:space="preserve"> additional information to </w:t>
      </w:r>
      <w:r w:rsidR="005474EB">
        <w:rPr>
          <w:rFonts w:ascii="Arial" w:hAnsi="Arial" w:cs="Arial"/>
          <w:color w:val="000000"/>
        </w:rPr>
        <w:t>reflect</w:t>
      </w:r>
      <w:r w:rsidR="005474EB" w:rsidRPr="002F23F2">
        <w:rPr>
          <w:rFonts w:ascii="Arial" w:hAnsi="Arial" w:cs="Arial"/>
          <w:color w:val="000000"/>
        </w:rPr>
        <w:t>.</w:t>
      </w:r>
    </w:p>
    <w:p w14:paraId="11DB7240" w14:textId="0F181263" w:rsidR="00F37C52" w:rsidRDefault="00F37C52" w:rsidP="00F37C52">
      <w:pPr>
        <w:pBdr>
          <w:top w:val="single" w:sz="4" w:space="6" w:color="0099C3"/>
          <w:left w:val="single" w:sz="4" w:space="6" w:color="0099C3"/>
          <w:bottom w:val="single" w:sz="4" w:space="6" w:color="0099C3"/>
          <w:right w:val="single" w:sz="4" w:space="6" w:color="0099C3"/>
        </w:pBdr>
        <w:spacing w:before="240"/>
        <w:ind w:left="142" w:right="142"/>
      </w:pPr>
      <w:r>
        <w:t xml:space="preserve">There are general public health principles that everyone should follow </w:t>
      </w:r>
      <w:r w:rsidRPr="001B7B67">
        <w:t>in all aspects of daily life to help mitigate the risk of the spread of coronavirus</w:t>
      </w:r>
      <w:r>
        <w:t>, and these should underpin all aspects of your preparations for the elections:</w:t>
      </w:r>
    </w:p>
    <w:p w14:paraId="2ABABA32" w14:textId="5BA436A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 xml:space="preserve">Maintain </w:t>
      </w:r>
      <w:r w:rsidR="001C5C29">
        <w:t xml:space="preserve">physical </w:t>
      </w:r>
      <w:r>
        <w:t>distancing</w:t>
      </w:r>
    </w:p>
    <w:p w14:paraId="5885EBCD"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Clean hands regularly</w:t>
      </w:r>
    </w:p>
    <w:p w14:paraId="24B3F6EF"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Avoid touching your face</w:t>
      </w:r>
    </w:p>
    <w:p w14:paraId="2714F209"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Limit your number of contacts</w:t>
      </w:r>
    </w:p>
    <w:p w14:paraId="69961A7C"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 xml:space="preserve">Wear a face covering, where necessary </w:t>
      </w:r>
    </w:p>
    <w:p w14:paraId="3E82F15F" w14:textId="77777777" w:rsidR="00F37C52" w:rsidRDefault="00F37C52" w:rsidP="00181F31">
      <w:pPr>
        <w:pStyle w:val="ListParagraph"/>
        <w:numPr>
          <w:ilvl w:val="0"/>
          <w:numId w:val="3"/>
        </w:numPr>
        <w:pBdr>
          <w:top w:val="single" w:sz="4" w:space="6" w:color="0099C3"/>
          <w:left w:val="single" w:sz="4" w:space="6" w:color="0099C3"/>
          <w:bottom w:val="single" w:sz="4" w:space="6" w:color="0099C3"/>
          <w:right w:val="single" w:sz="4" w:space="6" w:color="0099C3"/>
        </w:pBdr>
        <w:spacing w:before="240"/>
        <w:ind w:right="142"/>
      </w:pPr>
      <w:r>
        <w:t>Self-isolate and get a test, where necessary</w:t>
      </w:r>
    </w:p>
    <w:p w14:paraId="393D18CC" w14:textId="3882ED6E" w:rsidR="00DF3EDD" w:rsidRDefault="00DF3EDD" w:rsidP="00DF3EDD"/>
    <w:p w14:paraId="64EAF115" w14:textId="71C377AF" w:rsidR="00F56E57" w:rsidRDefault="00E902D1" w:rsidP="00F56E57">
      <w:pPr>
        <w:pStyle w:val="A-head"/>
      </w:pPr>
      <w:r>
        <w:lastRenderedPageBreak/>
        <w:t>Polling stations</w:t>
      </w:r>
    </w:p>
    <w:p w14:paraId="5778B6D3" w14:textId="1631A5E2" w:rsidR="00BF0163" w:rsidRDefault="00110326" w:rsidP="00075465">
      <w:pPr>
        <w:pStyle w:val="B-head"/>
        <w:spacing w:before="240" w:after="240"/>
      </w:pPr>
      <w:r>
        <w:t>Communicati</w:t>
      </w:r>
      <w:r w:rsidR="005D1671">
        <w:t>on</w:t>
      </w:r>
    </w:p>
    <w:p w14:paraId="24F70237" w14:textId="4298C7AF" w:rsidR="00BF0163" w:rsidRDefault="00BF0163" w:rsidP="00BF0163">
      <w:pPr>
        <w:pStyle w:val="C-head"/>
      </w:pPr>
      <w:r w:rsidRPr="002561E0">
        <w:t>H</w:t>
      </w:r>
      <w:r>
        <w:t>ow will</w:t>
      </w:r>
      <w:r w:rsidRPr="002561E0">
        <w:t xml:space="preserve"> you...?</w:t>
      </w:r>
    </w:p>
    <w:p w14:paraId="331CC0A9" w14:textId="77777777" w:rsidR="00BF0163" w:rsidRDefault="00BF0163" w:rsidP="00BF0163">
      <w:pPr>
        <w:pStyle w:val="Bulletpoints"/>
        <w:spacing w:before="0"/>
        <w:ind w:left="1077"/>
      </w:pPr>
    </w:p>
    <w:p w14:paraId="291B5579" w14:textId="4602563E" w:rsidR="00C02C0A" w:rsidRDefault="00C02C0A" w:rsidP="00181F31">
      <w:pPr>
        <w:pStyle w:val="ListParagraph"/>
        <w:numPr>
          <w:ilvl w:val="0"/>
          <w:numId w:val="1"/>
        </w:numPr>
        <w:ind w:left="426"/>
        <w:rPr>
          <w:b/>
        </w:rPr>
      </w:pPr>
      <w:r>
        <w:rPr>
          <w:b/>
        </w:rPr>
        <w:t xml:space="preserve">Communicate </w:t>
      </w:r>
      <w:r w:rsidR="00EE17E5">
        <w:rPr>
          <w:b/>
        </w:rPr>
        <w:t>what to expect when voting in</w:t>
      </w:r>
      <w:r>
        <w:rPr>
          <w:b/>
        </w:rPr>
        <w:t xml:space="preserve"> person </w:t>
      </w:r>
    </w:p>
    <w:p w14:paraId="26F79DB4" w14:textId="78BAF048" w:rsidR="00030A44" w:rsidRPr="00AC08C7" w:rsidRDefault="00030A44" w:rsidP="00030A44">
      <w:pPr>
        <w:pStyle w:val="ListParagraph"/>
        <w:spacing w:after="240"/>
        <w:ind w:left="714"/>
        <w:rPr>
          <w:b/>
        </w:rPr>
      </w:pPr>
    </w:p>
    <w:p w14:paraId="71D19008" w14:textId="14E8A51F" w:rsidR="003126DE" w:rsidRDefault="003126DE" w:rsidP="003126DE">
      <w:pPr>
        <w:pStyle w:val="ListParagraph"/>
        <w:numPr>
          <w:ilvl w:val="1"/>
          <w:numId w:val="1"/>
        </w:numPr>
        <w:spacing w:before="240" w:after="240"/>
      </w:pPr>
      <w:r>
        <w:t xml:space="preserve">It will be important to communicate to voters what they can expect when they vote at the elections, helping them to have the information they need to </w:t>
      </w:r>
      <w:r w:rsidR="003E076A">
        <w:t>plan</w:t>
      </w:r>
      <w:r>
        <w:t xml:space="preserve"> for how to vote safely. As part of this, you can also start to manage expectations as to what polling stations will feel like, giving voters an early indication of what </w:t>
      </w:r>
      <w:r w:rsidR="001C5C29">
        <w:t xml:space="preserve">physical </w:t>
      </w:r>
      <w:r>
        <w:t xml:space="preserve">distancing and hygiene measures will be in place – for example, </w:t>
      </w:r>
      <w:r w:rsidR="003E076A">
        <w:t xml:space="preserve">you can highlight </w:t>
      </w:r>
      <w:r>
        <w:t xml:space="preserve">that </w:t>
      </w:r>
      <w:r w:rsidR="003E076A">
        <w:t>v</w:t>
      </w:r>
      <w:r w:rsidRPr="003126DE">
        <w:t xml:space="preserve">oters can expect to see many of the measures we’ve all become used to over recent months in banks, shops and other indoor spaces, such as hand sanitiser, floor markings and face </w:t>
      </w:r>
      <w:r w:rsidR="005474EB">
        <w:t>coverings</w:t>
      </w:r>
      <w:r>
        <w:t>.</w:t>
      </w:r>
    </w:p>
    <w:p w14:paraId="617C64C9" w14:textId="69C1104C" w:rsidR="003126DE" w:rsidRDefault="003126DE" w:rsidP="003126DE">
      <w:pPr>
        <w:pStyle w:val="ListParagraph"/>
        <w:spacing w:before="240" w:after="240"/>
        <w:ind w:left="786"/>
      </w:pPr>
    </w:p>
    <w:p w14:paraId="6F862C51" w14:textId="77148CC9" w:rsidR="001E1AFE" w:rsidRDefault="003126DE" w:rsidP="003A07A0">
      <w:pPr>
        <w:pStyle w:val="ListParagraph"/>
        <w:numPr>
          <w:ilvl w:val="1"/>
          <w:numId w:val="1"/>
        </w:numPr>
        <w:spacing w:before="240" w:after="240"/>
      </w:pPr>
      <w:r>
        <w:t xml:space="preserve">As part of phase 1 of our </w:t>
      </w:r>
      <w:r w:rsidR="00062885">
        <w:t xml:space="preserve">public awareness </w:t>
      </w:r>
      <w:r>
        <w:t>communications work, as</w:t>
      </w:r>
      <w:r w:rsidRPr="00426D9F">
        <w:t xml:space="preserve"> outlined in </w:t>
      </w:r>
      <w:hyperlink r:id="rId16" w:history="1">
        <w:r w:rsidRPr="00823A96">
          <w:rPr>
            <w:rStyle w:val="Hyperlink"/>
          </w:rPr>
          <w:t xml:space="preserve">EA Bulletin </w:t>
        </w:r>
        <w:r w:rsidR="00823A96" w:rsidRPr="00823A96">
          <w:rPr>
            <w:rStyle w:val="Hyperlink"/>
          </w:rPr>
          <w:t>269</w:t>
        </w:r>
      </w:hyperlink>
      <w:r>
        <w:t>, we have already produced a range of template communication resources to support you with raising awareness that polling stations will be safe places to vote, including social media templates and an FAQ resource for use on your website locally. The</w:t>
      </w:r>
      <w:r w:rsidR="00062885">
        <w:t>se</w:t>
      </w:r>
      <w:r>
        <w:t xml:space="preserve"> resources are available on our </w:t>
      </w:r>
      <w:hyperlink r:id="rId17" w:history="1">
        <w:r w:rsidRPr="002B5412">
          <w:rPr>
            <w:rStyle w:val="Hyperlink"/>
          </w:rPr>
          <w:t>democratic engagement webpages</w:t>
        </w:r>
      </w:hyperlink>
      <w:r>
        <w:t xml:space="preserve">. </w:t>
      </w:r>
      <w:r w:rsidR="003A07A0">
        <w:t xml:space="preserve">Further information and resources will follow in the subsequent phases of the </w:t>
      </w:r>
      <w:r w:rsidR="00062885">
        <w:t>public awareness work</w:t>
      </w:r>
      <w:r w:rsidR="003A07A0">
        <w:t>, and we will keep you updated on the development of these through the EA Bulletin.</w:t>
      </w:r>
    </w:p>
    <w:p w14:paraId="09878DFA" w14:textId="77777777" w:rsidR="00F37C52" w:rsidRDefault="00F37C52" w:rsidP="00741E62">
      <w:pPr>
        <w:pStyle w:val="ListParagraph"/>
      </w:pPr>
    </w:p>
    <w:p w14:paraId="0F216F8D" w14:textId="55ECB574" w:rsidR="00030A44" w:rsidRDefault="00ED1219" w:rsidP="00181F31">
      <w:pPr>
        <w:pStyle w:val="ListParagraph"/>
        <w:numPr>
          <w:ilvl w:val="1"/>
          <w:numId w:val="1"/>
        </w:numPr>
        <w:ind w:left="851"/>
      </w:pPr>
      <w:r>
        <w:t xml:space="preserve">You will need to think about </w:t>
      </w:r>
      <w:r w:rsidR="001E1AFE">
        <w:t>what communication channels you have available and how</w:t>
      </w:r>
      <w:r>
        <w:t xml:space="preserve"> you can maximise opportunities to communicate your key messages locally, including through existing social media or other local authority communication channels</w:t>
      </w:r>
      <w:r w:rsidR="003E076A">
        <w:t>,</w:t>
      </w:r>
      <w:r w:rsidR="001E1AFE">
        <w:t xml:space="preserve"> a</w:t>
      </w:r>
      <w:r w:rsidR="003E076A">
        <w:t>s well as</w:t>
      </w:r>
      <w:r w:rsidR="001E1AFE">
        <w:t xml:space="preserve"> local press and radio</w:t>
      </w:r>
      <w:r w:rsidR="003E076A">
        <w:t xml:space="preserve">. </w:t>
      </w:r>
      <w:r w:rsidR="005474EB">
        <w:t>Y</w:t>
      </w:r>
      <w:r w:rsidR="005474EB" w:rsidRPr="00C10CA1">
        <w:t>ou should consider how you can work with partners, such as local groups representing people with disabilities, to help target your messages effectively.</w:t>
      </w:r>
      <w:r w:rsidR="005474EB">
        <w:t xml:space="preserve"> </w:t>
      </w:r>
      <w:r w:rsidR="001E1AFE">
        <w:t>You should also look for opportunities</w:t>
      </w:r>
      <w:r w:rsidR="008C738A">
        <w:t xml:space="preserve"> </w:t>
      </w:r>
      <w:r>
        <w:t xml:space="preserve">to add additional messaging about </w:t>
      </w:r>
      <w:r w:rsidR="003E076A">
        <w:t xml:space="preserve">options for voting and </w:t>
      </w:r>
      <w:r>
        <w:t xml:space="preserve">what to expect when voting in person to any other planned written communications </w:t>
      </w:r>
      <w:r w:rsidR="003E076A">
        <w:t>to electors, for example</w:t>
      </w:r>
      <w:r w:rsidR="005474EB">
        <w:t xml:space="preserve"> you could add wording to your poll cards, or to Household Notification Letters (HNLs)</w:t>
      </w:r>
      <w:r w:rsidR="003E076A">
        <w:t xml:space="preserve"> if you are planning to send </w:t>
      </w:r>
      <w:r w:rsidR="005474EB">
        <w:rPr>
          <w:rStyle w:val="Hyperlink"/>
        </w:rPr>
        <w:t>them.</w:t>
      </w:r>
    </w:p>
    <w:p w14:paraId="7C48EBCD" w14:textId="4EC5590E" w:rsidR="00F37C52" w:rsidRDefault="00F37C52" w:rsidP="00741E62"/>
    <w:p w14:paraId="148B108F" w14:textId="5DCF1E22" w:rsidR="00F37C52" w:rsidRPr="00075465" w:rsidRDefault="00F37C52" w:rsidP="00181F31">
      <w:pPr>
        <w:numPr>
          <w:ilvl w:val="1"/>
          <w:numId w:val="1"/>
        </w:numPr>
        <w:ind w:left="851" w:hanging="284"/>
        <w:contextualSpacing/>
      </w:pPr>
      <w:r w:rsidRPr="00075465">
        <w:t xml:space="preserve">Co-ordinating your publicity with other neighbouring </w:t>
      </w:r>
      <w:r w:rsidR="003E076A">
        <w:t xml:space="preserve">local </w:t>
      </w:r>
      <w:r w:rsidRPr="00075465">
        <w:t xml:space="preserve">authorities could be </w:t>
      </w:r>
      <w:r w:rsidR="003E076A">
        <w:t xml:space="preserve">helpful, particularly where you have elections that cross local authority boundaries, and will </w:t>
      </w:r>
      <w:r w:rsidRPr="00075465">
        <w:t xml:space="preserve">help to ensure that you </w:t>
      </w:r>
      <w:r w:rsidR="003E076A">
        <w:t xml:space="preserve">can </w:t>
      </w:r>
      <w:r w:rsidRPr="00075465">
        <w:t xml:space="preserve">collectively reach as many electors as possible with a consistent message. </w:t>
      </w:r>
    </w:p>
    <w:p w14:paraId="5D0A2F39" w14:textId="77777777" w:rsidR="00F950B7" w:rsidRDefault="00F950B7" w:rsidP="00741E62"/>
    <w:p w14:paraId="0BB7774E" w14:textId="6779A0CD" w:rsidR="00ED1219" w:rsidRDefault="00F950B7" w:rsidP="00181F31">
      <w:pPr>
        <w:pStyle w:val="ListParagraph"/>
        <w:numPr>
          <w:ilvl w:val="1"/>
          <w:numId w:val="1"/>
        </w:numPr>
        <w:ind w:left="851"/>
      </w:pPr>
      <w:r>
        <w:t xml:space="preserve">As well as </w:t>
      </w:r>
      <w:r w:rsidR="003E076A">
        <w:t xml:space="preserve">proactively </w:t>
      </w:r>
      <w:r>
        <w:t>communicating key messages</w:t>
      </w:r>
      <w:r w:rsidR="003E076A">
        <w:t>,</w:t>
      </w:r>
      <w:r>
        <w:t xml:space="preserve"> it will be important to have a plan </w:t>
      </w:r>
      <w:r w:rsidR="003E076A">
        <w:t xml:space="preserve">in place to enable you </w:t>
      </w:r>
      <w:r>
        <w:t xml:space="preserve">to respond to questions and comments </w:t>
      </w:r>
      <w:r w:rsidR="003E076A">
        <w:t xml:space="preserve">received </w:t>
      </w:r>
      <w:r>
        <w:t>through all channels</w:t>
      </w:r>
      <w:r w:rsidR="003E076A">
        <w:t>, helping to ensure you can provide accurate, timely and consistent responses, which will help to ensure voters’ confidence in the election process.</w:t>
      </w:r>
    </w:p>
    <w:p w14:paraId="7E963AC5" w14:textId="77777777" w:rsidR="00ED1219" w:rsidRDefault="00ED1219" w:rsidP="00C25C4F"/>
    <w:p w14:paraId="4A535AF1" w14:textId="77777777" w:rsidR="00D81839" w:rsidRDefault="00C05C7F" w:rsidP="00181F31">
      <w:pPr>
        <w:pStyle w:val="ListParagraph"/>
        <w:numPr>
          <w:ilvl w:val="0"/>
          <w:numId w:val="1"/>
        </w:numPr>
        <w:spacing w:before="240" w:after="240"/>
        <w:ind w:left="426" w:hanging="357"/>
        <w:contextualSpacing w:val="0"/>
        <w:rPr>
          <w:b/>
        </w:rPr>
      </w:pPr>
      <w:r>
        <w:rPr>
          <w:b/>
        </w:rPr>
        <w:t>Engage with political parties, candidates and other stakeholders</w:t>
      </w:r>
      <w:r w:rsidR="00182591">
        <w:rPr>
          <w:b/>
        </w:rPr>
        <w:t>?</w:t>
      </w:r>
    </w:p>
    <w:p w14:paraId="3C7D2EFA" w14:textId="74FA103C" w:rsidR="00EE0813" w:rsidRDefault="00EE0813" w:rsidP="005474EB">
      <w:pPr>
        <w:pStyle w:val="ListParagraph"/>
        <w:numPr>
          <w:ilvl w:val="1"/>
          <w:numId w:val="1"/>
        </w:numPr>
        <w:spacing w:before="240" w:after="240"/>
        <w:contextualSpacing w:val="0"/>
      </w:pPr>
      <w:r w:rsidRPr="00EE0813">
        <w:t xml:space="preserve">It will be important to engage with candidates, agents, parties and campaigners to ensure that they are fully aware </w:t>
      </w:r>
      <w:r>
        <w:t xml:space="preserve">of </w:t>
      </w:r>
      <w:r w:rsidRPr="00EE0813">
        <w:t xml:space="preserve">any adaptations to your usual processes for managing </w:t>
      </w:r>
      <w:r>
        <w:t>polling stations</w:t>
      </w:r>
      <w:r w:rsidRPr="00EE0813">
        <w:t xml:space="preserve"> in light of coronavirus, ensuring that all key stakeholders </w:t>
      </w:r>
      <w:r w:rsidRPr="00EE0813">
        <w:lastRenderedPageBreak/>
        <w:t xml:space="preserve">receive the same information in the interests of fairness and consistency. For example, you should provide information </w:t>
      </w:r>
      <w:r w:rsidR="005E39C4">
        <w:t>as early as possible</w:t>
      </w:r>
      <w:r>
        <w:t xml:space="preserve"> about how </w:t>
      </w:r>
      <w:r w:rsidR="001C5C29">
        <w:t>physical</w:t>
      </w:r>
      <w:r>
        <w:t xml:space="preserve"> distancing will be maintained in polling stations and </w:t>
      </w:r>
      <w:r w:rsidRPr="00EE0813">
        <w:t xml:space="preserve">what measures you are taking to protect </w:t>
      </w:r>
      <w:r>
        <w:t xml:space="preserve">voters, </w:t>
      </w:r>
      <w:r w:rsidRPr="00EE0813">
        <w:t xml:space="preserve">your staff and </w:t>
      </w:r>
      <w:r>
        <w:t xml:space="preserve">any </w:t>
      </w:r>
      <w:r w:rsidRPr="00EE0813">
        <w:t xml:space="preserve">observers, </w:t>
      </w:r>
      <w:r w:rsidR="005E39C4">
        <w:t>as well as</w:t>
      </w:r>
      <w:r w:rsidRPr="00EE0813">
        <w:t xml:space="preserve"> what attendees will be required to do and can expect to see</w:t>
      </w:r>
      <w:r>
        <w:t xml:space="preserve"> in these venues. </w:t>
      </w:r>
      <w:r w:rsidR="005474EB" w:rsidRPr="00135454">
        <w:t xml:space="preserve">You </w:t>
      </w:r>
      <w:r w:rsidR="005474EB">
        <w:t>should</w:t>
      </w:r>
      <w:r w:rsidR="005474EB" w:rsidRPr="00135454">
        <w:t xml:space="preserve"> also </w:t>
      </w:r>
      <w:r w:rsidR="005474EB">
        <w:t>remind</w:t>
      </w:r>
      <w:r w:rsidR="005474EB" w:rsidRPr="00135454">
        <w:t xml:space="preserve"> them </w:t>
      </w:r>
      <w:r w:rsidR="005474EB">
        <w:t>of the guidance on the conduct of t</w:t>
      </w:r>
      <w:r w:rsidR="005474EB" w:rsidRPr="00135454">
        <w:t>ellers</w:t>
      </w:r>
      <w:r w:rsidR="005474EB">
        <w:t>, highlight the importance of tellers maintaining social distancing with each other and with voters, and explain how any arrangements for queuing outside the polling station will impact on where they are able to be located.</w:t>
      </w:r>
    </w:p>
    <w:p w14:paraId="1CC3ED9C" w14:textId="4676E335" w:rsidR="00EE0813" w:rsidRPr="00EE0813" w:rsidRDefault="00EE0813" w:rsidP="00181F31">
      <w:pPr>
        <w:pStyle w:val="ListParagraph"/>
        <w:numPr>
          <w:ilvl w:val="1"/>
          <w:numId w:val="1"/>
        </w:numPr>
        <w:spacing w:before="240" w:after="240"/>
        <w:contextualSpacing w:val="0"/>
      </w:pPr>
      <w:r w:rsidRPr="00EE0813">
        <w:t xml:space="preserve">You should also inform candidates, agents, parties and campaigners of </w:t>
      </w:r>
      <w:r>
        <w:t xml:space="preserve">your plans </w:t>
      </w:r>
      <w:r w:rsidRPr="00EE0813">
        <w:t xml:space="preserve">to promote </w:t>
      </w:r>
      <w:r>
        <w:t xml:space="preserve">voter </w:t>
      </w:r>
      <w:r w:rsidRPr="00EE0813">
        <w:t xml:space="preserve">awareness </w:t>
      </w:r>
      <w:r w:rsidR="00343D0F">
        <w:t xml:space="preserve">around voting options and </w:t>
      </w:r>
      <w:r>
        <w:t>what to expect in polling stations</w:t>
      </w:r>
      <w:r w:rsidRPr="00EE0813">
        <w:t>. This will help them to reflect the key messages for</w:t>
      </w:r>
      <w:r>
        <w:t xml:space="preserve"> voters</w:t>
      </w:r>
      <w:r w:rsidRPr="00EE0813">
        <w:t xml:space="preserve"> in their own </w:t>
      </w:r>
      <w:r>
        <w:t xml:space="preserve">public awareness and engagement </w:t>
      </w:r>
      <w:r w:rsidRPr="00EE0813">
        <w:t xml:space="preserve">activity. </w:t>
      </w:r>
    </w:p>
    <w:p w14:paraId="22FB5A4A" w14:textId="772FFEAE" w:rsidR="005E39C4" w:rsidRPr="005E39C4" w:rsidRDefault="005E39C4" w:rsidP="005E39C4">
      <w:pPr>
        <w:pStyle w:val="ListParagraph"/>
        <w:numPr>
          <w:ilvl w:val="1"/>
          <w:numId w:val="1"/>
        </w:numPr>
        <w:ind w:left="709" w:hanging="283"/>
      </w:pPr>
      <w:r>
        <w:t xml:space="preserve">You could cover these messages as part of your briefings for candidates, agents and parties, and may also find it helpful to provide written explanations. However you do it, communicating the messages clearly and consistently can help to manage expectations and address concerns in advance of polling day. The Commission </w:t>
      </w:r>
      <w:r w:rsidRPr="005E39C4">
        <w:t>will also be producing guidance for candidates and agents to help them understand the changes to the election process that they can expect to see as a result of the coronavirus pandemic and to give them the information they need to be able to participate in the elections safely and with confidence. We will update you when this guidance is available so that you can share it with candidates and agents in your local area.</w:t>
      </w:r>
    </w:p>
    <w:p w14:paraId="555B5B86" w14:textId="1F50CDE8" w:rsidR="007F1771" w:rsidRPr="00216766" w:rsidRDefault="00F927BA" w:rsidP="00F927BA">
      <w:pPr>
        <w:pStyle w:val="B-head"/>
        <w:spacing w:before="240" w:after="240" w:line="240" w:lineRule="auto"/>
        <w:rPr>
          <w:color w:val="00B0F0"/>
        </w:rPr>
      </w:pPr>
      <w:r>
        <w:rPr>
          <w:color w:val="00B0F0"/>
        </w:rPr>
        <w:t>Managing polling station voting</w:t>
      </w:r>
      <w:r w:rsidR="00C52F73">
        <w:rPr>
          <w:color w:val="00B0F0"/>
        </w:rPr>
        <w:t xml:space="preserve"> </w:t>
      </w:r>
    </w:p>
    <w:p w14:paraId="1C666787" w14:textId="416F1A14" w:rsidR="00C3165E" w:rsidRDefault="00C3165E" w:rsidP="00E132C0">
      <w:r w:rsidRPr="002561E0">
        <w:t>H</w:t>
      </w:r>
      <w:r>
        <w:t>ow will</w:t>
      </w:r>
      <w:r w:rsidRPr="002561E0">
        <w:t xml:space="preserve"> you...?</w:t>
      </w:r>
    </w:p>
    <w:p w14:paraId="5E4842A3" w14:textId="6AE8C506" w:rsidR="00C3165E" w:rsidRDefault="00C3165E" w:rsidP="00E132C0"/>
    <w:p w14:paraId="73BC439C" w14:textId="1D893388" w:rsidR="0096057A" w:rsidRPr="00EF4B03" w:rsidRDefault="00885154" w:rsidP="00181F31">
      <w:pPr>
        <w:pStyle w:val="ListParagraph"/>
        <w:numPr>
          <w:ilvl w:val="0"/>
          <w:numId w:val="1"/>
        </w:numPr>
        <w:ind w:left="426"/>
        <w:rPr>
          <w:b/>
        </w:rPr>
      </w:pPr>
      <w:r>
        <w:rPr>
          <w:b/>
        </w:rPr>
        <w:t>Determine what roles you will need?</w:t>
      </w:r>
    </w:p>
    <w:p w14:paraId="084FABBC" w14:textId="1AA7BCF2" w:rsidR="00573A2A" w:rsidRDefault="0096057A" w:rsidP="00181F31">
      <w:pPr>
        <w:pStyle w:val="ListParagraph"/>
        <w:numPr>
          <w:ilvl w:val="1"/>
          <w:numId w:val="1"/>
        </w:numPr>
        <w:spacing w:before="240" w:after="240"/>
        <w:ind w:left="782" w:hanging="357"/>
        <w:contextualSpacing w:val="0"/>
      </w:pPr>
      <w:r>
        <w:t xml:space="preserve">As outlined in </w:t>
      </w:r>
      <w:r w:rsidR="00BE792C">
        <w:t xml:space="preserve">the </w:t>
      </w:r>
      <w:r>
        <w:t xml:space="preserve">planning guidance, you should consider </w:t>
      </w:r>
      <w:r w:rsidR="00BE792C">
        <w:t xml:space="preserve">carefully </w:t>
      </w:r>
      <w:r w:rsidR="00885154">
        <w:t xml:space="preserve">what additional roles you may need </w:t>
      </w:r>
      <w:r w:rsidR="00BE792C">
        <w:t>to be carried out at</w:t>
      </w:r>
      <w:r w:rsidR="00885154">
        <w:t xml:space="preserve"> these polls as a result of coronavirus measures</w:t>
      </w:r>
      <w:r w:rsidR="00573A2A">
        <w:t>:</w:t>
      </w:r>
    </w:p>
    <w:p w14:paraId="45671E73" w14:textId="77777777" w:rsidR="00BE792C" w:rsidRPr="00573A2A" w:rsidRDefault="00BE792C" w:rsidP="00BE792C">
      <w:pPr>
        <w:pStyle w:val="ListParagraph"/>
        <w:numPr>
          <w:ilvl w:val="2"/>
          <w:numId w:val="1"/>
        </w:numPr>
        <w:ind w:left="1560" w:hanging="426"/>
      </w:pPr>
      <w:r w:rsidRPr="00573A2A">
        <w:t>Regular cleaning throughout the day of touchpoints such as doors, polling booths and any writing implements</w:t>
      </w:r>
      <w:r>
        <w:t xml:space="preserve"> you provide,</w:t>
      </w:r>
      <w:r w:rsidRPr="00573A2A">
        <w:t xml:space="preserve"> is recommended by public health authorities. </w:t>
      </w:r>
    </w:p>
    <w:p w14:paraId="187A9D5A" w14:textId="384DB99F" w:rsidR="0096057A" w:rsidRDefault="00573A2A" w:rsidP="00181F31">
      <w:pPr>
        <w:pStyle w:val="ListParagraph"/>
        <w:numPr>
          <w:ilvl w:val="2"/>
          <w:numId w:val="1"/>
        </w:numPr>
        <w:spacing w:before="240" w:after="240"/>
        <w:ind w:left="1560" w:hanging="426"/>
        <w:contextualSpacing w:val="0"/>
      </w:pPr>
      <w:r>
        <w:t xml:space="preserve">At </w:t>
      </w:r>
      <w:r w:rsidR="0096057A">
        <w:t xml:space="preserve">recent </w:t>
      </w:r>
      <w:r w:rsidR="00BE792C">
        <w:t xml:space="preserve">local </w:t>
      </w:r>
      <w:r w:rsidR="00255FAF">
        <w:t xml:space="preserve">government </w:t>
      </w:r>
      <w:r w:rsidR="0096057A">
        <w:t xml:space="preserve">by-elections, ‘greeters’ were employed at </w:t>
      </w:r>
      <w:r>
        <w:t>many</w:t>
      </w:r>
      <w:r w:rsidR="0096057A">
        <w:t xml:space="preserve"> polling stations </w:t>
      </w:r>
      <w:r w:rsidR="00AA09AE">
        <w:t xml:space="preserve">to </w:t>
      </w:r>
      <w:r w:rsidR="00AA09AE" w:rsidRPr="00AA09AE">
        <w:t xml:space="preserve">control </w:t>
      </w:r>
      <w:r w:rsidR="00AA09AE">
        <w:t xml:space="preserve">queues and manage </w:t>
      </w:r>
      <w:r w:rsidR="00AA09AE" w:rsidRPr="00AA09AE">
        <w:t>entry</w:t>
      </w:r>
      <w:r w:rsidR="00AA09AE">
        <w:t xml:space="preserve"> to the station for </w:t>
      </w:r>
      <w:r w:rsidR="001C5C29">
        <w:t xml:space="preserve">physical </w:t>
      </w:r>
      <w:r w:rsidR="00AA09AE">
        <w:t xml:space="preserve">distancing purposes, </w:t>
      </w:r>
      <w:r w:rsidR="00BE792C">
        <w:t xml:space="preserve">as well as to </w:t>
      </w:r>
      <w:r w:rsidR="00AA09AE">
        <w:t>encourage voters and other stakeholders attending the polling station to abide by the public health measures in place</w:t>
      </w:r>
      <w:r w:rsidR="00E26334">
        <w:t>, such as the wearing of face coverings and sanitising their hands on entry and exit,</w:t>
      </w:r>
      <w:r w:rsidR="00AA09AE">
        <w:t xml:space="preserve"> </w:t>
      </w:r>
      <w:r w:rsidR="00AA09AE" w:rsidRPr="00AA09AE">
        <w:t xml:space="preserve">and </w:t>
      </w:r>
      <w:r w:rsidR="00BE792C">
        <w:t xml:space="preserve">to </w:t>
      </w:r>
      <w:r w:rsidR="00AA09AE" w:rsidRPr="00AA09AE">
        <w:t>answer any questions about what to expect inside the venue</w:t>
      </w:r>
      <w:r w:rsidR="00AA09AE">
        <w:t>.</w:t>
      </w:r>
      <w:r w:rsidR="0096057A">
        <w:t xml:space="preserve"> </w:t>
      </w:r>
    </w:p>
    <w:p w14:paraId="43D9E010" w14:textId="15D02875" w:rsidR="00573A2A" w:rsidRDefault="00573A2A" w:rsidP="00181F31">
      <w:pPr>
        <w:pStyle w:val="ListParagraph"/>
        <w:numPr>
          <w:ilvl w:val="2"/>
          <w:numId w:val="1"/>
        </w:numPr>
        <w:spacing w:before="240" w:after="240"/>
        <w:ind w:left="1560"/>
        <w:contextualSpacing w:val="0"/>
      </w:pPr>
      <w:r>
        <w:t xml:space="preserve">You may </w:t>
      </w:r>
      <w:r w:rsidR="00BE792C">
        <w:t>also want to make provision</w:t>
      </w:r>
      <w:r w:rsidR="0091276D">
        <w:t xml:space="preserve"> for polling station staff to </w:t>
      </w:r>
      <w:r w:rsidR="00BE792C">
        <w:t>be able to take</w:t>
      </w:r>
      <w:r w:rsidR="0091276D">
        <w:t xml:space="preserve"> regular breaks, especially </w:t>
      </w:r>
      <w:r w:rsidR="00BE792C">
        <w:t>where</w:t>
      </w:r>
      <w:r w:rsidR="0091276D">
        <w:t xml:space="preserve"> staff </w:t>
      </w:r>
      <w:r w:rsidR="0050573C">
        <w:t xml:space="preserve">are </w:t>
      </w:r>
      <w:r w:rsidR="0091276D">
        <w:t>wear</w:t>
      </w:r>
      <w:r w:rsidR="0050573C">
        <w:t>ing</w:t>
      </w:r>
      <w:r w:rsidR="0091276D">
        <w:t xml:space="preserve"> face coverings in polling stations. </w:t>
      </w:r>
    </w:p>
    <w:p w14:paraId="32F34BE7" w14:textId="18D6CAED" w:rsidR="0096057A" w:rsidRDefault="00586C79" w:rsidP="00F1796F">
      <w:pPr>
        <w:pStyle w:val="ListParagraph"/>
        <w:numPr>
          <w:ilvl w:val="1"/>
          <w:numId w:val="1"/>
        </w:numPr>
        <w:tabs>
          <w:tab w:val="left" w:pos="3544"/>
        </w:tabs>
        <w:spacing w:before="240" w:after="240"/>
        <w:ind w:left="782" w:hanging="357"/>
        <w:contextualSpacing w:val="0"/>
      </w:pPr>
      <w:r>
        <w:t xml:space="preserve">To help ensure that you can manage requirements on polling day as efficiently as possible, you should think about how you can facilitate the </w:t>
      </w:r>
      <w:r w:rsidR="00AA09AE">
        <w:t xml:space="preserve">flexible </w:t>
      </w:r>
      <w:r>
        <w:t>use of staff across your po</w:t>
      </w:r>
      <w:r w:rsidR="00BE792C">
        <w:t xml:space="preserve">lling stations as needed. However, as well as ensuring that any re-deployment of staff </w:t>
      </w:r>
      <w:r w:rsidR="00336671">
        <w:t xml:space="preserve">to a different polling station </w:t>
      </w:r>
      <w:r w:rsidR="00BE792C">
        <w:t xml:space="preserve">would not have a negative impact </w:t>
      </w:r>
      <w:r w:rsidR="00BE792C">
        <w:lastRenderedPageBreak/>
        <w:t>elsewhere</w:t>
      </w:r>
      <w:r w:rsidR="005474EB">
        <w:t xml:space="preserve"> you should ensure that you give consideration to limiting the amount of contacts each individuals</w:t>
      </w:r>
      <w:r w:rsidR="005474EB" w:rsidRPr="00367800" w:rsidDel="00367800">
        <w:t xml:space="preserve"> </w:t>
      </w:r>
      <w:r w:rsidR="005474EB">
        <w:t xml:space="preserve"> makes as far as is possible</w:t>
      </w:r>
      <w:r w:rsidR="005474EB" w:rsidRPr="00367800">
        <w:t>.</w:t>
      </w:r>
      <w:r w:rsidR="005474EB">
        <w:t xml:space="preserve"> </w:t>
      </w:r>
    </w:p>
    <w:p w14:paraId="7EDB72A8" w14:textId="70AC52F4" w:rsidR="0096057A" w:rsidRDefault="00C46BAF" w:rsidP="00F1796F">
      <w:pPr>
        <w:pStyle w:val="ListParagraph"/>
        <w:numPr>
          <w:ilvl w:val="1"/>
          <w:numId w:val="1"/>
        </w:numPr>
        <w:tabs>
          <w:tab w:val="left" w:pos="3544"/>
        </w:tabs>
      </w:pPr>
      <w:r>
        <w:t>Y</w:t>
      </w:r>
      <w:r w:rsidR="0096057A">
        <w:t xml:space="preserve">ou will also need to consider </w:t>
      </w:r>
      <w:r w:rsidR="00A30246">
        <w:t xml:space="preserve">the number of polling station inspectors (PSIs) you will need to manage all aspects of the process safely and effectively. </w:t>
      </w:r>
      <w:r>
        <w:t>For example, y</w:t>
      </w:r>
      <w:r w:rsidR="0096057A">
        <w:t>ou may need more PSIs than usual</w:t>
      </w:r>
      <w:r>
        <w:t>, particularly if you r</w:t>
      </w:r>
      <w:r w:rsidR="00A30246">
        <w:t xml:space="preserve">educe the number of stations that each PSI is responsible for </w:t>
      </w:r>
      <w:r>
        <w:t xml:space="preserve">in order </w:t>
      </w:r>
      <w:r w:rsidR="00A30246">
        <w:t>to</w:t>
      </w:r>
      <w:r w:rsidR="00A30246" w:rsidDel="00A30246">
        <w:t xml:space="preserve"> </w:t>
      </w:r>
      <w:r w:rsidR="0096057A">
        <w:t>limit the number of contacts one person needs to make during the day</w:t>
      </w:r>
      <w:r w:rsidR="00741E62">
        <w:t>.</w:t>
      </w:r>
    </w:p>
    <w:p w14:paraId="1DF750A8" w14:textId="77777777" w:rsidR="005474EB" w:rsidRDefault="005474EB" w:rsidP="00336FD2">
      <w:pPr>
        <w:pStyle w:val="ListParagraph"/>
        <w:tabs>
          <w:tab w:val="left" w:pos="3544"/>
        </w:tabs>
        <w:ind w:left="786"/>
      </w:pPr>
    </w:p>
    <w:p w14:paraId="151F6682" w14:textId="43042BBD" w:rsidR="005474EB" w:rsidRDefault="005474EB" w:rsidP="005474EB">
      <w:pPr>
        <w:pStyle w:val="ListParagraph"/>
        <w:numPr>
          <w:ilvl w:val="1"/>
          <w:numId w:val="1"/>
        </w:numPr>
        <w:tabs>
          <w:tab w:val="left" w:pos="3544"/>
        </w:tabs>
      </w:pPr>
      <w:r>
        <w:t>Where circumstances allow you could appoint staff at a polling station based on existing households or ‘bubbles’. This approach has been used successfully at local government by-elections, where poll staff from the same household have been appointed to work at the same polling station.</w:t>
      </w:r>
    </w:p>
    <w:p w14:paraId="4D9083E7" w14:textId="77777777" w:rsidR="005474EB" w:rsidRDefault="005474EB" w:rsidP="00336FD2">
      <w:pPr>
        <w:pStyle w:val="ListParagraph"/>
        <w:tabs>
          <w:tab w:val="left" w:pos="3544"/>
        </w:tabs>
        <w:ind w:left="786"/>
      </w:pPr>
    </w:p>
    <w:p w14:paraId="0CD3B441" w14:textId="53BC0F6D" w:rsidR="00AA488C" w:rsidRDefault="00AA488C" w:rsidP="00E132C0"/>
    <w:p w14:paraId="3AC17B3B" w14:textId="6BF23BC3" w:rsidR="00AA09AE" w:rsidRPr="00F56484" w:rsidRDefault="00AA09AE" w:rsidP="00181F31">
      <w:pPr>
        <w:pStyle w:val="ListParagraph"/>
        <w:numPr>
          <w:ilvl w:val="0"/>
          <w:numId w:val="1"/>
        </w:numPr>
        <w:ind w:left="567"/>
      </w:pPr>
      <w:r w:rsidRPr="00AA09AE">
        <w:rPr>
          <w:b/>
        </w:rPr>
        <w:t xml:space="preserve">Determine what </w:t>
      </w:r>
      <w:r>
        <w:rPr>
          <w:b/>
        </w:rPr>
        <w:t xml:space="preserve">additional </w:t>
      </w:r>
      <w:r w:rsidRPr="00AA09AE">
        <w:rPr>
          <w:b/>
        </w:rPr>
        <w:t xml:space="preserve">equipment you will need? </w:t>
      </w:r>
    </w:p>
    <w:p w14:paraId="1C4582CE" w14:textId="783E7E21" w:rsidR="00AA09AE" w:rsidRDefault="00AA09AE" w:rsidP="00F56484">
      <w:pPr>
        <w:pStyle w:val="ListParagraph"/>
        <w:ind w:left="567"/>
        <w:rPr>
          <w:b/>
        </w:rPr>
      </w:pPr>
    </w:p>
    <w:p w14:paraId="202AB3C5" w14:textId="75181B22" w:rsidR="00AA09AE" w:rsidRDefault="00AA09AE" w:rsidP="00181F31">
      <w:pPr>
        <w:pStyle w:val="ListParagraph"/>
        <w:numPr>
          <w:ilvl w:val="0"/>
          <w:numId w:val="5"/>
        </w:numPr>
        <w:ind w:left="851" w:hanging="425"/>
      </w:pPr>
      <w:r>
        <w:t xml:space="preserve">In order to ensure that polling stations are safe places for voters, staff and other </w:t>
      </w:r>
      <w:r w:rsidR="00606492">
        <w:t>attendees</w:t>
      </w:r>
      <w:r>
        <w:t xml:space="preserve">, you will need to consider what additional equipment you will </w:t>
      </w:r>
      <w:r w:rsidR="009C7BCA">
        <w:t>need</w:t>
      </w:r>
      <w:r w:rsidR="00606492">
        <w:t>. This could include</w:t>
      </w:r>
      <w:r w:rsidR="009C7BCA">
        <w:t>:</w:t>
      </w:r>
    </w:p>
    <w:p w14:paraId="5822EF76" w14:textId="77777777" w:rsidR="00432B7F" w:rsidRDefault="00432B7F" w:rsidP="00F56484">
      <w:pPr>
        <w:pStyle w:val="ListParagraph"/>
        <w:ind w:left="851"/>
      </w:pPr>
    </w:p>
    <w:p w14:paraId="448BCD94" w14:textId="1E22F88A" w:rsidR="009C7BCA" w:rsidRDefault="009C7BCA" w:rsidP="00606492">
      <w:pPr>
        <w:pStyle w:val="ListParagraph"/>
        <w:numPr>
          <w:ilvl w:val="1"/>
          <w:numId w:val="5"/>
        </w:numPr>
        <w:ind w:left="1276"/>
      </w:pPr>
      <w:r>
        <w:t xml:space="preserve">Tape for floor markings - </w:t>
      </w:r>
      <w:r w:rsidR="00432B7F">
        <w:t xml:space="preserve">In order to ensure that </w:t>
      </w:r>
      <w:r w:rsidR="001C5C29">
        <w:t xml:space="preserve">physical </w:t>
      </w:r>
      <w:r w:rsidR="00432B7F">
        <w:t xml:space="preserve">distancing can be maintained at all times, floor markings inside and outside the polling station </w:t>
      </w:r>
      <w:r w:rsidR="00606492">
        <w:t xml:space="preserve">will help </w:t>
      </w:r>
      <w:r w:rsidR="00432B7F">
        <w:t xml:space="preserve">to manage queues, </w:t>
      </w:r>
      <w:r w:rsidR="00606492">
        <w:t xml:space="preserve">maintain </w:t>
      </w:r>
      <w:r w:rsidR="00432B7F">
        <w:t xml:space="preserve">distance between staff </w:t>
      </w:r>
      <w:r w:rsidR="005474EB">
        <w:t xml:space="preserve">members, </w:t>
      </w:r>
      <w:r w:rsidR="00432B7F">
        <w:t xml:space="preserve">and </w:t>
      </w:r>
      <w:r w:rsidR="005474EB">
        <w:t xml:space="preserve">between staff and </w:t>
      </w:r>
      <w:r w:rsidR="00432B7F">
        <w:t>voters, and establish a one way system around the polling station.</w:t>
      </w:r>
      <w:r w:rsidR="005474EB">
        <w:t xml:space="preserve"> It may be helpful to discuss the use of floor markings with the building owner in advance.</w:t>
      </w:r>
    </w:p>
    <w:p w14:paraId="4CF0FBAF" w14:textId="77777777" w:rsidR="009C7BCA" w:rsidRDefault="009C7BCA" w:rsidP="00F56484">
      <w:pPr>
        <w:pStyle w:val="ListParagraph"/>
        <w:ind w:left="1418"/>
      </w:pPr>
    </w:p>
    <w:p w14:paraId="5C882A5F" w14:textId="3EA582E6" w:rsidR="009C7BCA" w:rsidRDefault="009C7BCA" w:rsidP="00606492">
      <w:pPr>
        <w:pStyle w:val="ListParagraph"/>
        <w:numPr>
          <w:ilvl w:val="1"/>
          <w:numId w:val="5"/>
        </w:numPr>
        <w:ind w:left="1276"/>
      </w:pPr>
      <w:r>
        <w:t>Additional signage</w:t>
      </w:r>
      <w:r w:rsidR="00432B7F">
        <w:t xml:space="preserve"> – Signs will be needed to remind voters of the need to follow public health guidelines such as </w:t>
      </w:r>
      <w:r w:rsidR="001C5C29">
        <w:t xml:space="preserve">physical </w:t>
      </w:r>
      <w:r w:rsidR="00432B7F">
        <w:t>distancing, the wearing of face-coverings and only entering if symptom-free.</w:t>
      </w:r>
      <w:r w:rsidR="005474EB">
        <w:t xml:space="preserve"> We plan to make template signs available and will provide more information on these in a future EA Bulletin.</w:t>
      </w:r>
    </w:p>
    <w:p w14:paraId="09761697" w14:textId="0FEE53DB" w:rsidR="009C7BCA" w:rsidRDefault="009C7BCA" w:rsidP="00432B7F"/>
    <w:p w14:paraId="49179458" w14:textId="0713BAB1" w:rsidR="00432B7F" w:rsidRDefault="009C7BCA" w:rsidP="00606492">
      <w:pPr>
        <w:pStyle w:val="ListParagraph"/>
        <w:numPr>
          <w:ilvl w:val="1"/>
          <w:numId w:val="5"/>
        </w:numPr>
        <w:ind w:left="1276"/>
      </w:pPr>
      <w:r>
        <w:t>Hand sanitiser</w:t>
      </w:r>
      <w:r w:rsidR="00432B7F">
        <w:t xml:space="preserve"> - </w:t>
      </w:r>
      <w:r w:rsidR="00432B7F" w:rsidRPr="00432B7F">
        <w:t>Hand sanitiser should be available on desks and at both the entrance and exit to the polling station, with voters encouraged to clean their hands on entry and exit.</w:t>
      </w:r>
    </w:p>
    <w:p w14:paraId="364BCB1F" w14:textId="030DE428" w:rsidR="0050573C" w:rsidRDefault="0050573C" w:rsidP="0050573C">
      <w:pPr>
        <w:pStyle w:val="ListParagraph"/>
      </w:pPr>
    </w:p>
    <w:p w14:paraId="1E512921" w14:textId="24144452" w:rsidR="00FE4C39" w:rsidRDefault="0050573C" w:rsidP="00606492">
      <w:pPr>
        <w:pStyle w:val="ListParagraph"/>
        <w:numPr>
          <w:ilvl w:val="1"/>
          <w:numId w:val="5"/>
        </w:numPr>
        <w:ind w:left="1276"/>
      </w:pPr>
      <w:r>
        <w:t>Perspex screens -</w:t>
      </w:r>
      <w:r w:rsidR="00254B1A">
        <w:t xml:space="preserve"> </w:t>
      </w:r>
      <w:r w:rsidR="00823A96" w:rsidRPr="00823A96">
        <w:rPr>
          <w:rFonts w:cs="Arial"/>
          <w:color w:val="1F1F1F"/>
          <w:shd w:val="clear" w:color="auto" w:fill="FFFFFF"/>
        </w:rPr>
        <w:t xml:space="preserve">Government </w:t>
      </w:r>
      <w:hyperlink r:id="rId18" w:history="1">
        <w:r w:rsidR="00823A96" w:rsidRPr="00823A96">
          <w:rPr>
            <w:rStyle w:val="Hyperlink"/>
            <w:rFonts w:cs="Arial"/>
            <w:shd w:val="clear" w:color="auto" w:fill="FFFFFF"/>
          </w:rPr>
          <w:t>guidance</w:t>
        </w:r>
      </w:hyperlink>
      <w:r w:rsidR="00823A96" w:rsidRPr="00823A96">
        <w:rPr>
          <w:rFonts w:cs="Arial"/>
          <w:color w:val="1F1F1F"/>
          <w:shd w:val="clear" w:color="auto" w:fill="FFFFFF"/>
        </w:rPr>
        <w:t xml:space="preserve"> states that </w:t>
      </w:r>
      <w:r w:rsidR="00823A96" w:rsidRPr="001D7324">
        <w:rPr>
          <w:rFonts w:ascii="Helvetica" w:hAnsi="Helvetica" w:cs="Helvetica"/>
          <w:lang w:eastAsia="en-GB"/>
        </w:rPr>
        <w:t xml:space="preserve">members of staff in indoor premises where it is mandatory to wear a face covering and who are physically separated by means of, for example, partition screens, from members of the public, </w:t>
      </w:r>
      <w:r w:rsidR="00823A96" w:rsidRPr="001D7324">
        <w:rPr>
          <w:rFonts w:ascii="Helvetica" w:hAnsi="Helvetica" w:cs="Helvetica"/>
          <w:shd w:val="clear" w:color="auto" w:fill="FFFFFF"/>
        </w:rPr>
        <w:t>are not required to wear a face covering</w:t>
      </w:r>
      <w:r w:rsidR="00254B1A" w:rsidRPr="001D7324">
        <w:rPr>
          <w:rFonts w:cs="Arial"/>
          <w:shd w:val="clear" w:color="auto" w:fill="FFFFFF"/>
        </w:rPr>
        <w:t>.</w:t>
      </w:r>
    </w:p>
    <w:p w14:paraId="2AA3A3CB" w14:textId="77777777" w:rsidR="00FE4C39" w:rsidRDefault="00FE4C39" w:rsidP="00606492">
      <w:pPr>
        <w:pStyle w:val="ListParagraph"/>
      </w:pPr>
    </w:p>
    <w:p w14:paraId="2E6AE908" w14:textId="3D865FEA" w:rsidR="00432B7F" w:rsidRPr="00432B7F" w:rsidRDefault="00432B7F" w:rsidP="00606492">
      <w:pPr>
        <w:pStyle w:val="ListParagraph"/>
        <w:numPr>
          <w:ilvl w:val="1"/>
          <w:numId w:val="5"/>
        </w:numPr>
        <w:ind w:left="1276"/>
      </w:pPr>
      <w:r>
        <w:t xml:space="preserve">Face coverings </w:t>
      </w:r>
      <w:r w:rsidR="00B14D19">
        <w:t>–</w:t>
      </w:r>
      <w:r>
        <w:t xml:space="preserve"> </w:t>
      </w:r>
      <w:r w:rsidR="00B14D19">
        <w:t>t</w:t>
      </w:r>
      <w:r w:rsidRPr="00432B7F">
        <w:t xml:space="preserve">he use of face-coverings will be required for all </w:t>
      </w:r>
      <w:r w:rsidR="00B14D19">
        <w:t xml:space="preserve">individuals in </w:t>
      </w:r>
      <w:r w:rsidRPr="00432B7F">
        <w:t xml:space="preserve">a polling station (unless </w:t>
      </w:r>
      <w:r w:rsidR="005B13F7">
        <w:t xml:space="preserve">they are </w:t>
      </w:r>
      <w:r w:rsidRPr="00432B7F">
        <w:t>subject to an exemption</w:t>
      </w:r>
      <w:r w:rsidR="005B13F7">
        <w:t xml:space="preserve"> or are a member of staff working behind a</w:t>
      </w:r>
      <w:r w:rsidR="005474EB">
        <w:t>n individual</w:t>
      </w:r>
      <w:r w:rsidR="005B13F7">
        <w:t xml:space="preserve"> screen</w:t>
      </w:r>
      <w:r w:rsidRPr="00432B7F">
        <w:t xml:space="preserve">) in line with </w:t>
      </w:r>
      <w:hyperlink r:id="rId19" w:history="1">
        <w:r w:rsidRPr="001900DD">
          <w:rPr>
            <w:rStyle w:val="Hyperlink"/>
          </w:rPr>
          <w:t>government regulations</w:t>
        </w:r>
      </w:hyperlink>
      <w:r w:rsidRPr="00432B7F">
        <w:t xml:space="preserve">. </w:t>
      </w:r>
      <w:r w:rsidR="005474EB">
        <w:t xml:space="preserve">All staff should have a face covering available, as while they may not wish to wear it if behind an individual screen, they will need to wear one when moving around the polling station. </w:t>
      </w:r>
      <w:r>
        <w:t>Whilst</w:t>
      </w:r>
      <w:r w:rsidRPr="00432B7F">
        <w:t xml:space="preserve"> the majority of voters will likely be in posse</w:t>
      </w:r>
      <w:r>
        <w:t>ssion of their own personal face covering, and will have been encouraged to bring it with them to vote</w:t>
      </w:r>
      <w:r w:rsidRPr="00432B7F">
        <w:t xml:space="preserve">, you should have a stock of </w:t>
      </w:r>
      <w:r w:rsidR="008323E7">
        <w:t>face coverings</w:t>
      </w:r>
      <w:r w:rsidRPr="00432B7F">
        <w:t xml:space="preserve"> </w:t>
      </w:r>
      <w:r>
        <w:t xml:space="preserve">available </w:t>
      </w:r>
      <w:r w:rsidRPr="00432B7F">
        <w:t>to provide to thos</w:t>
      </w:r>
      <w:r>
        <w:t xml:space="preserve">e who </w:t>
      </w:r>
      <w:r w:rsidR="00606492">
        <w:t>have not brought their own</w:t>
      </w:r>
      <w:r>
        <w:t xml:space="preserve"> face covering</w:t>
      </w:r>
      <w:r w:rsidR="005474EB">
        <w:t>, and people should be advised to dispose of these face coverings themselves after they have left the polling station.</w:t>
      </w:r>
    </w:p>
    <w:p w14:paraId="0F8C69BF" w14:textId="3399DF78" w:rsidR="009C7BCA" w:rsidRDefault="009C7BCA" w:rsidP="00432B7F"/>
    <w:p w14:paraId="64032422" w14:textId="386A80C9" w:rsidR="009C7BCA" w:rsidRDefault="009C7BCA" w:rsidP="00181F31">
      <w:pPr>
        <w:pStyle w:val="ListParagraph"/>
        <w:numPr>
          <w:ilvl w:val="1"/>
          <w:numId w:val="5"/>
        </w:numPr>
        <w:ind w:left="1276"/>
      </w:pPr>
      <w:r>
        <w:lastRenderedPageBreak/>
        <w:t xml:space="preserve">Additional pencils - Whilst all voters </w:t>
      </w:r>
      <w:r w:rsidR="00606492">
        <w:t>should</w:t>
      </w:r>
      <w:r>
        <w:t xml:space="preserve"> be </w:t>
      </w:r>
      <w:r w:rsidRPr="009C7BCA">
        <w:t>encourag</w:t>
      </w:r>
      <w:r>
        <w:t>ed</w:t>
      </w:r>
      <w:r w:rsidRPr="009C7BCA">
        <w:t xml:space="preserve"> </w:t>
      </w:r>
      <w:r w:rsidR="00606492">
        <w:t>to</w:t>
      </w:r>
      <w:r w:rsidRPr="009C7BCA">
        <w:t xml:space="preserve"> bring their own pen </w:t>
      </w:r>
      <w:r w:rsidR="00606492">
        <w:t>or</w:t>
      </w:r>
      <w:r w:rsidRPr="009C7BCA">
        <w:t xml:space="preserve"> pencil </w:t>
      </w:r>
      <w:r>
        <w:t xml:space="preserve">to the polling station, you will need to ensure you have a spare stock of </w:t>
      </w:r>
      <w:r w:rsidRPr="009C7BCA">
        <w:t xml:space="preserve">single-use or ‘cleaned’ pencils available </w:t>
      </w:r>
      <w:r w:rsidR="00606492">
        <w:t xml:space="preserve">to provide for use where </w:t>
      </w:r>
      <w:r w:rsidRPr="009C7BCA">
        <w:t>needed</w:t>
      </w:r>
      <w:r w:rsidR="00606492">
        <w:t>.</w:t>
      </w:r>
    </w:p>
    <w:p w14:paraId="5AAD4FBD" w14:textId="77777777" w:rsidR="00432B7F" w:rsidRDefault="00432B7F" w:rsidP="00432B7F">
      <w:pPr>
        <w:pStyle w:val="ListParagraph"/>
      </w:pPr>
    </w:p>
    <w:p w14:paraId="5607E46F" w14:textId="77777777" w:rsidR="00C052D0" w:rsidRDefault="00C052D0" w:rsidP="00C052D0">
      <w:pPr>
        <w:pStyle w:val="ListParagraph"/>
        <w:ind w:left="1418"/>
      </w:pPr>
    </w:p>
    <w:p w14:paraId="07D3575C" w14:textId="0E730FAC" w:rsidR="00C052D0" w:rsidRDefault="00733338" w:rsidP="00181F31">
      <w:pPr>
        <w:pStyle w:val="ListParagraph"/>
        <w:numPr>
          <w:ilvl w:val="0"/>
          <w:numId w:val="1"/>
        </w:numPr>
        <w:ind w:left="567"/>
        <w:rPr>
          <w:b/>
        </w:rPr>
      </w:pPr>
      <w:r>
        <w:rPr>
          <w:b/>
        </w:rPr>
        <w:t xml:space="preserve">Set-up and </w:t>
      </w:r>
      <w:r w:rsidR="00195BA0">
        <w:rPr>
          <w:b/>
        </w:rPr>
        <w:t>manage polling</w:t>
      </w:r>
      <w:r>
        <w:rPr>
          <w:b/>
        </w:rPr>
        <w:t xml:space="preserve"> </w:t>
      </w:r>
      <w:r w:rsidR="00C052D0">
        <w:rPr>
          <w:b/>
        </w:rPr>
        <w:t xml:space="preserve">stations? </w:t>
      </w:r>
      <w:r w:rsidR="00C052D0">
        <w:rPr>
          <w:b/>
        </w:rPr>
        <w:br/>
      </w:r>
    </w:p>
    <w:p w14:paraId="655F202A" w14:textId="352408D5" w:rsidR="00195BA0" w:rsidRDefault="00A7490F" w:rsidP="00181F31">
      <w:pPr>
        <w:pStyle w:val="ListParagraph"/>
        <w:numPr>
          <w:ilvl w:val="1"/>
          <w:numId w:val="1"/>
        </w:numPr>
        <w:ind w:left="709"/>
      </w:pPr>
      <w:r>
        <w:t>T</w:t>
      </w:r>
      <w:r w:rsidR="00733338">
        <w:t>here are some general principles for the set-up an</w:t>
      </w:r>
      <w:r w:rsidR="00195BA0">
        <w:t xml:space="preserve">d management of polling stations that you should </w:t>
      </w:r>
      <w:r>
        <w:t>reflect in your plans and local arrangements</w:t>
      </w:r>
      <w:r w:rsidR="00195BA0">
        <w:t>:</w:t>
      </w:r>
    </w:p>
    <w:p w14:paraId="3FECD023" w14:textId="77777777" w:rsidR="00195BA0" w:rsidRDefault="00195BA0" w:rsidP="00F331BE">
      <w:pPr>
        <w:pStyle w:val="ListParagraph"/>
      </w:pPr>
    </w:p>
    <w:p w14:paraId="5F847F0D" w14:textId="62087ECC" w:rsidR="00195BA0" w:rsidRDefault="00195BA0" w:rsidP="00181F31">
      <w:pPr>
        <w:pStyle w:val="ListParagraph"/>
        <w:numPr>
          <w:ilvl w:val="2"/>
          <w:numId w:val="1"/>
        </w:numPr>
        <w:ind w:left="1560"/>
      </w:pPr>
      <w:r>
        <w:t xml:space="preserve">One-way systems should be set-up in polling stations to ensure that </w:t>
      </w:r>
      <w:r w:rsidR="001C5C29">
        <w:t xml:space="preserve">physical </w:t>
      </w:r>
      <w:r>
        <w:t xml:space="preserve">distancing can be maintained; this </w:t>
      </w:r>
      <w:r w:rsidR="004E7D12">
        <w:t>would be aided by</w:t>
      </w:r>
      <w:r>
        <w:t xml:space="preserve"> the use of floor markings and additional signage</w:t>
      </w:r>
      <w:r w:rsidR="00DF0729">
        <w:t>, and hand sanitiser should be made available on entry and exit to the polling station</w:t>
      </w:r>
      <w:r>
        <w:t xml:space="preserve"> </w:t>
      </w:r>
    </w:p>
    <w:p w14:paraId="4A4291BB" w14:textId="77777777" w:rsidR="00AE2362" w:rsidRDefault="00AE2362" w:rsidP="008C738A">
      <w:pPr>
        <w:pStyle w:val="ListParagraph"/>
        <w:ind w:left="1560"/>
      </w:pPr>
    </w:p>
    <w:p w14:paraId="4C1FB93E" w14:textId="2BD7F4DC" w:rsidR="00AE2362" w:rsidRDefault="00195BA0" w:rsidP="00181F31">
      <w:pPr>
        <w:pStyle w:val="ListParagraph"/>
        <w:numPr>
          <w:ilvl w:val="2"/>
          <w:numId w:val="1"/>
        </w:numPr>
        <w:ind w:left="1560"/>
      </w:pPr>
      <w:r>
        <w:t xml:space="preserve">Floor markers and signs should be used to establish a safe distance between the polling </w:t>
      </w:r>
      <w:r w:rsidR="004E7D12">
        <w:t>staff</w:t>
      </w:r>
      <w:r w:rsidR="005474EB">
        <w:t>, and the polling staff</w:t>
      </w:r>
      <w:r>
        <w:t xml:space="preserve"> and voter</w:t>
      </w:r>
      <w:r w:rsidR="004E7D12">
        <w:t>s</w:t>
      </w:r>
      <w:r>
        <w:t xml:space="preserve">. You </w:t>
      </w:r>
      <w:r w:rsidR="004E7D12">
        <w:t>c</w:t>
      </w:r>
      <w:r>
        <w:t xml:space="preserve">ould also place markers outside, to </w:t>
      </w:r>
      <w:r w:rsidR="004E7D12">
        <w:t>support safe</w:t>
      </w:r>
      <w:r>
        <w:t xml:space="preserve"> queueing to enter the polling station</w:t>
      </w:r>
      <w:r w:rsidR="00AE2362">
        <w:t>.</w:t>
      </w:r>
    </w:p>
    <w:p w14:paraId="763C7BB5" w14:textId="13EFE637" w:rsidR="00741E62" w:rsidRDefault="00741E62" w:rsidP="00741E62">
      <w:pPr>
        <w:pStyle w:val="ListParagraph"/>
      </w:pPr>
    </w:p>
    <w:p w14:paraId="63A90D93" w14:textId="3ECFA8C1" w:rsidR="00DF0729" w:rsidRDefault="00F11AA2" w:rsidP="00181F31">
      <w:pPr>
        <w:pStyle w:val="ListParagraph"/>
        <w:numPr>
          <w:ilvl w:val="2"/>
          <w:numId w:val="1"/>
        </w:numPr>
        <w:ind w:left="1560"/>
      </w:pPr>
      <w:r>
        <w:t>You will need to have signage in place to inform voters of th</w:t>
      </w:r>
      <w:r w:rsidR="00DF0729">
        <w:t xml:space="preserve">e requirement to wear a face-covering. </w:t>
      </w:r>
      <w:r>
        <w:t xml:space="preserve">Signs should also be in place to remind anyone entering the polling station that they should only do so if well and free of coronavirus symptoms. </w:t>
      </w:r>
    </w:p>
    <w:p w14:paraId="238F988C" w14:textId="77777777" w:rsidR="00AE2362" w:rsidRDefault="00AE2362" w:rsidP="00AE2362">
      <w:pPr>
        <w:pStyle w:val="ListParagraph"/>
        <w:ind w:left="1560"/>
      </w:pPr>
    </w:p>
    <w:p w14:paraId="2EC4EFA6" w14:textId="7AF554DD" w:rsidR="00DF0729" w:rsidRDefault="00DF0729" w:rsidP="00181F31">
      <w:pPr>
        <w:pStyle w:val="ListParagraph"/>
        <w:numPr>
          <w:ilvl w:val="2"/>
          <w:numId w:val="1"/>
        </w:numPr>
        <w:ind w:left="1560"/>
      </w:pPr>
      <w:r>
        <w:t xml:space="preserve">You will need to consider the appropriate layout of desks and polling </w:t>
      </w:r>
      <w:r w:rsidR="005474EB">
        <w:t xml:space="preserve">booths </w:t>
      </w:r>
      <w:r>
        <w:t>to help maintain dis</w:t>
      </w:r>
      <w:r w:rsidR="004E7D12">
        <w:t>tance between the polling staff</w:t>
      </w:r>
      <w:r w:rsidR="005474EB">
        <w:t>, and between polling staff</w:t>
      </w:r>
      <w:r>
        <w:t xml:space="preserve"> and voters at all times. Hand sanitiser will also need to be provided on all desks </w:t>
      </w:r>
    </w:p>
    <w:p w14:paraId="6EB78393" w14:textId="509F50A1" w:rsidR="00AE2362" w:rsidRDefault="00AE2362" w:rsidP="00AE2362">
      <w:pPr>
        <w:pStyle w:val="ListParagraph"/>
      </w:pPr>
    </w:p>
    <w:p w14:paraId="00DD6FFC" w14:textId="49C59090" w:rsidR="00BB1F54" w:rsidRDefault="00BB1F54" w:rsidP="00181F31">
      <w:pPr>
        <w:pStyle w:val="ListParagraph"/>
        <w:numPr>
          <w:ilvl w:val="2"/>
          <w:numId w:val="1"/>
        </w:numPr>
        <w:ind w:left="1560"/>
      </w:pPr>
      <w:r w:rsidRPr="003B124D">
        <w:t>Everyone working with shared documents and papers</w:t>
      </w:r>
      <w:r>
        <w:t>, including in the polling station,</w:t>
      </w:r>
      <w:r w:rsidRPr="003B124D">
        <w:t xml:space="preserve"> should take great care to only be present if well, avoid touching their faces, and regularly and frequently </w:t>
      </w:r>
      <w:r>
        <w:t>clean</w:t>
      </w:r>
      <w:r w:rsidRPr="003B124D">
        <w:t xml:space="preserve"> their hands.</w:t>
      </w:r>
      <w:r>
        <w:t xml:space="preserve"> </w:t>
      </w:r>
      <w:r w:rsidR="00F52D8F">
        <w:t xml:space="preserve">More detailed guidance on the process of handling ballot papers will be provided in the </w:t>
      </w:r>
      <w:r w:rsidR="004E7D12">
        <w:t>polling station handbook</w:t>
      </w:r>
      <w:r w:rsidR="00F52D8F">
        <w:t>.</w:t>
      </w:r>
    </w:p>
    <w:p w14:paraId="549B35C1" w14:textId="5BB350DC" w:rsidR="00AE2362" w:rsidRPr="00195BA0" w:rsidRDefault="00AE2362" w:rsidP="00AE2362"/>
    <w:p w14:paraId="50A7942D" w14:textId="30C58CAF" w:rsidR="00BB1F54" w:rsidRDefault="00BB1F54" w:rsidP="00181F31">
      <w:pPr>
        <w:pStyle w:val="ListParagraph"/>
        <w:numPr>
          <w:ilvl w:val="2"/>
          <w:numId w:val="1"/>
        </w:numPr>
        <w:ind w:left="1560"/>
      </w:pPr>
      <w:r>
        <w:t>Regular cleaning throughout the day of touchpoints</w:t>
      </w:r>
      <w:r w:rsidR="004E7D12">
        <w:t>,</w:t>
      </w:r>
      <w:r>
        <w:t xml:space="preserve"> such as doors, polling booths and any writing implements</w:t>
      </w:r>
      <w:r w:rsidR="004E7D12">
        <w:t>,</w:t>
      </w:r>
      <w:r>
        <w:t xml:space="preserve"> is recommended by public health authorities. You will</w:t>
      </w:r>
      <w:r w:rsidR="004E7D12">
        <w:t xml:space="preserve"> also</w:t>
      </w:r>
      <w:r>
        <w:t xml:space="preserve"> need to consider what</w:t>
      </w:r>
      <w:r w:rsidR="004E7D12">
        <w:t>,</w:t>
      </w:r>
      <w:r>
        <w:t xml:space="preserve"> if any</w:t>
      </w:r>
      <w:r w:rsidR="004E7D12">
        <w:t>,</w:t>
      </w:r>
      <w:r>
        <w:t xml:space="preserve"> additional cleaning of venues is needed pre</w:t>
      </w:r>
      <w:r w:rsidR="004E7D12">
        <w:t>- and post-</w:t>
      </w:r>
      <w:r>
        <w:t xml:space="preserve">poll in line with your risk assessments and any contractual requirements for each venue. </w:t>
      </w:r>
    </w:p>
    <w:p w14:paraId="03C280DE" w14:textId="3029DD6A" w:rsidR="00FA749C" w:rsidRDefault="00FA749C" w:rsidP="00FA749C">
      <w:pPr>
        <w:pStyle w:val="CommentText"/>
      </w:pPr>
    </w:p>
    <w:p w14:paraId="0D61CCF8" w14:textId="703C188D" w:rsidR="00195BA0" w:rsidRDefault="00FA749C" w:rsidP="00FA749C">
      <w:pPr>
        <w:pStyle w:val="ListParagraph"/>
        <w:numPr>
          <w:ilvl w:val="2"/>
          <w:numId w:val="1"/>
        </w:numPr>
        <w:ind w:left="1560"/>
      </w:pPr>
      <w:r w:rsidRPr="00B25832">
        <w:t xml:space="preserve">Scottish Government </w:t>
      </w:r>
      <w:hyperlink r:id="rId20" w:history="1">
        <w:r w:rsidRPr="00B25832">
          <w:rPr>
            <w:rStyle w:val="Hyperlink"/>
          </w:rPr>
          <w:t>guidance on Test and Protect</w:t>
        </w:r>
      </w:hyperlink>
      <w:r w:rsidRPr="00B25832">
        <w:t xml:space="preserve"> states that for the purposes of contact tracing, a close contact is someone who has been physically close enough to the confirmed case for a long enough period of time, that they may have had the infection transmitted to them. For COVID-19, this includes everyone who has been less than 2 metres away from a confirmed case for 15 minutes or more</w:t>
      </w:r>
      <w:r w:rsidR="00BB1F54" w:rsidRPr="00BB1F54">
        <w:t xml:space="preserve">. </w:t>
      </w:r>
      <w:r w:rsidR="00A1096B">
        <w:t>In any case, yo</w:t>
      </w:r>
      <w:r w:rsidRPr="00BB1F54">
        <w:t xml:space="preserve">u </w:t>
      </w:r>
      <w:r w:rsidR="00BB1F54" w:rsidRPr="00BB1F54">
        <w:t xml:space="preserve">should ensure you maintain a clear audit trail of all those who are present in polling stations for </w:t>
      </w:r>
      <w:r w:rsidR="006F1E45">
        <w:t xml:space="preserve">the </w:t>
      </w:r>
      <w:r w:rsidR="00BB1F54" w:rsidRPr="00BB1F54">
        <w:t xml:space="preserve">purpose </w:t>
      </w:r>
      <w:r w:rsidR="006F1E45">
        <w:t>of</w:t>
      </w:r>
      <w:r w:rsidR="00BB1F54" w:rsidRPr="00BB1F54">
        <w:t xml:space="preserve"> </w:t>
      </w:r>
      <w:r w:rsidR="006F1E45" w:rsidRPr="00BB1F54">
        <w:t>observ</w:t>
      </w:r>
      <w:r w:rsidR="006F1E45">
        <w:t>ing proceedings</w:t>
      </w:r>
      <w:r w:rsidR="00BB1F54" w:rsidRPr="00BB1F54">
        <w:t xml:space="preserve">. </w:t>
      </w:r>
    </w:p>
    <w:p w14:paraId="5D8B5D47" w14:textId="77777777" w:rsidR="00733338" w:rsidRDefault="00733338" w:rsidP="00BB1F54"/>
    <w:p w14:paraId="5B2AAFE2" w14:textId="6C986261" w:rsidR="00C052D0" w:rsidRDefault="00F44863" w:rsidP="00181F31">
      <w:pPr>
        <w:pStyle w:val="ListParagraph"/>
        <w:numPr>
          <w:ilvl w:val="1"/>
          <w:numId w:val="1"/>
        </w:numPr>
        <w:ind w:left="709"/>
      </w:pPr>
      <w:r>
        <w:t xml:space="preserve">It will be important to ensure that all signage and safety measures are in place before the poll(s) open. </w:t>
      </w:r>
      <w:r w:rsidR="00BB1F54">
        <w:t xml:space="preserve">In light of the additional requirements for the </w:t>
      </w:r>
      <w:r>
        <w:t xml:space="preserve">safe </w:t>
      </w:r>
      <w:r w:rsidR="00BB1F54">
        <w:t>set-up of polling stations, y</w:t>
      </w:r>
      <w:r w:rsidR="00C052D0">
        <w:t xml:space="preserve">ou should consider </w:t>
      </w:r>
      <w:r>
        <w:t>the desirability and practicability of</w:t>
      </w:r>
      <w:r w:rsidR="00C052D0">
        <w:t xml:space="preserve"> set</w:t>
      </w:r>
      <w:r>
        <w:t>ting</w:t>
      </w:r>
      <w:r w:rsidR="00C052D0">
        <w:t xml:space="preserve"> up </w:t>
      </w:r>
      <w:r w:rsidR="00C052D0">
        <w:lastRenderedPageBreak/>
        <w:t>polling stations the night before the poll</w:t>
      </w:r>
      <w:r>
        <w:t>,</w:t>
      </w:r>
      <w:r w:rsidR="00C052D0">
        <w:t xml:space="preserve"> or whether staff </w:t>
      </w:r>
      <w:r>
        <w:t>should be instructed</w:t>
      </w:r>
      <w:r w:rsidR="00C052D0">
        <w:t xml:space="preserve"> to arrive earlier than usual to set up. </w:t>
      </w:r>
    </w:p>
    <w:p w14:paraId="4A98A9F9" w14:textId="77777777" w:rsidR="00A7490F" w:rsidRDefault="00A7490F" w:rsidP="00A7490F">
      <w:pPr>
        <w:pStyle w:val="ListParagraph"/>
        <w:ind w:left="709"/>
      </w:pPr>
    </w:p>
    <w:p w14:paraId="5502257F" w14:textId="3F8F99A0" w:rsidR="00A7490F" w:rsidRDefault="00A7490F" w:rsidP="00A7490F">
      <w:pPr>
        <w:pStyle w:val="ListParagraph"/>
        <w:numPr>
          <w:ilvl w:val="1"/>
          <w:numId w:val="1"/>
        </w:numPr>
        <w:ind w:left="709"/>
      </w:pPr>
      <w:r w:rsidRPr="00A7490F">
        <w:t xml:space="preserve">You should ensure that all staff have been fully trained and briefed to understand the requirements for the layout and management of polling stations as part of any polling station staff training and/or written instructions issued in advance of the day. We will be providing further detailed guidance to support the practical set-up and management of polling stations in the updated polling station handbooks, and this will also be reflected in updated template briefing presentations for polling station staff. </w:t>
      </w:r>
    </w:p>
    <w:p w14:paraId="3AB9731E" w14:textId="77777777" w:rsidR="00741E62" w:rsidRDefault="00741E62" w:rsidP="00741E62">
      <w:pPr>
        <w:pStyle w:val="ListParagraph"/>
        <w:ind w:left="709"/>
      </w:pPr>
    </w:p>
    <w:p w14:paraId="25E3A048" w14:textId="77777777" w:rsidR="0021093F" w:rsidRDefault="0021093F" w:rsidP="0021093F">
      <w:pPr>
        <w:pStyle w:val="C-head"/>
      </w:pPr>
      <w:r w:rsidRPr="002561E0">
        <w:t>H</w:t>
      </w:r>
      <w:r>
        <w:t>ow will</w:t>
      </w:r>
      <w:r w:rsidRPr="002561E0">
        <w:t xml:space="preserve"> you...?</w:t>
      </w:r>
    </w:p>
    <w:p w14:paraId="2888A68D" w14:textId="77777777" w:rsidR="0021093F" w:rsidRDefault="0021093F" w:rsidP="0021093F">
      <w:pPr>
        <w:pStyle w:val="Bulletpoints"/>
        <w:spacing w:before="0"/>
        <w:ind w:left="1077"/>
      </w:pPr>
    </w:p>
    <w:p w14:paraId="6CD8E225" w14:textId="3861FFE8" w:rsidR="00F52D8F" w:rsidRDefault="001043CA" w:rsidP="00181F31">
      <w:pPr>
        <w:pStyle w:val="ListParagraph"/>
        <w:numPr>
          <w:ilvl w:val="0"/>
          <w:numId w:val="8"/>
        </w:numPr>
      </w:pPr>
      <w:r w:rsidRPr="001043CA">
        <w:rPr>
          <w:b/>
        </w:rPr>
        <w:t>Prepare</w:t>
      </w:r>
      <w:r w:rsidR="00F52D8F" w:rsidRPr="001043CA">
        <w:rPr>
          <w:b/>
        </w:rPr>
        <w:t xml:space="preserve"> equipment and sundries</w:t>
      </w:r>
      <w:r w:rsidRPr="001043CA">
        <w:rPr>
          <w:b/>
        </w:rPr>
        <w:t xml:space="preserve"> safely</w:t>
      </w:r>
      <w:r w:rsidR="00F52D8F" w:rsidRPr="001043CA">
        <w:rPr>
          <w:b/>
        </w:rPr>
        <w:t>?</w:t>
      </w:r>
    </w:p>
    <w:p w14:paraId="57689828" w14:textId="0AAC002A" w:rsidR="00F52D8F" w:rsidRDefault="00F52D8F" w:rsidP="00F52D8F">
      <w:pPr>
        <w:pStyle w:val="ListParagraph"/>
        <w:ind w:left="786"/>
      </w:pPr>
    </w:p>
    <w:p w14:paraId="104DDBEE" w14:textId="4C86D335" w:rsidR="00B26921" w:rsidRDefault="00E90E19" w:rsidP="00181F31">
      <w:pPr>
        <w:pStyle w:val="ListParagraph"/>
        <w:numPr>
          <w:ilvl w:val="0"/>
          <w:numId w:val="9"/>
        </w:numPr>
      </w:pPr>
      <w:r>
        <w:t xml:space="preserve">As outlined in our supplementary guidance on </w:t>
      </w:r>
      <w:hyperlink r:id="rId21" w:history="1">
        <w:r w:rsidRPr="00F3119D">
          <w:rPr>
            <w:rStyle w:val="Hyperlink"/>
          </w:rPr>
          <w:t>planning for the 2021 polls</w:t>
        </w:r>
      </w:hyperlink>
      <w:r>
        <w:t xml:space="preserve">, you should make an early assessment about the suitability of any venue being used for election activities, including ensuring the venue is well ventilated as per </w:t>
      </w:r>
      <w:hyperlink r:id="rId22" w:history="1">
        <w:r w:rsidRPr="00A876C4">
          <w:rPr>
            <w:rStyle w:val="Hyperlink"/>
          </w:rPr>
          <w:t>HSE guidance</w:t>
        </w:r>
      </w:hyperlink>
      <w:r>
        <w:t xml:space="preserve"> and able to allow </w:t>
      </w:r>
      <w:r w:rsidR="001C5C29">
        <w:t xml:space="preserve">physical </w:t>
      </w:r>
      <w:r>
        <w:t>distancing,</w:t>
      </w:r>
      <w:r w:rsidRPr="00853D66">
        <w:t xml:space="preserve"> </w:t>
      </w:r>
      <w:r>
        <w:t xml:space="preserve">and identify any necessary adaptions </w:t>
      </w:r>
    </w:p>
    <w:p w14:paraId="7D6ADC1C" w14:textId="77777777" w:rsidR="00B26921" w:rsidRDefault="00B26921" w:rsidP="00B26921">
      <w:pPr>
        <w:pStyle w:val="ListParagraph"/>
        <w:ind w:left="360"/>
      </w:pPr>
    </w:p>
    <w:p w14:paraId="3FEA0B09" w14:textId="1A4031B6" w:rsidR="00E90E19" w:rsidRDefault="00E90E19" w:rsidP="00E90E19">
      <w:pPr>
        <w:pStyle w:val="ListParagraph"/>
        <w:numPr>
          <w:ilvl w:val="1"/>
          <w:numId w:val="1"/>
        </w:numPr>
        <w:ind w:left="851"/>
      </w:pPr>
      <w:r>
        <w:t xml:space="preserve">You should </w:t>
      </w:r>
      <w:r w:rsidRPr="00DC7181">
        <w:t xml:space="preserve">manage </w:t>
      </w:r>
      <w:r>
        <w:t xml:space="preserve">any of </w:t>
      </w:r>
      <w:r w:rsidRPr="00DC7181">
        <w:t xml:space="preserve">your staff </w:t>
      </w:r>
      <w:r>
        <w:t>who are preparing equipment and sundries to work in</w:t>
      </w:r>
      <w:r w:rsidRPr="00DC7181">
        <w:t xml:space="preserve"> ‘</w:t>
      </w:r>
      <w:r>
        <w:t>cohorts</w:t>
      </w:r>
      <w:r w:rsidRPr="00DC7181">
        <w:t>’</w:t>
      </w:r>
      <w:r>
        <w:t xml:space="preserve"> or ‘bubbles’ (to limit social interaction as per </w:t>
      </w:r>
      <w:hyperlink r:id="rId23" w:history="1">
        <w:r w:rsidRPr="001D71DB">
          <w:rPr>
            <w:rStyle w:val="Hyperlink"/>
          </w:rPr>
          <w:t>HSE guidance on working safely during the coronavirus outbreak</w:t>
        </w:r>
      </w:hyperlink>
      <w:r>
        <w:t>) wherever possible.</w:t>
      </w:r>
      <w:r w:rsidRPr="00E90E19">
        <w:t xml:space="preserve"> </w:t>
      </w:r>
      <w:r>
        <w:t xml:space="preserve">For example, you could </w:t>
      </w:r>
      <w:r w:rsidRPr="00B26921">
        <w:t>allocate different electoral areas and/or separate staff ‘bubbles’ to different rooms</w:t>
      </w:r>
      <w:r>
        <w:t xml:space="preserve"> or parts of the room</w:t>
      </w:r>
      <w:r w:rsidRPr="00B26921">
        <w:t xml:space="preserve">, to reduce the number of staff in each </w:t>
      </w:r>
      <w:r>
        <w:t>place</w:t>
      </w:r>
      <w:r w:rsidRPr="00B26921">
        <w:t xml:space="preserve"> at any given time</w:t>
      </w:r>
      <w:r>
        <w:t>.</w:t>
      </w:r>
    </w:p>
    <w:p w14:paraId="759CB7FE" w14:textId="32267D50" w:rsidR="00E90E19" w:rsidRDefault="00E90E19" w:rsidP="00E90E19"/>
    <w:p w14:paraId="56ED89B1" w14:textId="37A64AF2" w:rsidR="00E90E19" w:rsidRPr="00B56EDB" w:rsidRDefault="00E90E19" w:rsidP="00762959">
      <w:pPr>
        <w:pStyle w:val="ListParagraph"/>
        <w:numPr>
          <w:ilvl w:val="0"/>
          <w:numId w:val="1"/>
        </w:numPr>
        <w:rPr>
          <w:rFonts w:ascii="Times New Roman" w:hAnsi="Times New Roman"/>
        </w:rPr>
      </w:pPr>
      <w:r>
        <w:t>Everyone working with shared documents and papers should take great care to only be present if well, avoid touching their faces, and regularly and frequently wash their hands.</w:t>
      </w:r>
      <w:r w:rsidRPr="00597DF3">
        <w:t xml:space="preserve"> </w:t>
      </w:r>
      <w:r w:rsidR="00762959">
        <w:t xml:space="preserve">You will need to </w:t>
      </w:r>
      <w:r w:rsidR="00762959" w:rsidRPr="00A0208F">
        <w:t xml:space="preserve">provide access to hand washing </w:t>
      </w:r>
      <w:r w:rsidR="00762959">
        <w:t>facilities and</w:t>
      </w:r>
      <w:r w:rsidR="00762959" w:rsidRPr="00A0208F">
        <w:t xml:space="preserve"> </w:t>
      </w:r>
      <w:r w:rsidR="00762959">
        <w:t xml:space="preserve">have hand </w:t>
      </w:r>
      <w:r w:rsidR="00762959" w:rsidRPr="00A0208F">
        <w:t>sanitiser</w:t>
      </w:r>
      <w:r w:rsidR="00762959">
        <w:t xml:space="preserve"> readily available.</w:t>
      </w:r>
    </w:p>
    <w:p w14:paraId="05DBD202" w14:textId="6AF8CD3E" w:rsidR="001043CA" w:rsidRDefault="001043CA" w:rsidP="001043CA"/>
    <w:p w14:paraId="65E6B63D" w14:textId="0BA9A3DA" w:rsidR="001043CA" w:rsidRDefault="001043CA" w:rsidP="00D707CE">
      <w:pPr>
        <w:pStyle w:val="ListParagraph"/>
        <w:numPr>
          <w:ilvl w:val="0"/>
          <w:numId w:val="7"/>
        </w:numPr>
      </w:pPr>
      <w:r w:rsidRPr="001043CA">
        <w:rPr>
          <w:b/>
        </w:rPr>
        <w:t>Manage the pickup / delivery of equipment and sundries?</w:t>
      </w:r>
    </w:p>
    <w:p w14:paraId="38E93BC1" w14:textId="77777777" w:rsidR="00E5069D" w:rsidRDefault="00E5069D" w:rsidP="00F52D8F">
      <w:pPr>
        <w:pStyle w:val="ListParagraph"/>
        <w:ind w:left="786"/>
      </w:pPr>
    </w:p>
    <w:p w14:paraId="62A213F7" w14:textId="6B616700" w:rsidR="00F52D8F" w:rsidRDefault="00314F8F" w:rsidP="00314F8F">
      <w:pPr>
        <w:pStyle w:val="ListParagraph"/>
        <w:numPr>
          <w:ilvl w:val="1"/>
          <w:numId w:val="9"/>
        </w:numPr>
      </w:pPr>
      <w:r>
        <w:t xml:space="preserve">You will need to determine how you can safely manage the collection or delivery of materials for polling stations, in order to ensure that </w:t>
      </w:r>
      <w:r w:rsidR="001C5C29">
        <w:t xml:space="preserve">physical </w:t>
      </w:r>
      <w:r>
        <w:t>distancing can be maintained and appropriate hygiene measures put in place.</w:t>
      </w:r>
      <w:r w:rsidR="00F52D8F">
        <w:t xml:space="preserve"> For example:</w:t>
      </w:r>
    </w:p>
    <w:p w14:paraId="39208D99" w14:textId="77777777" w:rsidR="00314F8F" w:rsidRDefault="00314F8F" w:rsidP="00314F8F">
      <w:pPr>
        <w:pStyle w:val="ListParagraph"/>
        <w:ind w:left="426"/>
      </w:pPr>
    </w:p>
    <w:p w14:paraId="7EE4D7F9" w14:textId="4D49A25F" w:rsidR="00F52D8F" w:rsidRDefault="00F52D8F" w:rsidP="00314F8F">
      <w:pPr>
        <w:pStyle w:val="ListParagraph"/>
        <w:numPr>
          <w:ilvl w:val="2"/>
          <w:numId w:val="1"/>
        </w:numPr>
        <w:ind w:left="1560"/>
      </w:pPr>
      <w:r>
        <w:t>Allocating staggered tim</w:t>
      </w:r>
      <w:r w:rsidR="00421AEC">
        <w:t xml:space="preserve">e-slots for </w:t>
      </w:r>
      <w:r>
        <w:t xml:space="preserve">staff to pick-up </w:t>
      </w:r>
      <w:r w:rsidR="00421AEC">
        <w:t xml:space="preserve">the </w:t>
      </w:r>
      <w:r>
        <w:t>necessary materials could help to minimise the number of people present at any time</w:t>
      </w:r>
    </w:p>
    <w:p w14:paraId="2C3E6538" w14:textId="3DBEC5E6" w:rsidR="00F52D8F" w:rsidRDefault="00F52D8F" w:rsidP="00314F8F">
      <w:pPr>
        <w:pStyle w:val="ListParagraph"/>
        <w:numPr>
          <w:ilvl w:val="2"/>
          <w:numId w:val="1"/>
        </w:numPr>
        <w:ind w:left="1560"/>
      </w:pPr>
      <w:r>
        <w:t>Using a range of pick-up point</w:t>
      </w:r>
      <w:r w:rsidR="00421AEC">
        <w:t>s for polling station materials could also help to limit the number of contacts</w:t>
      </w:r>
    </w:p>
    <w:p w14:paraId="70BDCF43" w14:textId="05BA0AF5" w:rsidR="00F52D8F" w:rsidRDefault="00F52D8F" w:rsidP="00314F8F">
      <w:pPr>
        <w:pStyle w:val="ListParagraph"/>
        <w:numPr>
          <w:ilvl w:val="2"/>
          <w:numId w:val="1"/>
        </w:numPr>
        <w:ind w:left="1560"/>
      </w:pPr>
      <w:r>
        <w:t>Arranging the delivering of bulky equipment directly to polling stations in advance of polling day may also be helpful in minimising the amount of people needed to attend other v</w:t>
      </w:r>
      <w:r w:rsidR="00421AEC">
        <w:t>enues to collect materials</w:t>
      </w:r>
    </w:p>
    <w:p w14:paraId="3CC526D7" w14:textId="77777777" w:rsidR="00F52D8F" w:rsidRDefault="00F52D8F" w:rsidP="00F52D8F">
      <w:pPr>
        <w:pStyle w:val="ListParagraph"/>
        <w:tabs>
          <w:tab w:val="left" w:pos="6225"/>
        </w:tabs>
        <w:ind w:left="1418"/>
      </w:pPr>
      <w:r>
        <w:tab/>
      </w:r>
    </w:p>
    <w:p w14:paraId="726FD65A" w14:textId="6C980F9E" w:rsidR="00F52D8F" w:rsidRDefault="00F52D8F" w:rsidP="00D707CE">
      <w:pPr>
        <w:pStyle w:val="ListParagraph"/>
        <w:numPr>
          <w:ilvl w:val="1"/>
          <w:numId w:val="9"/>
        </w:numPr>
      </w:pPr>
      <w:r>
        <w:t>If you are delivering equipment directly to polling stations, you will need to ensure any contractors us</w:t>
      </w:r>
      <w:r w:rsidR="00421AEC">
        <w:t xml:space="preserve">ed are able to demonstrate that their arrangements are in line </w:t>
      </w:r>
      <w:r>
        <w:t>with government and public health guidelines</w:t>
      </w:r>
      <w:r w:rsidR="007F6F86">
        <w:t>.</w:t>
      </w:r>
      <w:r w:rsidR="005474EB">
        <w:t xml:space="preserve"> You should</w:t>
      </w:r>
      <w:r w:rsidR="005474EB" w:rsidRPr="006B1170">
        <w:t xml:space="preserve"> ensur</w:t>
      </w:r>
      <w:r w:rsidR="005474EB">
        <w:t>e</w:t>
      </w:r>
      <w:r w:rsidR="005474EB" w:rsidRPr="006B1170">
        <w:t xml:space="preserve"> hand sanitiser and </w:t>
      </w:r>
      <w:r w:rsidR="005474EB">
        <w:t>face coverings</w:t>
      </w:r>
      <w:r w:rsidR="005474EB" w:rsidRPr="006B1170">
        <w:t xml:space="preserve"> are available </w:t>
      </w:r>
      <w:r w:rsidR="005474EB">
        <w:t>f</w:t>
      </w:r>
      <w:r w:rsidR="005474EB" w:rsidRPr="006B1170">
        <w:t>o</w:t>
      </w:r>
      <w:r w:rsidR="005474EB">
        <w:t>r</w:t>
      </w:r>
      <w:r w:rsidR="005474EB" w:rsidRPr="006B1170">
        <w:t xml:space="preserve"> contractors making deliveries.</w:t>
      </w:r>
    </w:p>
    <w:p w14:paraId="477F2924" w14:textId="77777777" w:rsidR="00F52D8F" w:rsidRDefault="00F52D8F" w:rsidP="00F52D8F">
      <w:pPr>
        <w:pStyle w:val="ListParagraph"/>
        <w:ind w:left="1418"/>
      </w:pPr>
    </w:p>
    <w:p w14:paraId="745A1A06" w14:textId="0736638A" w:rsidR="00F52D8F" w:rsidRDefault="00F52D8F" w:rsidP="00D707CE">
      <w:pPr>
        <w:pStyle w:val="ListParagraph"/>
        <w:numPr>
          <w:ilvl w:val="1"/>
          <w:numId w:val="9"/>
        </w:numPr>
      </w:pPr>
      <w:r>
        <w:t xml:space="preserve">You will need to </w:t>
      </w:r>
      <w:r w:rsidR="00421AEC">
        <w:t>develop a process to enable you</w:t>
      </w:r>
      <w:r>
        <w:t xml:space="preserve"> to safely retrieve any materials and equipment in the event that polling station staff drop out at short no</w:t>
      </w:r>
      <w:r w:rsidR="00421AEC">
        <w:t>tice, having already collected the materials</w:t>
      </w:r>
      <w:r>
        <w:t>.</w:t>
      </w:r>
      <w:r w:rsidR="00E77B47">
        <w:t xml:space="preserve"> For example</w:t>
      </w:r>
      <w:r w:rsidR="005B13F7">
        <w:t>,</w:t>
      </w:r>
      <w:r w:rsidR="00E77B47">
        <w:t xml:space="preserve"> agreeing a non</w:t>
      </w:r>
      <w:r w:rsidR="005B13F7">
        <w:t>-</w:t>
      </w:r>
      <w:r w:rsidR="00E77B47">
        <w:t xml:space="preserve">contact handover, taking </w:t>
      </w:r>
      <w:r w:rsidR="00E77B47">
        <w:lastRenderedPageBreak/>
        <w:t>cleaning materials to wipe down any surfaces that could act as touchpoints and ensuring regular handwashing by any</w:t>
      </w:r>
      <w:r w:rsidR="005B13F7">
        <w:t>one</w:t>
      </w:r>
      <w:r w:rsidR="00E77B47">
        <w:t xml:space="preserve"> making contact with materials.</w:t>
      </w:r>
    </w:p>
    <w:p w14:paraId="3FA5511D" w14:textId="77777777" w:rsidR="00F52D8F" w:rsidRDefault="00F52D8F" w:rsidP="00F52D8F">
      <w:pPr>
        <w:pStyle w:val="ListParagraph"/>
      </w:pPr>
    </w:p>
    <w:p w14:paraId="4425A5F8" w14:textId="52E612C0" w:rsidR="00F52D8F" w:rsidRDefault="00F52D8F" w:rsidP="00D707CE">
      <w:pPr>
        <w:pStyle w:val="ListParagraph"/>
        <w:numPr>
          <w:ilvl w:val="1"/>
          <w:numId w:val="9"/>
        </w:numPr>
      </w:pPr>
      <w:r>
        <w:t xml:space="preserve">You will also need to have a process in place for updating the absent voting lists with any emergency proxy appointments that are </w:t>
      </w:r>
      <w:r w:rsidR="00421AEC">
        <w:t>granted</w:t>
      </w:r>
      <w:r>
        <w:t xml:space="preserve"> close to the day of</w:t>
      </w:r>
      <w:r w:rsidR="00421AEC">
        <w:t xml:space="preserve"> poll. More guidance on this is included </w:t>
      </w:r>
      <w:r>
        <w:t xml:space="preserve">in our </w:t>
      </w:r>
      <w:hyperlink r:id="rId24" w:history="1">
        <w:r w:rsidRPr="001A2818">
          <w:rPr>
            <w:rStyle w:val="Hyperlink"/>
          </w:rPr>
          <w:t>supplementary guide on absent voting</w:t>
        </w:r>
      </w:hyperlink>
      <w:r w:rsidR="00741E62">
        <w:t>.</w:t>
      </w:r>
    </w:p>
    <w:p w14:paraId="79560DE3" w14:textId="7DA8712B" w:rsidR="00C052D0" w:rsidRDefault="00C052D0" w:rsidP="008C738A"/>
    <w:p w14:paraId="639D4680" w14:textId="0DE5DB4B" w:rsidR="00961CDA" w:rsidRPr="00AE2362" w:rsidRDefault="00961CDA" w:rsidP="00AE2362">
      <w:pPr>
        <w:pStyle w:val="ListParagraph"/>
        <w:ind w:left="1134"/>
      </w:pPr>
    </w:p>
    <w:sectPr w:rsidR="00961CDA" w:rsidRPr="00AE2362" w:rsidSect="005F4E43">
      <w:headerReference w:type="even" r:id="rId25"/>
      <w:headerReference w:type="default" r:id="rId26"/>
      <w:footerReference w:type="first" r:id="rId27"/>
      <w:endnotePr>
        <w:numFmt w:val="decimal"/>
      </w:endnotePr>
      <w:pgSz w:w="11906" w:h="16838" w:code="9"/>
      <w:pgMar w:top="714" w:right="714" w:bottom="714" w:left="160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C3818" w14:textId="77777777" w:rsidR="00E01F00" w:rsidRDefault="00E01F00">
      <w:r>
        <w:separator/>
      </w:r>
    </w:p>
  </w:endnote>
  <w:endnote w:type="continuationSeparator" w:id="0">
    <w:p w14:paraId="29666266" w14:textId="77777777" w:rsidR="00E01F00" w:rsidRDefault="00E01F00">
      <w:r>
        <w:continuationSeparator/>
      </w:r>
    </w:p>
  </w:endnote>
  <w:endnote w:type="continuationNotice" w:id="1">
    <w:p w14:paraId="5514072D" w14:textId="77777777" w:rsidR="00E01F00" w:rsidRDefault="00E01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84FD1" w14:textId="77777777" w:rsidR="00E01F00" w:rsidRPr="002A1391" w:rsidRDefault="00E01F00" w:rsidP="005F4E43">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20B92" w14:textId="77777777" w:rsidR="00E01F00" w:rsidRDefault="00E01F00">
      <w:r>
        <w:separator/>
      </w:r>
    </w:p>
  </w:footnote>
  <w:footnote w:type="continuationSeparator" w:id="0">
    <w:p w14:paraId="02796372" w14:textId="77777777" w:rsidR="00E01F00" w:rsidRDefault="00E01F00">
      <w:r>
        <w:continuationSeparator/>
      </w:r>
    </w:p>
  </w:footnote>
  <w:footnote w:type="continuationNotice" w:id="1">
    <w:p w14:paraId="4A789DA3" w14:textId="77777777" w:rsidR="00E01F00" w:rsidRDefault="00E01F0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DDCB" w14:textId="2B0CB2C7" w:rsidR="00FF3A01" w:rsidRDefault="00B752F8">
    <w:pPr>
      <w:pStyle w:val="Header"/>
    </w:pPr>
    <w:r>
      <w:rPr>
        <w:noProof/>
      </w:rPr>
      <w:pict w14:anchorId="2EDB38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82.7pt;height:193.0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9D953" w14:textId="59EAF812" w:rsidR="00E01F00" w:rsidRPr="00BD3F86" w:rsidRDefault="00E01F00" w:rsidP="005F4E43">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197E"/>
    <w:multiLevelType w:val="hybridMultilevel"/>
    <w:tmpl w:val="D188E50E"/>
    <w:lvl w:ilvl="0" w:tplc="EC8C7838">
      <w:start w:val="1"/>
      <w:numFmt w:val="bullet"/>
      <w:lvlText w:val=""/>
      <w:lvlJc w:val="left"/>
      <w:pPr>
        <w:ind w:left="360" w:hanging="360"/>
      </w:pPr>
      <w:rPr>
        <w:rFonts w:ascii="Symbol" w:hAnsi="Symbol" w:hint="default"/>
      </w:rPr>
    </w:lvl>
    <w:lvl w:ilvl="1" w:tplc="08090003">
      <w:start w:val="1"/>
      <w:numFmt w:val="bullet"/>
      <w:lvlText w:val="o"/>
      <w:lvlJc w:val="left"/>
      <w:pPr>
        <w:ind w:left="426"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F937CC"/>
    <w:multiLevelType w:val="hybridMultilevel"/>
    <w:tmpl w:val="A7201B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20B5B"/>
    <w:multiLevelType w:val="hybridMultilevel"/>
    <w:tmpl w:val="8252F290"/>
    <w:lvl w:ilvl="0" w:tplc="08090003">
      <w:start w:val="1"/>
      <w:numFmt w:val="bullet"/>
      <w:lvlText w:val="o"/>
      <w:lvlJc w:val="left"/>
      <w:pPr>
        <w:ind w:left="1287" w:hanging="360"/>
      </w:pPr>
      <w:rPr>
        <w:rFonts w:ascii="Courier New" w:hAnsi="Courier New" w:cs="Courier New" w:hint="default"/>
      </w:rPr>
    </w:lvl>
    <w:lvl w:ilvl="1" w:tplc="08090005">
      <w:start w:val="1"/>
      <w:numFmt w:val="bullet"/>
      <w:lvlText w:val=""/>
      <w:lvlJc w:val="left"/>
      <w:pPr>
        <w:ind w:left="2007" w:hanging="360"/>
      </w:pPr>
      <w:rPr>
        <w:rFonts w:ascii="Wingdings" w:hAnsi="Wingdings"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39826868"/>
    <w:multiLevelType w:val="hybridMultilevel"/>
    <w:tmpl w:val="36DE56D0"/>
    <w:lvl w:ilvl="0" w:tplc="08090003">
      <w:start w:val="1"/>
      <w:numFmt w:val="bullet"/>
      <w:lvlText w:val="o"/>
      <w:lvlJc w:val="left"/>
      <w:pPr>
        <w:ind w:left="2138" w:hanging="360"/>
      </w:pPr>
      <w:rPr>
        <w:rFonts w:ascii="Courier New" w:hAnsi="Courier New" w:cs="Courier New"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 w15:restartNumberingAfterBreak="0">
    <w:nsid w:val="3EC12FE9"/>
    <w:multiLevelType w:val="hybridMultilevel"/>
    <w:tmpl w:val="0CAEC8A8"/>
    <w:lvl w:ilvl="0" w:tplc="E6B8C2C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45785DA6"/>
    <w:multiLevelType w:val="hybridMultilevel"/>
    <w:tmpl w:val="024EEC8E"/>
    <w:lvl w:ilvl="0" w:tplc="EC8C783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291679"/>
    <w:multiLevelType w:val="hybridMultilevel"/>
    <w:tmpl w:val="D960D668"/>
    <w:lvl w:ilvl="0" w:tplc="08090003">
      <w:start w:val="1"/>
      <w:numFmt w:val="bullet"/>
      <w:lvlText w:val="o"/>
      <w:lvlJc w:val="left"/>
      <w:pPr>
        <w:ind w:left="786" w:hanging="360"/>
      </w:pPr>
      <w:rPr>
        <w:rFonts w:ascii="Courier New" w:hAnsi="Courier New" w:cs="Courier New"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4F2626C0"/>
    <w:multiLevelType w:val="hybridMultilevel"/>
    <w:tmpl w:val="ABAC97F4"/>
    <w:lvl w:ilvl="0" w:tplc="08090003">
      <w:start w:val="1"/>
      <w:numFmt w:val="bullet"/>
      <w:lvlText w:val="o"/>
      <w:lvlJc w:val="left"/>
      <w:pPr>
        <w:ind w:left="2138" w:hanging="360"/>
      </w:pPr>
      <w:rPr>
        <w:rFonts w:ascii="Courier New" w:hAnsi="Courier New" w:cs="Courier New" w:hint="default"/>
      </w:rPr>
    </w:lvl>
    <w:lvl w:ilvl="1" w:tplc="08090005">
      <w:start w:val="1"/>
      <w:numFmt w:val="bullet"/>
      <w:lvlText w:val=""/>
      <w:lvlJc w:val="left"/>
      <w:pPr>
        <w:ind w:left="2858" w:hanging="360"/>
      </w:pPr>
      <w:rPr>
        <w:rFonts w:ascii="Wingdings" w:hAnsi="Wingdings"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8" w15:restartNumberingAfterBreak="0">
    <w:nsid w:val="6EE17F63"/>
    <w:multiLevelType w:val="multilevel"/>
    <w:tmpl w:val="8BE8A9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38F13B1"/>
    <w:multiLevelType w:val="multilevel"/>
    <w:tmpl w:val="1EB8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C6D41"/>
    <w:multiLevelType w:val="hybridMultilevel"/>
    <w:tmpl w:val="34A4D1B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F86962"/>
    <w:multiLevelType w:val="hybridMultilevel"/>
    <w:tmpl w:val="5F8A9AE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933E6D"/>
    <w:multiLevelType w:val="multilevel"/>
    <w:tmpl w:val="317254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E4A301B"/>
    <w:multiLevelType w:val="hybridMultilevel"/>
    <w:tmpl w:val="472A82D0"/>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426"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4"/>
  </w:num>
  <w:num w:numId="4">
    <w:abstractNumId w:val="7"/>
  </w:num>
  <w:num w:numId="5">
    <w:abstractNumId w:val="2"/>
  </w:num>
  <w:num w:numId="6">
    <w:abstractNumId w:val="6"/>
  </w:num>
  <w:num w:numId="7">
    <w:abstractNumId w:val="5"/>
  </w:num>
  <w:num w:numId="8">
    <w:abstractNumId w:val="0"/>
  </w:num>
  <w:num w:numId="9">
    <w:abstractNumId w:val="13"/>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0"/>
  </w:num>
  <w:num w:numId="3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57"/>
    <w:rsid w:val="00002D21"/>
    <w:rsid w:val="00026A93"/>
    <w:rsid w:val="00030031"/>
    <w:rsid w:val="00030A44"/>
    <w:rsid w:val="00035DDD"/>
    <w:rsid w:val="00047DC8"/>
    <w:rsid w:val="00051475"/>
    <w:rsid w:val="00053DB4"/>
    <w:rsid w:val="0005483A"/>
    <w:rsid w:val="00062885"/>
    <w:rsid w:val="00064198"/>
    <w:rsid w:val="0006579B"/>
    <w:rsid w:val="00075465"/>
    <w:rsid w:val="0008236A"/>
    <w:rsid w:val="00087400"/>
    <w:rsid w:val="00097B96"/>
    <w:rsid w:val="000A2194"/>
    <w:rsid w:val="000A2FBC"/>
    <w:rsid w:val="000A580C"/>
    <w:rsid w:val="000A6B25"/>
    <w:rsid w:val="000B355A"/>
    <w:rsid w:val="000F1DE8"/>
    <w:rsid w:val="000F39A8"/>
    <w:rsid w:val="000F7039"/>
    <w:rsid w:val="001013AE"/>
    <w:rsid w:val="00101CDE"/>
    <w:rsid w:val="001043CA"/>
    <w:rsid w:val="00110326"/>
    <w:rsid w:val="0012521C"/>
    <w:rsid w:val="001365E3"/>
    <w:rsid w:val="001439DB"/>
    <w:rsid w:val="00143A8D"/>
    <w:rsid w:val="001611DF"/>
    <w:rsid w:val="001650AD"/>
    <w:rsid w:val="00165988"/>
    <w:rsid w:val="00173E25"/>
    <w:rsid w:val="00181F31"/>
    <w:rsid w:val="00182591"/>
    <w:rsid w:val="001831D7"/>
    <w:rsid w:val="001900DD"/>
    <w:rsid w:val="0019179D"/>
    <w:rsid w:val="00191A9C"/>
    <w:rsid w:val="00193A25"/>
    <w:rsid w:val="00195BA0"/>
    <w:rsid w:val="00196775"/>
    <w:rsid w:val="001A2818"/>
    <w:rsid w:val="001C5C29"/>
    <w:rsid w:val="001D7324"/>
    <w:rsid w:val="001D79BD"/>
    <w:rsid w:val="001E1AFE"/>
    <w:rsid w:val="001E3FAB"/>
    <w:rsid w:val="001F6EA7"/>
    <w:rsid w:val="001F6EC3"/>
    <w:rsid w:val="00203F59"/>
    <w:rsid w:val="002041F5"/>
    <w:rsid w:val="0021093F"/>
    <w:rsid w:val="00216105"/>
    <w:rsid w:val="00216766"/>
    <w:rsid w:val="00221245"/>
    <w:rsid w:val="002454EF"/>
    <w:rsid w:val="002469B0"/>
    <w:rsid w:val="0025332A"/>
    <w:rsid w:val="00254B1A"/>
    <w:rsid w:val="00255FAF"/>
    <w:rsid w:val="00260A0D"/>
    <w:rsid w:val="00263E42"/>
    <w:rsid w:val="00264907"/>
    <w:rsid w:val="00266788"/>
    <w:rsid w:val="002726BC"/>
    <w:rsid w:val="002A2C31"/>
    <w:rsid w:val="002B0F54"/>
    <w:rsid w:val="002B5412"/>
    <w:rsid w:val="002C0AA0"/>
    <w:rsid w:val="002D5107"/>
    <w:rsid w:val="002D5643"/>
    <w:rsid w:val="002F08D2"/>
    <w:rsid w:val="002F23F2"/>
    <w:rsid w:val="003020B1"/>
    <w:rsid w:val="00302681"/>
    <w:rsid w:val="00302D1E"/>
    <w:rsid w:val="0030676B"/>
    <w:rsid w:val="0031187B"/>
    <w:rsid w:val="003126DE"/>
    <w:rsid w:val="003140E5"/>
    <w:rsid w:val="00314F8F"/>
    <w:rsid w:val="003301C9"/>
    <w:rsid w:val="0033139C"/>
    <w:rsid w:val="003359EE"/>
    <w:rsid w:val="00336671"/>
    <w:rsid w:val="00336FD2"/>
    <w:rsid w:val="003375CA"/>
    <w:rsid w:val="00343D0F"/>
    <w:rsid w:val="00355F0B"/>
    <w:rsid w:val="0036170E"/>
    <w:rsid w:val="00374C04"/>
    <w:rsid w:val="00384541"/>
    <w:rsid w:val="0038542E"/>
    <w:rsid w:val="003870FD"/>
    <w:rsid w:val="003A07A0"/>
    <w:rsid w:val="003B124D"/>
    <w:rsid w:val="003C4D74"/>
    <w:rsid w:val="003C4EB2"/>
    <w:rsid w:val="003D14B6"/>
    <w:rsid w:val="003D68B6"/>
    <w:rsid w:val="003D7918"/>
    <w:rsid w:val="003E076A"/>
    <w:rsid w:val="003E6347"/>
    <w:rsid w:val="003F07A6"/>
    <w:rsid w:val="003F21A9"/>
    <w:rsid w:val="003F5114"/>
    <w:rsid w:val="003F542E"/>
    <w:rsid w:val="003F69BC"/>
    <w:rsid w:val="003F73A5"/>
    <w:rsid w:val="004150D8"/>
    <w:rsid w:val="00421AEC"/>
    <w:rsid w:val="004232D2"/>
    <w:rsid w:val="00426D9F"/>
    <w:rsid w:val="004275A5"/>
    <w:rsid w:val="00432B7F"/>
    <w:rsid w:val="00433CE2"/>
    <w:rsid w:val="004407D8"/>
    <w:rsid w:val="00461884"/>
    <w:rsid w:val="0046390B"/>
    <w:rsid w:val="00474874"/>
    <w:rsid w:val="004856C6"/>
    <w:rsid w:val="004A384D"/>
    <w:rsid w:val="004A72DF"/>
    <w:rsid w:val="004B1104"/>
    <w:rsid w:val="004C3C48"/>
    <w:rsid w:val="004C5DBC"/>
    <w:rsid w:val="004C6055"/>
    <w:rsid w:val="004D50DC"/>
    <w:rsid w:val="004E7D12"/>
    <w:rsid w:val="004F1CAA"/>
    <w:rsid w:val="004F1EA9"/>
    <w:rsid w:val="004F3ADB"/>
    <w:rsid w:val="004F693A"/>
    <w:rsid w:val="00504489"/>
    <w:rsid w:val="0050573C"/>
    <w:rsid w:val="005474EB"/>
    <w:rsid w:val="00573A2A"/>
    <w:rsid w:val="00573B65"/>
    <w:rsid w:val="0057523C"/>
    <w:rsid w:val="005778D7"/>
    <w:rsid w:val="00581D06"/>
    <w:rsid w:val="00586C79"/>
    <w:rsid w:val="00593476"/>
    <w:rsid w:val="005B13F7"/>
    <w:rsid w:val="005B1EEE"/>
    <w:rsid w:val="005B5E01"/>
    <w:rsid w:val="005B6C7E"/>
    <w:rsid w:val="005C2D3D"/>
    <w:rsid w:val="005D1671"/>
    <w:rsid w:val="005D23CD"/>
    <w:rsid w:val="005D4AA5"/>
    <w:rsid w:val="005E39C4"/>
    <w:rsid w:val="005F46B5"/>
    <w:rsid w:val="005F4E43"/>
    <w:rsid w:val="005F50A6"/>
    <w:rsid w:val="00604E31"/>
    <w:rsid w:val="00606492"/>
    <w:rsid w:val="00640EF0"/>
    <w:rsid w:val="00660AB6"/>
    <w:rsid w:val="00662B6E"/>
    <w:rsid w:val="00666278"/>
    <w:rsid w:val="006731D4"/>
    <w:rsid w:val="006748F5"/>
    <w:rsid w:val="0067555D"/>
    <w:rsid w:val="006766F2"/>
    <w:rsid w:val="0067686F"/>
    <w:rsid w:val="00682402"/>
    <w:rsid w:val="00684EE4"/>
    <w:rsid w:val="006B740A"/>
    <w:rsid w:val="006E5D77"/>
    <w:rsid w:val="006F1E45"/>
    <w:rsid w:val="006F7FB9"/>
    <w:rsid w:val="00712E04"/>
    <w:rsid w:val="007169A6"/>
    <w:rsid w:val="00720940"/>
    <w:rsid w:val="0072389E"/>
    <w:rsid w:val="00731178"/>
    <w:rsid w:val="00733338"/>
    <w:rsid w:val="00733B17"/>
    <w:rsid w:val="00734F4A"/>
    <w:rsid w:val="00736EC4"/>
    <w:rsid w:val="00741E62"/>
    <w:rsid w:val="007506E2"/>
    <w:rsid w:val="00762959"/>
    <w:rsid w:val="007655A4"/>
    <w:rsid w:val="00770CBC"/>
    <w:rsid w:val="0077519E"/>
    <w:rsid w:val="0078242E"/>
    <w:rsid w:val="007838DD"/>
    <w:rsid w:val="00794603"/>
    <w:rsid w:val="007946AF"/>
    <w:rsid w:val="007950F5"/>
    <w:rsid w:val="00797B17"/>
    <w:rsid w:val="007A0C7B"/>
    <w:rsid w:val="007A41AA"/>
    <w:rsid w:val="007C2092"/>
    <w:rsid w:val="007C50FD"/>
    <w:rsid w:val="007F1592"/>
    <w:rsid w:val="007F1771"/>
    <w:rsid w:val="007F2A64"/>
    <w:rsid w:val="007F4A79"/>
    <w:rsid w:val="007F6F86"/>
    <w:rsid w:val="0080099C"/>
    <w:rsid w:val="00800E1B"/>
    <w:rsid w:val="00802AA2"/>
    <w:rsid w:val="00823A96"/>
    <w:rsid w:val="008323E7"/>
    <w:rsid w:val="00832445"/>
    <w:rsid w:val="00832572"/>
    <w:rsid w:val="00846511"/>
    <w:rsid w:val="00867E25"/>
    <w:rsid w:val="00876360"/>
    <w:rsid w:val="00881829"/>
    <w:rsid w:val="00885154"/>
    <w:rsid w:val="00886062"/>
    <w:rsid w:val="008877EA"/>
    <w:rsid w:val="00897A53"/>
    <w:rsid w:val="008A2337"/>
    <w:rsid w:val="008B4F75"/>
    <w:rsid w:val="008B672E"/>
    <w:rsid w:val="008C7192"/>
    <w:rsid w:val="008C738A"/>
    <w:rsid w:val="008D27FE"/>
    <w:rsid w:val="008E5EC2"/>
    <w:rsid w:val="008F5246"/>
    <w:rsid w:val="008F5877"/>
    <w:rsid w:val="009074E3"/>
    <w:rsid w:val="0091276D"/>
    <w:rsid w:val="00914AA0"/>
    <w:rsid w:val="00923849"/>
    <w:rsid w:val="009575EE"/>
    <w:rsid w:val="0096057A"/>
    <w:rsid w:val="00961CDA"/>
    <w:rsid w:val="00964EC1"/>
    <w:rsid w:val="009734E8"/>
    <w:rsid w:val="00987AC7"/>
    <w:rsid w:val="00995923"/>
    <w:rsid w:val="009A7072"/>
    <w:rsid w:val="009A7729"/>
    <w:rsid w:val="009B21D7"/>
    <w:rsid w:val="009C3C4D"/>
    <w:rsid w:val="009C7BCA"/>
    <w:rsid w:val="009D7AB3"/>
    <w:rsid w:val="009E5965"/>
    <w:rsid w:val="009E62C0"/>
    <w:rsid w:val="009F7A09"/>
    <w:rsid w:val="00A00ACF"/>
    <w:rsid w:val="00A02BDD"/>
    <w:rsid w:val="00A071D3"/>
    <w:rsid w:val="00A1096B"/>
    <w:rsid w:val="00A2077F"/>
    <w:rsid w:val="00A229DC"/>
    <w:rsid w:val="00A2363C"/>
    <w:rsid w:val="00A30246"/>
    <w:rsid w:val="00A34CDF"/>
    <w:rsid w:val="00A50460"/>
    <w:rsid w:val="00A553E1"/>
    <w:rsid w:val="00A639A5"/>
    <w:rsid w:val="00A65C4A"/>
    <w:rsid w:val="00A7185D"/>
    <w:rsid w:val="00A732BF"/>
    <w:rsid w:val="00A7490F"/>
    <w:rsid w:val="00A77C76"/>
    <w:rsid w:val="00A84BFF"/>
    <w:rsid w:val="00A91E58"/>
    <w:rsid w:val="00AA09AE"/>
    <w:rsid w:val="00AA488C"/>
    <w:rsid w:val="00AB1006"/>
    <w:rsid w:val="00AC08C7"/>
    <w:rsid w:val="00AD1FDC"/>
    <w:rsid w:val="00AD2210"/>
    <w:rsid w:val="00AD5E4F"/>
    <w:rsid w:val="00AE2362"/>
    <w:rsid w:val="00AE33A6"/>
    <w:rsid w:val="00AE7FAE"/>
    <w:rsid w:val="00AF3F26"/>
    <w:rsid w:val="00B14D19"/>
    <w:rsid w:val="00B224D3"/>
    <w:rsid w:val="00B227F7"/>
    <w:rsid w:val="00B25832"/>
    <w:rsid w:val="00B26921"/>
    <w:rsid w:val="00B27B1C"/>
    <w:rsid w:val="00B41D19"/>
    <w:rsid w:val="00B50955"/>
    <w:rsid w:val="00B53E80"/>
    <w:rsid w:val="00B6545A"/>
    <w:rsid w:val="00B7068F"/>
    <w:rsid w:val="00B752F8"/>
    <w:rsid w:val="00B823FE"/>
    <w:rsid w:val="00B82B40"/>
    <w:rsid w:val="00B930EC"/>
    <w:rsid w:val="00B955A7"/>
    <w:rsid w:val="00BA1244"/>
    <w:rsid w:val="00BA310B"/>
    <w:rsid w:val="00BB1F54"/>
    <w:rsid w:val="00BB5481"/>
    <w:rsid w:val="00BB5FC1"/>
    <w:rsid w:val="00BC05B7"/>
    <w:rsid w:val="00BD21B6"/>
    <w:rsid w:val="00BE19D0"/>
    <w:rsid w:val="00BE792C"/>
    <w:rsid w:val="00BF0163"/>
    <w:rsid w:val="00C02C0A"/>
    <w:rsid w:val="00C03373"/>
    <w:rsid w:val="00C052D0"/>
    <w:rsid w:val="00C05C7F"/>
    <w:rsid w:val="00C060AE"/>
    <w:rsid w:val="00C16FEC"/>
    <w:rsid w:val="00C22C9F"/>
    <w:rsid w:val="00C2598E"/>
    <w:rsid w:val="00C259FD"/>
    <w:rsid w:val="00C25C4F"/>
    <w:rsid w:val="00C3165E"/>
    <w:rsid w:val="00C43A70"/>
    <w:rsid w:val="00C46BAF"/>
    <w:rsid w:val="00C52F73"/>
    <w:rsid w:val="00C57345"/>
    <w:rsid w:val="00C752F4"/>
    <w:rsid w:val="00C77596"/>
    <w:rsid w:val="00C861DD"/>
    <w:rsid w:val="00C91580"/>
    <w:rsid w:val="00C9697D"/>
    <w:rsid w:val="00C97855"/>
    <w:rsid w:val="00CA4B86"/>
    <w:rsid w:val="00CB673D"/>
    <w:rsid w:val="00CC0DB6"/>
    <w:rsid w:val="00CC2DDC"/>
    <w:rsid w:val="00CC2F0E"/>
    <w:rsid w:val="00CC387B"/>
    <w:rsid w:val="00CC6DCB"/>
    <w:rsid w:val="00CD6037"/>
    <w:rsid w:val="00CE0A8C"/>
    <w:rsid w:val="00CE3653"/>
    <w:rsid w:val="00CE5140"/>
    <w:rsid w:val="00CE5B7D"/>
    <w:rsid w:val="00CE7227"/>
    <w:rsid w:val="00CF7830"/>
    <w:rsid w:val="00D024F6"/>
    <w:rsid w:val="00D2270F"/>
    <w:rsid w:val="00D344F5"/>
    <w:rsid w:val="00D3466E"/>
    <w:rsid w:val="00D3513E"/>
    <w:rsid w:val="00D36043"/>
    <w:rsid w:val="00D4529C"/>
    <w:rsid w:val="00D624CF"/>
    <w:rsid w:val="00D651BF"/>
    <w:rsid w:val="00D707CE"/>
    <w:rsid w:val="00D74024"/>
    <w:rsid w:val="00D7417D"/>
    <w:rsid w:val="00D7421F"/>
    <w:rsid w:val="00D807BA"/>
    <w:rsid w:val="00D81839"/>
    <w:rsid w:val="00D82B49"/>
    <w:rsid w:val="00D9078C"/>
    <w:rsid w:val="00D91A95"/>
    <w:rsid w:val="00DA52F4"/>
    <w:rsid w:val="00DB0402"/>
    <w:rsid w:val="00DB3461"/>
    <w:rsid w:val="00DB7683"/>
    <w:rsid w:val="00DC1775"/>
    <w:rsid w:val="00DC3944"/>
    <w:rsid w:val="00DC6DD3"/>
    <w:rsid w:val="00DC7181"/>
    <w:rsid w:val="00DC7547"/>
    <w:rsid w:val="00DE4EA9"/>
    <w:rsid w:val="00DE5D58"/>
    <w:rsid w:val="00DF0729"/>
    <w:rsid w:val="00DF0D11"/>
    <w:rsid w:val="00DF1450"/>
    <w:rsid w:val="00DF347E"/>
    <w:rsid w:val="00DF3EDD"/>
    <w:rsid w:val="00E01F00"/>
    <w:rsid w:val="00E03B4C"/>
    <w:rsid w:val="00E11670"/>
    <w:rsid w:val="00E132C0"/>
    <w:rsid w:val="00E22529"/>
    <w:rsid w:val="00E2562C"/>
    <w:rsid w:val="00E26334"/>
    <w:rsid w:val="00E27BA6"/>
    <w:rsid w:val="00E3146E"/>
    <w:rsid w:val="00E5014A"/>
    <w:rsid w:val="00E5069D"/>
    <w:rsid w:val="00E50A51"/>
    <w:rsid w:val="00E51389"/>
    <w:rsid w:val="00E52BA6"/>
    <w:rsid w:val="00E71620"/>
    <w:rsid w:val="00E7793D"/>
    <w:rsid w:val="00E77B47"/>
    <w:rsid w:val="00E902D1"/>
    <w:rsid w:val="00E90E19"/>
    <w:rsid w:val="00E91AA0"/>
    <w:rsid w:val="00E9468B"/>
    <w:rsid w:val="00EB28A6"/>
    <w:rsid w:val="00EB4063"/>
    <w:rsid w:val="00ED1219"/>
    <w:rsid w:val="00ED58A0"/>
    <w:rsid w:val="00ED75BF"/>
    <w:rsid w:val="00EE0813"/>
    <w:rsid w:val="00EE17E5"/>
    <w:rsid w:val="00EE1C01"/>
    <w:rsid w:val="00EF293D"/>
    <w:rsid w:val="00EF4B03"/>
    <w:rsid w:val="00F0603A"/>
    <w:rsid w:val="00F06949"/>
    <w:rsid w:val="00F11488"/>
    <w:rsid w:val="00F11AA2"/>
    <w:rsid w:val="00F16949"/>
    <w:rsid w:val="00F1796F"/>
    <w:rsid w:val="00F20515"/>
    <w:rsid w:val="00F312A3"/>
    <w:rsid w:val="00F331BE"/>
    <w:rsid w:val="00F36AE3"/>
    <w:rsid w:val="00F37233"/>
    <w:rsid w:val="00F37C52"/>
    <w:rsid w:val="00F44863"/>
    <w:rsid w:val="00F503CB"/>
    <w:rsid w:val="00F52D8F"/>
    <w:rsid w:val="00F56484"/>
    <w:rsid w:val="00F56E57"/>
    <w:rsid w:val="00F678CD"/>
    <w:rsid w:val="00F67F15"/>
    <w:rsid w:val="00F75DFA"/>
    <w:rsid w:val="00F922F7"/>
    <w:rsid w:val="00F927BA"/>
    <w:rsid w:val="00F93D0A"/>
    <w:rsid w:val="00F950B7"/>
    <w:rsid w:val="00F955BC"/>
    <w:rsid w:val="00F97F8B"/>
    <w:rsid w:val="00FA749C"/>
    <w:rsid w:val="00FB3054"/>
    <w:rsid w:val="00FB3422"/>
    <w:rsid w:val="00FC08B4"/>
    <w:rsid w:val="00FC3E05"/>
    <w:rsid w:val="00FC4D64"/>
    <w:rsid w:val="00FC57AA"/>
    <w:rsid w:val="00FD0265"/>
    <w:rsid w:val="00FE4B7E"/>
    <w:rsid w:val="00FE4BD4"/>
    <w:rsid w:val="00FE4C39"/>
    <w:rsid w:val="00FF02DD"/>
    <w:rsid w:val="00FF29FC"/>
    <w:rsid w:val="00FF3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039B8C"/>
  <w15:chartTrackingRefBased/>
  <w15:docId w15:val="{37C30884-E105-4962-B789-B42D28BB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E57"/>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F56E57"/>
    <w:pPr>
      <w:spacing w:before="240"/>
    </w:pPr>
  </w:style>
  <w:style w:type="paragraph" w:styleId="Header">
    <w:name w:val="header"/>
    <w:basedOn w:val="Normal"/>
    <w:link w:val="HeaderChar"/>
    <w:uiPriority w:val="99"/>
    <w:rsid w:val="00F56E57"/>
    <w:pPr>
      <w:jc w:val="right"/>
    </w:pPr>
    <w:rPr>
      <w:sz w:val="16"/>
    </w:rPr>
  </w:style>
  <w:style w:type="character" w:customStyle="1" w:styleId="HeaderChar">
    <w:name w:val="Header Char"/>
    <w:basedOn w:val="DefaultParagraphFont"/>
    <w:link w:val="Header"/>
    <w:uiPriority w:val="99"/>
    <w:rsid w:val="00F56E57"/>
    <w:rPr>
      <w:rFonts w:ascii="Arial" w:eastAsia="Times New Roman" w:hAnsi="Arial" w:cs="Times New Roman"/>
      <w:sz w:val="16"/>
      <w:szCs w:val="24"/>
    </w:rPr>
  </w:style>
  <w:style w:type="paragraph" w:styleId="Footer">
    <w:name w:val="footer"/>
    <w:basedOn w:val="Normal"/>
    <w:link w:val="FooterChar"/>
    <w:uiPriority w:val="99"/>
    <w:rsid w:val="00F56E57"/>
    <w:pPr>
      <w:spacing w:before="60"/>
      <w:jc w:val="right"/>
    </w:pPr>
    <w:rPr>
      <w:sz w:val="20"/>
      <w:szCs w:val="20"/>
    </w:rPr>
  </w:style>
  <w:style w:type="character" w:customStyle="1" w:styleId="FooterChar">
    <w:name w:val="Footer Char"/>
    <w:basedOn w:val="DefaultParagraphFont"/>
    <w:link w:val="Footer"/>
    <w:uiPriority w:val="99"/>
    <w:rsid w:val="00F56E57"/>
    <w:rPr>
      <w:rFonts w:ascii="Arial" w:eastAsia="Times New Roman" w:hAnsi="Arial" w:cs="Times New Roman"/>
      <w:sz w:val="20"/>
      <w:szCs w:val="20"/>
    </w:rPr>
  </w:style>
  <w:style w:type="paragraph" w:customStyle="1" w:styleId="A-head">
    <w:name w:val="A-head"/>
    <w:basedOn w:val="Normal"/>
    <w:next w:val="Body"/>
    <w:qFormat/>
    <w:rsid w:val="00F56E57"/>
    <w:pPr>
      <w:spacing w:line="600" w:lineRule="exact"/>
      <w:outlineLvl w:val="1"/>
    </w:pPr>
    <w:rPr>
      <w:sz w:val="48"/>
      <w:szCs w:val="48"/>
    </w:rPr>
  </w:style>
  <w:style w:type="paragraph" w:customStyle="1" w:styleId="B-head">
    <w:name w:val="B-head"/>
    <w:basedOn w:val="Normal"/>
    <w:next w:val="Body"/>
    <w:qFormat/>
    <w:rsid w:val="00F56E57"/>
    <w:pPr>
      <w:spacing w:line="400" w:lineRule="exact"/>
      <w:outlineLvl w:val="2"/>
    </w:pPr>
    <w:rPr>
      <w:color w:val="0099C3" w:themeColor="accent4"/>
      <w:sz w:val="32"/>
      <w:szCs w:val="32"/>
    </w:rPr>
  </w:style>
  <w:style w:type="paragraph" w:customStyle="1" w:styleId="C-head">
    <w:name w:val="C-head"/>
    <w:basedOn w:val="Normal"/>
    <w:next w:val="Body"/>
    <w:uiPriority w:val="5"/>
    <w:qFormat/>
    <w:rsid w:val="00F56E57"/>
    <w:pPr>
      <w:spacing w:line="320" w:lineRule="exact"/>
      <w:outlineLvl w:val="3"/>
    </w:pPr>
    <w:rPr>
      <w:b/>
    </w:rPr>
  </w:style>
  <w:style w:type="paragraph" w:customStyle="1" w:styleId="Bulletpoints">
    <w:name w:val="Bullet points"/>
    <w:basedOn w:val="Bulletspaced"/>
    <w:qFormat/>
    <w:rsid w:val="00F56E57"/>
    <w:pPr>
      <w:contextualSpacing/>
    </w:pPr>
  </w:style>
  <w:style w:type="paragraph" w:customStyle="1" w:styleId="Bulletspaced">
    <w:name w:val="Bullet spaced"/>
    <w:basedOn w:val="Body"/>
    <w:uiPriority w:val="10"/>
    <w:qFormat/>
    <w:rsid w:val="00F56E57"/>
  </w:style>
  <w:style w:type="character" w:styleId="Hyperlink">
    <w:name w:val="Hyperlink"/>
    <w:basedOn w:val="DefaultParagraphFont"/>
    <w:uiPriority w:val="99"/>
    <w:unhideWhenUsed/>
    <w:rsid w:val="00F56E57"/>
    <w:rPr>
      <w:color w:val="40B3D2" w:themeColor="hyperlink"/>
      <w:u w:val="single"/>
    </w:rPr>
  </w:style>
  <w:style w:type="paragraph" w:customStyle="1" w:styleId="Boxtext">
    <w:name w:val="Box text"/>
    <w:basedOn w:val="Body"/>
    <w:qFormat/>
    <w:rsid w:val="00F56E57"/>
    <w:pPr>
      <w:pBdr>
        <w:top w:val="single" w:sz="4" w:space="6" w:color="0099C3" w:themeColor="accent4"/>
        <w:left w:val="single" w:sz="4" w:space="6" w:color="0099C3" w:themeColor="accent4"/>
        <w:bottom w:val="single" w:sz="4" w:space="6" w:color="0099C3" w:themeColor="accent4"/>
        <w:right w:val="single" w:sz="4" w:space="6" w:color="0099C3" w:themeColor="accent4"/>
      </w:pBdr>
      <w:ind w:left="142" w:right="142"/>
    </w:pPr>
  </w:style>
  <w:style w:type="paragraph" w:customStyle="1" w:styleId="Tablecolumnheading">
    <w:name w:val="Table column heading"/>
    <w:basedOn w:val="Normal"/>
    <w:uiPriority w:val="14"/>
    <w:qFormat/>
    <w:rsid w:val="00F56E57"/>
    <w:pPr>
      <w:spacing w:before="120" w:after="120"/>
    </w:pPr>
    <w:rPr>
      <w:b/>
      <w:color w:val="0099C3" w:themeColor="accent4"/>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F56E57"/>
    <w:pPr>
      <w:ind w:left="720"/>
      <w:contextualSpacing/>
    </w:pPr>
  </w:style>
  <w:style w:type="character" w:styleId="CommentReference">
    <w:name w:val="annotation reference"/>
    <w:basedOn w:val="DefaultParagraphFont"/>
    <w:uiPriority w:val="99"/>
    <w:unhideWhenUsed/>
    <w:rsid w:val="00F56E57"/>
    <w:rPr>
      <w:sz w:val="16"/>
      <w:szCs w:val="16"/>
    </w:rPr>
  </w:style>
  <w:style w:type="paragraph" w:customStyle="1" w:styleId="Chapterhead">
    <w:name w:val="Chapterhead"/>
    <w:basedOn w:val="Normal"/>
    <w:autoRedefine/>
    <w:qFormat/>
    <w:rsid w:val="00720940"/>
    <w:pPr>
      <w:tabs>
        <w:tab w:val="left" w:pos="1134"/>
      </w:tabs>
      <w:spacing w:after="400"/>
      <w:outlineLvl w:val="0"/>
    </w:pPr>
    <w:rPr>
      <w:color w:val="003366"/>
      <w:sz w:val="60"/>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F56E57"/>
    <w:rPr>
      <w:rFonts w:ascii="Arial" w:eastAsia="Times New Roman" w:hAnsi="Arial" w:cs="Times New Roman"/>
      <w:sz w:val="24"/>
      <w:szCs w:val="24"/>
    </w:rPr>
  </w:style>
  <w:style w:type="paragraph" w:styleId="CommentText">
    <w:name w:val="annotation text"/>
    <w:basedOn w:val="Normal"/>
    <w:link w:val="CommentTextChar"/>
    <w:uiPriority w:val="99"/>
    <w:unhideWhenUsed/>
    <w:rsid w:val="00F56E57"/>
    <w:rPr>
      <w:sz w:val="20"/>
      <w:szCs w:val="20"/>
    </w:rPr>
  </w:style>
  <w:style w:type="character" w:customStyle="1" w:styleId="CommentTextChar">
    <w:name w:val="Comment Text Char"/>
    <w:basedOn w:val="DefaultParagraphFont"/>
    <w:link w:val="CommentText"/>
    <w:uiPriority w:val="99"/>
    <w:rsid w:val="00F56E5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F56E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E57"/>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5B1EEE"/>
    <w:rPr>
      <w:b/>
      <w:bCs/>
    </w:rPr>
  </w:style>
  <w:style w:type="character" w:customStyle="1" w:styleId="CommentSubjectChar">
    <w:name w:val="Comment Subject Char"/>
    <w:basedOn w:val="CommentTextChar"/>
    <w:link w:val="CommentSubject"/>
    <w:uiPriority w:val="99"/>
    <w:semiHidden/>
    <w:rsid w:val="005B1EEE"/>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8877EA"/>
    <w:rPr>
      <w:color w:val="40B3D2" w:themeColor="followedHyperlink"/>
      <w:u w:val="single"/>
    </w:rPr>
  </w:style>
  <w:style w:type="paragraph" w:customStyle="1" w:styleId="Nospacebody">
    <w:name w:val="No space body"/>
    <w:basedOn w:val="Normal"/>
    <w:uiPriority w:val="6"/>
    <w:qFormat/>
    <w:rsid w:val="00FF02DD"/>
    <w:pPr>
      <w:spacing w:line="288" w:lineRule="atLeast"/>
    </w:pPr>
    <w:rPr>
      <w:rFonts w:eastAsiaTheme="minorHAnsi" w:cstheme="minorBidi"/>
      <w:color w:val="003057" w:themeColor="text1"/>
    </w:rPr>
  </w:style>
  <w:style w:type="paragraph" w:styleId="Revision">
    <w:name w:val="Revision"/>
    <w:hidden/>
    <w:uiPriority w:val="99"/>
    <w:semiHidden/>
    <w:rsid w:val="005F4E43"/>
    <w:pPr>
      <w:spacing w:after="0" w:line="240" w:lineRule="auto"/>
    </w:pPr>
    <w:rPr>
      <w:rFonts w:ascii="Arial" w:eastAsia="Times New Roman" w:hAnsi="Arial" w:cs="Times New Roman"/>
      <w:sz w:val="24"/>
      <w:szCs w:val="24"/>
    </w:rPr>
  </w:style>
  <w:style w:type="table" w:styleId="TableGrid">
    <w:name w:val="Table Grid"/>
    <w:basedOn w:val="TableNormal"/>
    <w:uiPriority w:val="39"/>
    <w:rsid w:val="00D74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1245"/>
    <w:pPr>
      <w:spacing w:before="100" w:beforeAutospacing="1" w:after="100" w:afterAutospacing="1"/>
    </w:pPr>
    <w:rPr>
      <w:rFonts w:ascii="Times New Roman" w:hAnsi="Times New Roman"/>
      <w:lang w:eastAsia="en-GB"/>
    </w:rPr>
  </w:style>
  <w:style w:type="paragraph" w:styleId="NoSpacing">
    <w:name w:val="No Spacing"/>
    <w:uiPriority w:val="1"/>
    <w:qFormat/>
    <w:rsid w:val="002A2C31"/>
    <w:pPr>
      <w:spacing w:after="0" w:line="240" w:lineRule="auto"/>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73086">
      <w:bodyDiv w:val="1"/>
      <w:marLeft w:val="0"/>
      <w:marRight w:val="0"/>
      <w:marTop w:val="0"/>
      <w:marBottom w:val="0"/>
      <w:divBdr>
        <w:top w:val="none" w:sz="0" w:space="0" w:color="auto"/>
        <w:left w:val="none" w:sz="0" w:space="0" w:color="auto"/>
        <w:bottom w:val="none" w:sz="0" w:space="0" w:color="auto"/>
        <w:right w:val="none" w:sz="0" w:space="0" w:color="auto"/>
      </w:divBdr>
    </w:div>
    <w:div w:id="760371584">
      <w:bodyDiv w:val="1"/>
      <w:marLeft w:val="0"/>
      <w:marRight w:val="0"/>
      <w:marTop w:val="0"/>
      <w:marBottom w:val="0"/>
      <w:divBdr>
        <w:top w:val="none" w:sz="0" w:space="0" w:color="auto"/>
        <w:left w:val="none" w:sz="0" w:space="0" w:color="auto"/>
        <w:bottom w:val="none" w:sz="0" w:space="0" w:color="auto"/>
        <w:right w:val="none" w:sz="0" w:space="0" w:color="auto"/>
      </w:divBdr>
    </w:div>
    <w:div w:id="855847364">
      <w:bodyDiv w:val="1"/>
      <w:marLeft w:val="0"/>
      <w:marRight w:val="0"/>
      <w:marTop w:val="0"/>
      <w:marBottom w:val="0"/>
      <w:divBdr>
        <w:top w:val="none" w:sz="0" w:space="0" w:color="auto"/>
        <w:left w:val="none" w:sz="0" w:space="0" w:color="auto"/>
        <w:bottom w:val="none" w:sz="0" w:space="0" w:color="auto"/>
        <w:right w:val="none" w:sz="0" w:space="0" w:color="auto"/>
      </w:divBdr>
    </w:div>
    <w:div w:id="1176920503">
      <w:bodyDiv w:val="1"/>
      <w:marLeft w:val="0"/>
      <w:marRight w:val="0"/>
      <w:marTop w:val="0"/>
      <w:marBottom w:val="0"/>
      <w:divBdr>
        <w:top w:val="none" w:sz="0" w:space="0" w:color="auto"/>
        <w:left w:val="none" w:sz="0" w:space="0" w:color="auto"/>
        <w:bottom w:val="none" w:sz="0" w:space="0" w:color="auto"/>
        <w:right w:val="none" w:sz="0" w:space="0" w:color="auto"/>
      </w:divBdr>
    </w:div>
    <w:div w:id="1303121208">
      <w:bodyDiv w:val="1"/>
      <w:marLeft w:val="0"/>
      <w:marRight w:val="0"/>
      <w:marTop w:val="0"/>
      <w:marBottom w:val="0"/>
      <w:divBdr>
        <w:top w:val="none" w:sz="0" w:space="0" w:color="auto"/>
        <w:left w:val="none" w:sz="0" w:space="0" w:color="auto"/>
        <w:bottom w:val="none" w:sz="0" w:space="0" w:color="auto"/>
        <w:right w:val="none" w:sz="0" w:space="0" w:color="auto"/>
      </w:divBdr>
    </w:div>
    <w:div w:id="1365904461">
      <w:bodyDiv w:val="1"/>
      <w:marLeft w:val="0"/>
      <w:marRight w:val="0"/>
      <w:marTop w:val="0"/>
      <w:marBottom w:val="0"/>
      <w:divBdr>
        <w:top w:val="none" w:sz="0" w:space="0" w:color="auto"/>
        <w:left w:val="none" w:sz="0" w:space="0" w:color="auto"/>
        <w:bottom w:val="none" w:sz="0" w:space="0" w:color="auto"/>
        <w:right w:val="none" w:sz="0" w:space="0" w:color="auto"/>
      </w:divBdr>
    </w:div>
    <w:div w:id="1635286557">
      <w:bodyDiv w:val="1"/>
      <w:marLeft w:val="0"/>
      <w:marRight w:val="0"/>
      <w:marTop w:val="0"/>
      <w:marBottom w:val="0"/>
      <w:divBdr>
        <w:top w:val="none" w:sz="0" w:space="0" w:color="auto"/>
        <w:left w:val="none" w:sz="0" w:space="0" w:color="auto"/>
        <w:bottom w:val="none" w:sz="0" w:space="0" w:color="auto"/>
        <w:right w:val="none" w:sz="0" w:space="0" w:color="auto"/>
      </w:divBdr>
    </w:div>
    <w:div w:id="1968269797">
      <w:bodyDiv w:val="1"/>
      <w:marLeft w:val="0"/>
      <w:marRight w:val="0"/>
      <w:marTop w:val="0"/>
      <w:marBottom w:val="0"/>
      <w:divBdr>
        <w:top w:val="none" w:sz="0" w:space="0" w:color="auto"/>
        <w:left w:val="none" w:sz="0" w:space="0" w:color="auto"/>
        <w:bottom w:val="none" w:sz="0" w:space="0" w:color="auto"/>
        <w:right w:val="none" w:sz="0" w:space="0" w:color="auto"/>
      </w:divBdr>
    </w:div>
    <w:div w:id="201209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gov.scot/publications/coronavirus-covid-19-public-use-of-face-covering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electoralcommission.org.uk/media/7575"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lectoralcommission.org.uk/democratic-engagement-resource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lectoralcommission.org.uk/media/7596" TargetMode="External"/><Relationship Id="rId20" Type="http://schemas.openxmlformats.org/officeDocument/2006/relationships/hyperlink" Target="https://www.gov.scot/binaries/content/documents/govscot/publications/advice-and-guidance/2020/05/coronavirus-covid-19-test-trace-isolate-support/documents/covid-19-test-trace-isolate-support-public-health-approach-maintaining-low-levels-community-transmission-covid-19-scotland/covid-19-test-trace-isolate-support-public-health-approach-maintaining-low-levels-community-transmission-covid-19-scotland/govscot%3Adocument/covid-19-test-trace-isolate-support-public-health-approach-maintaining-low-levels-community-transmission-covid-19-scotland.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hse.gov.uk/news/assets/docs/working-safely-guide.pdf" TargetMode="External"/><Relationship Id="rId5" Type="http://schemas.openxmlformats.org/officeDocument/2006/relationships/customXml" Target="../customXml/item5.xml"/><Relationship Id="rId15" Type="http://schemas.openxmlformats.org/officeDocument/2006/relationships/hyperlink" Target="https://www.gov.scot/publications/coronavirus-covid-19-public-use-of-face-coverings/" TargetMode="External"/><Relationship Id="rId23" Type="http://schemas.openxmlformats.org/officeDocument/2006/relationships/hyperlink" Target="https://www.electoralcommission.org.uk/i-am-a/electoral-administrator"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hse.gov.uk/coronavirus/equipment-and-machinery/air-conditioning-and-ventilation.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gov.scot/publications/coronavirus-covid-19-public-use-of-face-coverings/" TargetMode="External"/><Relationship Id="rId22" Type="http://schemas.openxmlformats.org/officeDocument/2006/relationships/hyperlink" Target="https://www.gov.scot/publications/coronavirus-covid-19-public-use-of-face-coverings/" TargetMode="External"/><Relationship Id="rId27" Type="http://schemas.openxmlformats.org/officeDocument/2006/relationships/footer" Target="footer1.xml"/></Relationships>
</file>

<file path=word/theme/theme1.xml><?xml version="1.0" encoding="utf-8"?>
<a:theme xmlns:a="http://schemas.openxmlformats.org/drawingml/2006/main" name="Electoral Commission Excel">
  <a:themeElements>
    <a:clrScheme name="Electoral Commission">
      <a:dk1>
        <a:srgbClr val="003057"/>
      </a:dk1>
      <a:lt1>
        <a:srgbClr val="FFFFFF"/>
      </a:lt1>
      <a:dk2>
        <a:srgbClr val="BFCBD5"/>
      </a:dk2>
      <a:lt2>
        <a:srgbClr val="BFE6F0"/>
      </a:lt2>
      <a:accent1>
        <a:srgbClr val="003057"/>
      </a:accent1>
      <a:accent2>
        <a:srgbClr val="406481"/>
      </a:accent2>
      <a:accent3>
        <a:srgbClr val="8098AB"/>
      </a:accent3>
      <a:accent4>
        <a:srgbClr val="0099C3"/>
      </a:accent4>
      <a:accent5>
        <a:srgbClr val="40B3D2"/>
      </a:accent5>
      <a:accent6>
        <a:srgbClr val="80CCE1"/>
      </a:accent6>
      <a:hlink>
        <a:srgbClr val="40B3D2"/>
      </a:hlink>
      <a:folHlink>
        <a:srgbClr val="40B3D2"/>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pink">
      <a:srgbClr val="E6007C"/>
    </a:custClr>
    <a:custClr name="EC Orange">
      <a:srgbClr val="EC6608"/>
    </a:custClr>
    <a:custClr name="EC Green">
      <a:srgbClr val="96BE2D"/>
    </a:custClr>
    <a:custClr name="EC Purple">
      <a:srgbClr val="9C7DA9"/>
    </a:custClr>
    <a:custClr name="EC Yellow">
      <a:srgbClr val="F0DE38"/>
    </a:custClr>
    <a:custClr name="EC Grey">
      <a:srgbClr val="CBC4BC"/>
    </a:custClr>
  </a:custClrLst>
  <a:extLst>
    <a:ext uri="{05A4C25C-085E-4340-85A3-A5531E510DB2}">
      <thm15:themeFamily xmlns:thm15="http://schemas.microsoft.com/office/thememl/2012/main" name="Electoral Commission 2" id="{CB8A6406-9D1C-4DB3-8C21-6AA10A27D2F8}" vid="{F11AFF7F-7DD9-4AEC-A3A1-88F05017FAC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42db2267-da8a-4033-a749-d2c129898989" ContentTypeId="0x010100C9ADBE5EDAD5E947B0458271EF26F4F312" PreviousValue="true"/>
</file>

<file path=customXml/item3.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Scotland</TermName>
          <TermId xmlns="http://schemas.microsoft.com/office/infopath/2007/PartnerControls">e1acdee1-285d-467a-8060-3af5beda6efa</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TaxCatchAll xmlns="0b644c8d-8442-43d3-b70d-a766ab8538c3">
      <Value>1898</Value>
      <Value>3630</Value>
      <Value>717</Value>
      <Value>703</Value>
      <Value>682</Value>
      <Value>684</Value>
      <Value>3</Value>
      <Value>2</Value>
      <Value>1</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Joanne Anderson</DisplayName>
        <AccountId>273</AccountId>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TX6SW6SUV4E4-666515829-3499</_dlc_DocId>
    <_dlc_DocIdUrl xmlns="0b644c8d-8442-43d3-b70d-a766ab8538c3">
      <Url>http://skynet/dm/Functions/eaeventguide/_layouts/15/DocIdRedir.aspx?ID=TX6SW6SUV4E4-666515829-3499</Url>
      <Description>TX6SW6SUV4E4-666515829-3499</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FE01-8C2A-464F-97B7-5FD8900B7335}">
  <ds:schemaRefs>
    <ds:schemaRef ds:uri="http://schemas.microsoft.com/sharepoint/events"/>
  </ds:schemaRefs>
</ds:datastoreItem>
</file>

<file path=customXml/itemProps2.xml><?xml version="1.0" encoding="utf-8"?>
<ds:datastoreItem xmlns:ds="http://schemas.openxmlformats.org/officeDocument/2006/customXml" ds:itemID="{5B0F32D5-CD54-42C0-A520-A94A0C63A2E6}">
  <ds:schemaRefs>
    <ds:schemaRef ds:uri="Microsoft.SharePoint.Taxonomy.ContentTypeSync"/>
  </ds:schemaRefs>
</ds:datastoreItem>
</file>

<file path=customXml/itemProps3.xml><?xml version="1.0" encoding="utf-8"?>
<ds:datastoreItem xmlns:ds="http://schemas.openxmlformats.org/officeDocument/2006/customXml" ds:itemID="{EFB54A96-9E64-4ED4-B12F-4E97747B6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8B48B3-354B-484B-92A9-1FFB2ACB106F}">
  <ds:schemaRefs>
    <ds:schemaRef ds:uri="http://schemas.microsoft.com/office/2006/documentManagement/types"/>
    <ds:schemaRef ds:uri="d091c58a-92a6-4874-9249-ff899a5e6e67"/>
    <ds:schemaRef ds:uri="http://purl.org/dc/elements/1.1/"/>
    <ds:schemaRef ds:uri="http://schemas.microsoft.com/office/2006/metadata/properties"/>
    <ds:schemaRef ds:uri="c0973202-7c92-449b-a95a-8ec26691ea65"/>
    <ds:schemaRef ds:uri="http://schemas.microsoft.com/office/infopath/2007/PartnerControls"/>
    <ds:schemaRef ds:uri="http://schemas.openxmlformats.org/package/2006/metadata/core-properties"/>
    <ds:schemaRef ds:uri="http://purl.org/dc/terms/"/>
    <ds:schemaRef ds:uri="0b644c8d-8442-43d3-b70d-a766ab8538c3"/>
    <ds:schemaRef ds:uri="http://www.w3.org/XML/1998/namespace"/>
    <ds:schemaRef ds:uri="http://purl.org/dc/dcmitype/"/>
  </ds:schemaRefs>
</ds:datastoreItem>
</file>

<file path=customXml/itemProps5.xml><?xml version="1.0" encoding="utf-8"?>
<ds:datastoreItem xmlns:ds="http://schemas.openxmlformats.org/officeDocument/2006/customXml" ds:itemID="{3E41A1C1-1083-4F24-ACA8-50360F761DB8}">
  <ds:schemaRefs>
    <ds:schemaRef ds:uri="http://schemas.microsoft.com/sharepoint/v3/contenttype/forms"/>
  </ds:schemaRefs>
</ds:datastoreItem>
</file>

<file path=customXml/itemProps6.xml><?xml version="1.0" encoding="utf-8"?>
<ds:datastoreItem xmlns:ds="http://schemas.openxmlformats.org/officeDocument/2006/customXml" ds:itemID="{70487A22-794D-40CE-8BB7-C2A452BC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Polling station considerations for 2021 polls - S</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Polling station considerations for 2021 polls - S</dc:title>
  <dc:subject/>
  <dc:creator>Claire Wardle</dc:creator>
  <cp:keywords>supplementary guidance</cp:keywords>
  <dc:description/>
  <cp:lastModifiedBy>Susanne Malmgren</cp:lastModifiedBy>
  <cp:revision>2</cp:revision>
  <dcterms:created xsi:type="dcterms:W3CDTF">2021-04-07T09:35:00Z</dcterms:created>
  <dcterms:modified xsi:type="dcterms:W3CDTF">2021-04-07T09:35:00Z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589f4b32-9961-4ee9-92ad-a924ac6f2791</vt:lpwstr>
  </property>
  <property fmtid="{D5CDD505-2E9C-101B-9397-08002B2CF9AE}" pid="4" name="Event (EA)">
    <vt:lpwstr>717;#Scottish Parliament|425b7a59-aafa-461d-ac80-d52c4ac1c7c3</vt:lpwstr>
  </property>
  <property fmtid="{D5CDD505-2E9C-101B-9397-08002B2CF9AE}" pid="5" name="Audience (EA)">
    <vt:lpwstr>684;#RO|9ab7a96e-a7bd-4c42-99d8-e2b2fe25086a</vt:lpwstr>
  </property>
  <property fmtid="{D5CDD505-2E9C-101B-9397-08002B2CF9AE}" pid="6" name="TaxKeyword">
    <vt:lpwstr>3630;#supplementary guidance|2f222930-6364-4b13-82d1-02edc13aca4a</vt:lpwstr>
  </property>
  <property fmtid="{D5CDD505-2E9C-101B-9397-08002B2CF9AE}" pid="7" name="Countries">
    <vt:lpwstr>3;#UK wide|6834a7d2-fb91-47b3-99a3-3181df52306f</vt:lpwstr>
  </property>
  <property fmtid="{D5CDD505-2E9C-101B-9397-08002B2CF9AE}" pid="8" name="Audience1">
    <vt:lpwstr>2;#All staff|1a1e0e6e-8d96-4235-ac5f-9f1dcc3600b0</vt:lpwstr>
  </property>
  <property fmtid="{D5CDD505-2E9C-101B-9397-08002B2CF9AE}" pid="9" name="Area (EA)">
    <vt:lpwstr>703;#Scotland|e1acdee1-285d-467a-8060-3af5beda6efa</vt:lpwstr>
  </property>
  <property fmtid="{D5CDD505-2E9C-101B-9397-08002B2CF9AE}" pid="10" name="ECSubject">
    <vt:lpwstr/>
  </property>
  <property fmtid="{D5CDD505-2E9C-101B-9397-08002B2CF9AE}" pid="11" name="GPMS marking">
    <vt:lpwstr>1;#Official|77462fb2-11a1-4cd5-8628-4e6081b9477e</vt:lpwstr>
  </property>
  <property fmtid="{D5CDD505-2E9C-101B-9397-08002B2CF9AE}" pid="12" name="Calendar Year">
    <vt:lpwstr>1898;#2018|26ca1e8c-16e7-413b-b05d-61c89da0dc68</vt:lpwstr>
  </property>
  <property fmtid="{D5CDD505-2E9C-101B-9397-08002B2CF9AE}" pid="13" name="TaxKeywordTaxHTField">
    <vt:lpwstr>supplementary guidance|2f222930-6364-4b13-82d1-02edc13aca4a</vt:lpwstr>
  </property>
  <property fmtid="{D5CDD505-2E9C-101B-9397-08002B2CF9AE}" pid="14" name="Financial year">
    <vt:lpwstr/>
  </property>
  <property fmtid="{D5CDD505-2E9C-101B-9397-08002B2CF9AE}" pid="15" name="Guidance type (EA)">
    <vt:lpwstr>682;#Supporting Resource|046fdab6-b44b-4f3d-aa13-e1a7611ba2d0</vt:lpwstr>
  </property>
  <property fmtid="{D5CDD505-2E9C-101B-9397-08002B2CF9AE}" pid="16" name="SharedWithUsers">
    <vt:lpwstr>477;#Claire Wardle</vt:lpwstr>
  </property>
  <property fmtid="{D5CDD505-2E9C-101B-9397-08002B2CF9AE}" pid="17" name="pf1c3e1bd69e4157938b459bbd5820b8">
    <vt:lpwstr/>
  </property>
  <property fmtid="{D5CDD505-2E9C-101B-9397-08002B2CF9AE}" pid="18" name="PPM Name">
    <vt:lpwstr/>
  </property>
</Properties>
</file>