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BD303" w14:textId="09EBC4BD" w:rsidR="00C76DFE" w:rsidRDefault="00000000" w:rsidP="00C72CC5">
      <w:pPr>
        <w:pStyle w:val="Title"/>
        <w:rPr>
          <w:rFonts w:eastAsia="Calibri"/>
        </w:rPr>
      </w:pPr>
      <w:r>
        <w:t>Bezpečnostní politika</w:t>
      </w:r>
      <w:r>
        <w:rPr>
          <w:rFonts w:eastAsia="Calibri"/>
        </w:rPr>
        <w:t xml:space="preserve"> </w:t>
      </w:r>
    </w:p>
    <w:p w14:paraId="03EA0649" w14:textId="77777777" w:rsidR="00C72CC5" w:rsidRPr="00C72CC5" w:rsidRDefault="00C72CC5" w:rsidP="00C72CC5">
      <w:pPr>
        <w:spacing w:line="240" w:lineRule="auto"/>
      </w:pPr>
    </w:p>
    <w:p w14:paraId="15DAFF52" w14:textId="77777777" w:rsidR="00C76DFE" w:rsidRDefault="00000000" w:rsidP="00C72CC5">
      <w:pPr>
        <w:numPr>
          <w:ilvl w:val="0"/>
          <w:numId w:val="1"/>
        </w:numPr>
        <w:spacing w:line="240" w:lineRule="auto"/>
        <w:ind w:hanging="360"/>
      </w:pPr>
      <w:r>
        <w:t xml:space="preserve">Soubor zásad a pravidel, s jejichž pomocí organizace chrání svá aktiva </w:t>
      </w:r>
    </w:p>
    <w:p w14:paraId="0D81AF7B" w14:textId="77777777" w:rsidR="00C76DFE" w:rsidRDefault="00000000" w:rsidP="00C72CC5">
      <w:pPr>
        <w:numPr>
          <w:ilvl w:val="0"/>
          <w:numId w:val="1"/>
        </w:numPr>
        <w:spacing w:after="0" w:line="240" w:lineRule="auto"/>
        <w:ind w:hanging="360"/>
      </w:pPr>
      <w:r>
        <w:t xml:space="preserve">Základní typy: </w:t>
      </w:r>
    </w:p>
    <w:p w14:paraId="47AF3ABD" w14:textId="77777777" w:rsidR="00C72CC5" w:rsidRDefault="00000000" w:rsidP="00C72CC5">
      <w:pPr>
        <w:numPr>
          <w:ilvl w:val="1"/>
          <w:numId w:val="1"/>
        </w:numPr>
        <w:spacing w:line="240" w:lineRule="auto"/>
        <w:ind w:hanging="360"/>
      </w:pPr>
      <w:r w:rsidRPr="00C72CC5">
        <w:rPr>
          <w:b/>
          <w:bCs/>
        </w:rPr>
        <w:t>Promiskuitní</w:t>
      </w:r>
      <w:r>
        <w:t xml:space="preserve"> – vše je povoleno (např.: osobní počítač v domácnosti) </w:t>
      </w:r>
    </w:p>
    <w:p w14:paraId="4335A81F" w14:textId="04E36511" w:rsidR="00C76DFE" w:rsidRDefault="00000000" w:rsidP="00C72CC5">
      <w:pPr>
        <w:numPr>
          <w:ilvl w:val="1"/>
          <w:numId w:val="1"/>
        </w:numPr>
        <w:spacing w:line="240" w:lineRule="auto"/>
        <w:ind w:hanging="360"/>
      </w:pPr>
      <w:r w:rsidRPr="00C72CC5">
        <w:rPr>
          <w:b/>
          <w:bCs/>
        </w:rPr>
        <w:t>Liberální</w:t>
      </w:r>
      <w:r>
        <w:t xml:space="preserve"> – co není povoleno, je výslovně uvedeno (např.: síťové prostředí malé organizace) </w:t>
      </w:r>
    </w:p>
    <w:p w14:paraId="7C7F8E11" w14:textId="77777777" w:rsidR="00C76DFE" w:rsidRDefault="00000000" w:rsidP="00C72CC5">
      <w:pPr>
        <w:numPr>
          <w:ilvl w:val="1"/>
          <w:numId w:val="1"/>
        </w:numPr>
        <w:spacing w:line="240" w:lineRule="auto"/>
        <w:ind w:hanging="360"/>
      </w:pPr>
      <w:r w:rsidRPr="00C72CC5">
        <w:rPr>
          <w:b/>
          <w:bCs/>
        </w:rPr>
        <w:t>Konzervativní</w:t>
      </w:r>
      <w:r>
        <w:t xml:space="preserve"> – co je povoleno, je výslovně uvedeno (např.: síťové prostředí velké organizace) </w:t>
      </w:r>
    </w:p>
    <w:p w14:paraId="447A1617" w14:textId="77777777" w:rsidR="00C76DFE" w:rsidRDefault="00000000" w:rsidP="00C72CC5">
      <w:pPr>
        <w:numPr>
          <w:ilvl w:val="1"/>
          <w:numId w:val="1"/>
        </w:numPr>
        <w:spacing w:after="148" w:line="240" w:lineRule="auto"/>
        <w:ind w:hanging="360"/>
      </w:pPr>
      <w:r w:rsidRPr="00C72CC5">
        <w:rPr>
          <w:b/>
          <w:bCs/>
        </w:rPr>
        <w:t xml:space="preserve">Paranoidní </w:t>
      </w:r>
      <w:r>
        <w:t xml:space="preserve">– vše je zakázáno, až na přesně omezené výjimky (např.: veřejné terminály) </w:t>
      </w:r>
    </w:p>
    <w:p w14:paraId="1AAE4A32" w14:textId="77777777" w:rsidR="00C76DFE" w:rsidRDefault="00000000" w:rsidP="00C72CC5">
      <w:pPr>
        <w:spacing w:after="238" w:line="240" w:lineRule="auto"/>
        <w:ind w:left="0" w:firstLine="0"/>
      </w:pPr>
      <w:r>
        <w:t xml:space="preserve"> </w:t>
      </w:r>
    </w:p>
    <w:p w14:paraId="2B6131D6" w14:textId="77777777" w:rsidR="00C76DFE" w:rsidRDefault="00000000" w:rsidP="00C72CC5">
      <w:pPr>
        <w:pStyle w:val="Heading1"/>
        <w:spacing w:line="240" w:lineRule="auto"/>
        <w:ind w:left="-5"/>
      </w:pPr>
      <w:proofErr w:type="spellStart"/>
      <w:r>
        <w:t>Cobit</w:t>
      </w:r>
      <w:proofErr w:type="spellEnd"/>
      <w:r>
        <w:t xml:space="preserve">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)  </w:t>
      </w:r>
    </w:p>
    <w:p w14:paraId="4AC1B822" w14:textId="77777777" w:rsidR="00C76DFE" w:rsidRDefault="00000000" w:rsidP="00C72CC5">
      <w:pPr>
        <w:numPr>
          <w:ilvl w:val="0"/>
          <w:numId w:val="2"/>
        </w:numPr>
        <w:spacing w:line="240" w:lineRule="auto"/>
        <w:ind w:hanging="360"/>
      </w:pPr>
      <w:r>
        <w:t xml:space="preserve">Framework/rámec </w:t>
      </w:r>
    </w:p>
    <w:p w14:paraId="17B8FF85" w14:textId="77777777" w:rsidR="00C76DFE" w:rsidRDefault="00000000" w:rsidP="00C72CC5">
      <w:pPr>
        <w:numPr>
          <w:ilvl w:val="0"/>
          <w:numId w:val="2"/>
        </w:numPr>
        <w:spacing w:line="240" w:lineRule="auto"/>
        <w:ind w:hanging="360"/>
      </w:pPr>
      <w:r>
        <w:t xml:space="preserve">Soubor osvědčených postupů a praktik </w:t>
      </w:r>
    </w:p>
    <w:p w14:paraId="2F2F5D4C" w14:textId="77777777" w:rsidR="00C76DFE" w:rsidRDefault="00000000" w:rsidP="00C72CC5">
      <w:pPr>
        <w:numPr>
          <w:ilvl w:val="0"/>
          <w:numId w:val="2"/>
        </w:numPr>
        <w:spacing w:line="240" w:lineRule="auto"/>
        <w:ind w:hanging="360"/>
      </w:pPr>
      <w:r>
        <w:t xml:space="preserve">Umožnují organizaci dosáhnout strategických cílů, dojít k maximální efektivitě podniku a minimalizuje rizika v IT </w:t>
      </w:r>
    </w:p>
    <w:p w14:paraId="471AE721" w14:textId="77777777" w:rsidR="00C76DFE" w:rsidRDefault="00000000" w:rsidP="00C72CC5">
      <w:pPr>
        <w:numPr>
          <w:ilvl w:val="0"/>
          <w:numId w:val="2"/>
        </w:numPr>
        <w:spacing w:line="240" w:lineRule="auto"/>
        <w:ind w:hanging="360"/>
      </w:pPr>
      <w:r>
        <w:t xml:space="preserve">Je určen především top manažerům a auditorům </w:t>
      </w:r>
    </w:p>
    <w:p w14:paraId="6E864A49" w14:textId="389FDCBE" w:rsidR="00C72CC5" w:rsidRDefault="00000000" w:rsidP="00C72CC5">
      <w:pPr>
        <w:numPr>
          <w:ilvl w:val="0"/>
          <w:numId w:val="2"/>
        </w:numPr>
        <w:spacing w:after="6" w:line="240" w:lineRule="auto"/>
        <w:ind w:hanging="360"/>
      </w:pPr>
      <w:r>
        <w:t>Obsahuje ITIL, SMART</w:t>
      </w:r>
      <w:r w:rsidR="00177415">
        <w:t>,</w:t>
      </w:r>
      <w:r>
        <w:t xml:space="preserve"> SWOT analýzy, SLA a další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</w:t>
      </w:r>
      <w:proofErr w:type="spellEnd"/>
    </w:p>
    <w:p w14:paraId="1DA39DDF" w14:textId="77777777" w:rsidR="00C76DFE" w:rsidRDefault="00000000" w:rsidP="00C72CC5">
      <w:pPr>
        <w:numPr>
          <w:ilvl w:val="0"/>
          <w:numId w:val="2"/>
        </w:numPr>
        <w:spacing w:after="0" w:line="240" w:lineRule="auto"/>
        <w:ind w:hanging="360"/>
      </w:pPr>
      <w:r>
        <w:t xml:space="preserve">Je rozdělen do 4 oblastí: </w:t>
      </w:r>
    </w:p>
    <w:p w14:paraId="28EC3F2B" w14:textId="77777777" w:rsidR="00C76DFE" w:rsidRDefault="00000000" w:rsidP="00C72CC5">
      <w:pPr>
        <w:numPr>
          <w:ilvl w:val="1"/>
          <w:numId w:val="2"/>
        </w:numPr>
        <w:spacing w:line="240" w:lineRule="auto"/>
        <w:ind w:hanging="360"/>
      </w:pPr>
      <w:r>
        <w:t xml:space="preserve">Plánování a organizace </w:t>
      </w:r>
    </w:p>
    <w:p w14:paraId="0A400F38" w14:textId="77777777" w:rsidR="00C76DFE" w:rsidRDefault="00000000" w:rsidP="00C72CC5">
      <w:pPr>
        <w:numPr>
          <w:ilvl w:val="1"/>
          <w:numId w:val="2"/>
        </w:numPr>
        <w:spacing w:line="240" w:lineRule="auto"/>
        <w:ind w:hanging="360"/>
      </w:pPr>
      <w:r>
        <w:t xml:space="preserve">Pořízení a implementace </w:t>
      </w:r>
    </w:p>
    <w:p w14:paraId="56948C78" w14:textId="77777777" w:rsidR="00C76DFE" w:rsidRDefault="00000000" w:rsidP="00C72CC5">
      <w:pPr>
        <w:numPr>
          <w:ilvl w:val="1"/>
          <w:numId w:val="2"/>
        </w:numPr>
        <w:spacing w:line="240" w:lineRule="auto"/>
        <w:ind w:hanging="360"/>
      </w:pPr>
      <w:r>
        <w:t xml:space="preserve">Dodávka a podpora </w:t>
      </w:r>
    </w:p>
    <w:p w14:paraId="1BDDA91E" w14:textId="77777777" w:rsidR="00C76DFE" w:rsidRDefault="00000000" w:rsidP="00C72CC5">
      <w:pPr>
        <w:numPr>
          <w:ilvl w:val="1"/>
          <w:numId w:val="2"/>
        </w:numPr>
        <w:spacing w:line="240" w:lineRule="auto"/>
        <w:ind w:hanging="360"/>
      </w:pPr>
      <w:r>
        <w:t xml:space="preserve">Monitorování a zhodnocení </w:t>
      </w:r>
    </w:p>
    <w:p w14:paraId="21ADAF5A" w14:textId="77777777" w:rsidR="00C76DFE" w:rsidRDefault="00000000" w:rsidP="00C72CC5">
      <w:pPr>
        <w:numPr>
          <w:ilvl w:val="0"/>
          <w:numId w:val="2"/>
        </w:numPr>
        <w:spacing w:line="240" w:lineRule="auto"/>
        <w:ind w:hanging="360"/>
      </w:pPr>
      <w:r>
        <w:t xml:space="preserve">V rámci těchto oblastí je popsáno 34 procesů </w:t>
      </w:r>
    </w:p>
    <w:p w14:paraId="1F2CE62A" w14:textId="77777777" w:rsidR="00C76DFE" w:rsidRDefault="00000000" w:rsidP="00C72CC5">
      <w:pPr>
        <w:numPr>
          <w:ilvl w:val="0"/>
          <w:numId w:val="2"/>
        </w:numPr>
        <w:spacing w:after="9" w:line="240" w:lineRule="auto"/>
        <w:ind w:hanging="360"/>
      </w:pPr>
      <w:r>
        <w:t xml:space="preserve">Principy </w:t>
      </w:r>
      <w:proofErr w:type="spellStart"/>
      <w:r>
        <w:t>COBITu</w:t>
      </w:r>
      <w:proofErr w:type="spellEnd"/>
      <w:r>
        <w:t xml:space="preserve">: </w:t>
      </w:r>
    </w:p>
    <w:p w14:paraId="46A494A9" w14:textId="77777777" w:rsidR="00C72CC5" w:rsidRPr="00C72CC5" w:rsidRDefault="00000000" w:rsidP="00C72CC5">
      <w:pPr>
        <w:numPr>
          <w:ilvl w:val="1"/>
          <w:numId w:val="3"/>
        </w:numPr>
        <w:spacing w:line="240" w:lineRule="auto"/>
        <w:ind w:right="1758" w:hanging="360"/>
      </w:pPr>
      <w:r>
        <w:t>Uspokojení potřeb zainteresovaných stran</w:t>
      </w:r>
    </w:p>
    <w:p w14:paraId="4836821D" w14:textId="77777777" w:rsidR="00C72CC5" w:rsidRPr="00C72CC5" w:rsidRDefault="00000000" w:rsidP="00C72CC5">
      <w:pPr>
        <w:numPr>
          <w:ilvl w:val="1"/>
          <w:numId w:val="3"/>
        </w:numPr>
        <w:spacing w:line="240" w:lineRule="auto"/>
        <w:ind w:right="1758" w:hanging="360"/>
      </w:pPr>
      <w:r>
        <w:t>Pokrytí celého podniku</w:t>
      </w:r>
    </w:p>
    <w:p w14:paraId="7C59E4E6" w14:textId="77777777" w:rsidR="00C72CC5" w:rsidRPr="00C72CC5" w:rsidRDefault="00000000" w:rsidP="00C72CC5">
      <w:pPr>
        <w:numPr>
          <w:ilvl w:val="1"/>
          <w:numId w:val="3"/>
        </w:numPr>
        <w:spacing w:line="240" w:lineRule="auto"/>
        <w:ind w:right="1758" w:hanging="360"/>
      </w:pPr>
      <w:r>
        <w:t>Použití jednoho integrovaného rámce</w:t>
      </w:r>
    </w:p>
    <w:p w14:paraId="1886A444" w14:textId="6CB1CEDD" w:rsidR="00C76DFE" w:rsidRDefault="00000000" w:rsidP="00C72CC5">
      <w:pPr>
        <w:numPr>
          <w:ilvl w:val="1"/>
          <w:numId w:val="3"/>
        </w:numPr>
        <w:spacing w:line="240" w:lineRule="auto"/>
        <w:ind w:right="1758" w:hanging="360"/>
      </w:pPr>
      <w:r>
        <w:t xml:space="preserve">Umožnění holistického přístupu </w:t>
      </w:r>
    </w:p>
    <w:p w14:paraId="0058715D" w14:textId="77777777" w:rsidR="00C76DFE" w:rsidRDefault="00000000" w:rsidP="00C72CC5">
      <w:pPr>
        <w:numPr>
          <w:ilvl w:val="1"/>
          <w:numId w:val="3"/>
        </w:numPr>
        <w:spacing w:after="175" w:line="240" w:lineRule="auto"/>
        <w:ind w:right="1758" w:hanging="360"/>
      </w:pPr>
      <w:r>
        <w:t xml:space="preserve">Oddělení správy (dohlížení) od řízení (dělání změn) </w:t>
      </w:r>
    </w:p>
    <w:p w14:paraId="5C01BA26" w14:textId="44EC7DD8" w:rsidR="00406085" w:rsidRDefault="00000000" w:rsidP="00C72CC5">
      <w:pPr>
        <w:spacing w:after="0" w:line="240" w:lineRule="auto"/>
        <w:ind w:left="0" w:firstLine="0"/>
      </w:pPr>
      <w:r>
        <w:t xml:space="preserve"> </w:t>
      </w:r>
      <w:r>
        <w:tab/>
        <w:t xml:space="preserve"> </w:t>
      </w:r>
    </w:p>
    <w:p w14:paraId="282595B1" w14:textId="003A34DB" w:rsidR="00C76DFE" w:rsidRDefault="00406085" w:rsidP="00406085">
      <w:pPr>
        <w:spacing w:after="160" w:line="278" w:lineRule="auto"/>
        <w:ind w:left="0" w:firstLine="0"/>
      </w:pPr>
      <w:r>
        <w:br w:type="page"/>
      </w:r>
    </w:p>
    <w:p w14:paraId="494F3AF1" w14:textId="77777777" w:rsidR="00C76DFE" w:rsidRDefault="00000000" w:rsidP="00C72CC5">
      <w:pPr>
        <w:pStyle w:val="Heading1"/>
        <w:spacing w:line="240" w:lineRule="auto"/>
        <w:ind w:left="-5"/>
      </w:pPr>
      <w:r>
        <w:lastRenderedPageBreak/>
        <w:t>ITIL (</w:t>
      </w:r>
      <w:proofErr w:type="spellStart"/>
      <w:r>
        <w:t>Information</w:t>
      </w:r>
      <w:proofErr w:type="spellEnd"/>
      <w:r>
        <w:t xml:space="preserve"> Technology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</w:t>
      </w:r>
    </w:p>
    <w:p w14:paraId="7F95106E" w14:textId="77777777" w:rsidR="00C76DFE" w:rsidRDefault="00000000" w:rsidP="00C72CC5">
      <w:pPr>
        <w:numPr>
          <w:ilvl w:val="0"/>
          <w:numId w:val="4"/>
        </w:numPr>
        <w:spacing w:line="240" w:lineRule="auto"/>
        <w:ind w:hanging="360"/>
      </w:pPr>
      <w:r>
        <w:t>Je sada knižních publikací, která obsahuje sbírku nejlepších zkušeností (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</w:t>
      </w:r>
      <w:proofErr w:type="spellEnd"/>
      <w:r>
        <w:t xml:space="preserve">) z oboru řízení informačních technologií. </w:t>
      </w:r>
    </w:p>
    <w:p w14:paraId="14A446D9" w14:textId="77777777" w:rsidR="00C76DFE" w:rsidRDefault="00000000" w:rsidP="00C72CC5">
      <w:pPr>
        <w:numPr>
          <w:ilvl w:val="0"/>
          <w:numId w:val="4"/>
        </w:numPr>
        <w:spacing w:line="240" w:lineRule="auto"/>
        <w:ind w:hanging="360"/>
      </w:pPr>
      <w:r>
        <w:t xml:space="preserve">Best </w:t>
      </w:r>
      <w:proofErr w:type="spellStart"/>
      <w:r>
        <w:t>practise</w:t>
      </w:r>
      <w:proofErr w:type="spellEnd"/>
      <w:r>
        <w:t xml:space="preserve">: SWOT, SMART, SLA, </w:t>
      </w:r>
      <w:proofErr w:type="spellStart"/>
      <w:r>
        <w:t>Lewinův</w:t>
      </w:r>
      <w:proofErr w:type="spellEnd"/>
      <w:r>
        <w:t xml:space="preserve"> model, 4P </w:t>
      </w:r>
    </w:p>
    <w:p w14:paraId="7D3EA21C" w14:textId="77777777" w:rsidR="00C76DFE" w:rsidRDefault="00000000" w:rsidP="00C72CC5">
      <w:pPr>
        <w:numPr>
          <w:ilvl w:val="0"/>
          <w:numId w:val="4"/>
        </w:numPr>
        <w:spacing w:line="240" w:lineRule="auto"/>
        <w:ind w:hanging="360"/>
      </w:pPr>
      <w:r>
        <w:t xml:space="preserve">Kopíruje životní cyklus Informačního Systému </w:t>
      </w:r>
    </w:p>
    <w:p w14:paraId="66DDFD9C" w14:textId="77777777" w:rsidR="00C76DFE" w:rsidRDefault="00000000" w:rsidP="00C72CC5">
      <w:pPr>
        <w:numPr>
          <w:ilvl w:val="0"/>
          <w:numId w:val="4"/>
        </w:numPr>
        <w:spacing w:line="240" w:lineRule="auto"/>
        <w:ind w:hanging="360"/>
      </w:pPr>
      <w:r>
        <w:t xml:space="preserve">Pro střední a vyšší managment </w:t>
      </w:r>
    </w:p>
    <w:p w14:paraId="6D574A2C" w14:textId="77777777" w:rsidR="00C76DFE" w:rsidRDefault="00000000" w:rsidP="00C72CC5">
      <w:pPr>
        <w:numPr>
          <w:ilvl w:val="0"/>
          <w:numId w:val="4"/>
        </w:numPr>
        <w:spacing w:after="0" w:line="240" w:lineRule="auto"/>
        <w:ind w:hanging="360"/>
      </w:pPr>
      <w:r>
        <w:t xml:space="preserve">Obsahuje pět základních publikací: </w:t>
      </w:r>
    </w:p>
    <w:p w14:paraId="48C56788" w14:textId="77777777" w:rsidR="00C76DFE" w:rsidRDefault="00000000" w:rsidP="00C72CC5">
      <w:pPr>
        <w:numPr>
          <w:ilvl w:val="1"/>
          <w:numId w:val="4"/>
        </w:numPr>
        <w:spacing w:line="240" w:lineRule="auto"/>
        <w:ind w:hanging="360"/>
      </w:pPr>
      <w:r w:rsidRPr="00C72CC5">
        <w:rPr>
          <w:b/>
          <w:bCs/>
        </w:rPr>
        <w:t>SS (</w:t>
      </w:r>
      <w:proofErr w:type="spellStart"/>
      <w:r w:rsidRPr="00C72CC5">
        <w:rPr>
          <w:b/>
          <w:bCs/>
        </w:rPr>
        <w:t>Service</w:t>
      </w:r>
      <w:proofErr w:type="spellEnd"/>
      <w:r w:rsidRPr="00C72CC5">
        <w:rPr>
          <w:b/>
          <w:bCs/>
        </w:rPr>
        <w:t xml:space="preserve"> </w:t>
      </w:r>
      <w:proofErr w:type="spellStart"/>
      <w:r w:rsidRPr="00C72CC5">
        <w:rPr>
          <w:b/>
          <w:bCs/>
        </w:rPr>
        <w:t>Strategy</w:t>
      </w:r>
      <w:proofErr w:type="spellEnd"/>
      <w:r w:rsidRPr="00C72CC5">
        <w:rPr>
          <w:b/>
          <w:bCs/>
        </w:rPr>
        <w:t>, strategie služeb)</w:t>
      </w:r>
      <w:r>
        <w:t xml:space="preserve"> – komplexní plán, jak a jakého cíle chce podnik dosáhnout </w:t>
      </w:r>
    </w:p>
    <w:p w14:paraId="58219576" w14:textId="77777777" w:rsidR="00C76DFE" w:rsidRDefault="00000000" w:rsidP="00C72CC5">
      <w:pPr>
        <w:numPr>
          <w:ilvl w:val="1"/>
          <w:numId w:val="4"/>
        </w:numPr>
        <w:spacing w:line="240" w:lineRule="auto"/>
        <w:ind w:hanging="360"/>
      </w:pPr>
      <w:r w:rsidRPr="00C72CC5">
        <w:rPr>
          <w:b/>
          <w:bCs/>
        </w:rPr>
        <w:t>SD (</w:t>
      </w:r>
      <w:proofErr w:type="spellStart"/>
      <w:r w:rsidRPr="00C72CC5">
        <w:rPr>
          <w:b/>
          <w:bCs/>
        </w:rPr>
        <w:t>Service</w:t>
      </w:r>
      <w:proofErr w:type="spellEnd"/>
      <w:r w:rsidRPr="00C72CC5">
        <w:rPr>
          <w:b/>
          <w:bCs/>
        </w:rPr>
        <w:t xml:space="preserve"> Design, návrh služeb)</w:t>
      </w:r>
      <w:r>
        <w:t xml:space="preserve"> – plán integrace služby, popisuje, jakým způsobem budou služby integrovány pro dosažení podnikového cíle </w:t>
      </w:r>
    </w:p>
    <w:p w14:paraId="1B6FAD88" w14:textId="77777777" w:rsidR="00C76DFE" w:rsidRDefault="00000000" w:rsidP="00C72CC5">
      <w:pPr>
        <w:numPr>
          <w:ilvl w:val="1"/>
          <w:numId w:val="4"/>
        </w:numPr>
        <w:spacing w:line="240" w:lineRule="auto"/>
        <w:ind w:hanging="360"/>
      </w:pPr>
      <w:r w:rsidRPr="00C72CC5">
        <w:rPr>
          <w:b/>
          <w:bCs/>
        </w:rPr>
        <w:t>ST (</w:t>
      </w:r>
      <w:proofErr w:type="spellStart"/>
      <w:r w:rsidRPr="00C72CC5">
        <w:rPr>
          <w:b/>
          <w:bCs/>
        </w:rPr>
        <w:t>Service</w:t>
      </w:r>
      <w:proofErr w:type="spellEnd"/>
      <w:r w:rsidRPr="00C72CC5">
        <w:rPr>
          <w:b/>
          <w:bCs/>
        </w:rPr>
        <w:t xml:space="preserve"> </w:t>
      </w:r>
      <w:proofErr w:type="spellStart"/>
      <w:r w:rsidRPr="00C72CC5">
        <w:rPr>
          <w:b/>
          <w:bCs/>
        </w:rPr>
        <w:t>Transition</w:t>
      </w:r>
      <w:proofErr w:type="spellEnd"/>
      <w:r w:rsidRPr="00C72CC5">
        <w:rPr>
          <w:b/>
          <w:bCs/>
        </w:rPr>
        <w:t>, přechod služeb)</w:t>
      </w:r>
      <w:r>
        <w:t xml:space="preserve"> – proces plánování a podpory přechodu služeb do provozu podniku (převedení z teorie do praxe) </w:t>
      </w:r>
    </w:p>
    <w:p w14:paraId="2660EFD5" w14:textId="77777777" w:rsidR="00C76DFE" w:rsidRDefault="00000000" w:rsidP="00C72CC5">
      <w:pPr>
        <w:numPr>
          <w:ilvl w:val="1"/>
          <w:numId w:val="4"/>
        </w:numPr>
        <w:spacing w:line="240" w:lineRule="auto"/>
        <w:ind w:hanging="360"/>
      </w:pPr>
      <w:r w:rsidRPr="00C72CC5">
        <w:rPr>
          <w:b/>
          <w:bCs/>
        </w:rPr>
        <w:t>SO (</w:t>
      </w:r>
      <w:proofErr w:type="spellStart"/>
      <w:r w:rsidRPr="00C72CC5">
        <w:rPr>
          <w:b/>
          <w:bCs/>
        </w:rPr>
        <w:t>Service</w:t>
      </w:r>
      <w:proofErr w:type="spellEnd"/>
      <w:r w:rsidRPr="00C72CC5">
        <w:rPr>
          <w:b/>
          <w:bCs/>
        </w:rPr>
        <w:t xml:space="preserve"> </w:t>
      </w:r>
      <w:proofErr w:type="spellStart"/>
      <w:r w:rsidRPr="00C72CC5">
        <w:rPr>
          <w:b/>
          <w:bCs/>
        </w:rPr>
        <w:t>Operation</w:t>
      </w:r>
      <w:proofErr w:type="spellEnd"/>
      <w:r w:rsidRPr="00C72CC5">
        <w:rPr>
          <w:b/>
          <w:bCs/>
        </w:rPr>
        <w:t>, provoz služeb)</w:t>
      </w:r>
      <w:r>
        <w:t xml:space="preserve"> – komplexní program zajištění stability služeb </w:t>
      </w:r>
    </w:p>
    <w:p w14:paraId="6FDD8569" w14:textId="77777777" w:rsidR="00C76DFE" w:rsidRDefault="00000000" w:rsidP="00C72CC5">
      <w:pPr>
        <w:numPr>
          <w:ilvl w:val="1"/>
          <w:numId w:val="4"/>
        </w:numPr>
        <w:spacing w:line="240" w:lineRule="auto"/>
        <w:ind w:hanging="360"/>
      </w:pPr>
      <w:r w:rsidRPr="00C72CC5">
        <w:rPr>
          <w:b/>
          <w:bCs/>
        </w:rPr>
        <w:t>CSI (</w:t>
      </w:r>
      <w:proofErr w:type="spellStart"/>
      <w:r w:rsidRPr="00C72CC5">
        <w:rPr>
          <w:b/>
          <w:bCs/>
        </w:rPr>
        <w:t>Continual</w:t>
      </w:r>
      <w:proofErr w:type="spellEnd"/>
      <w:r w:rsidRPr="00C72CC5">
        <w:rPr>
          <w:b/>
          <w:bCs/>
        </w:rPr>
        <w:t xml:space="preserve"> </w:t>
      </w:r>
      <w:proofErr w:type="spellStart"/>
      <w:r w:rsidRPr="00C72CC5">
        <w:rPr>
          <w:b/>
          <w:bCs/>
        </w:rPr>
        <w:t>Service</w:t>
      </w:r>
      <w:proofErr w:type="spellEnd"/>
      <w:r w:rsidRPr="00C72CC5">
        <w:rPr>
          <w:b/>
          <w:bCs/>
        </w:rPr>
        <w:t xml:space="preserve"> </w:t>
      </w:r>
      <w:proofErr w:type="spellStart"/>
      <w:r w:rsidRPr="00C72CC5">
        <w:rPr>
          <w:b/>
          <w:bCs/>
        </w:rPr>
        <w:t>Improvement</w:t>
      </w:r>
      <w:proofErr w:type="spellEnd"/>
      <w:r w:rsidRPr="00C72CC5">
        <w:rPr>
          <w:b/>
          <w:bCs/>
        </w:rPr>
        <w:t>, neustálé zlepšování služeb)</w:t>
      </w:r>
      <w:r>
        <w:t xml:space="preserve"> – reakce na měnící se požadavky a průběžná optimalizace služeb IT </w:t>
      </w:r>
    </w:p>
    <w:p w14:paraId="2053EE7B" w14:textId="77777777" w:rsidR="00C76DFE" w:rsidRDefault="00000000" w:rsidP="00C72CC5">
      <w:pPr>
        <w:numPr>
          <w:ilvl w:val="0"/>
          <w:numId w:val="4"/>
        </w:numPr>
        <w:spacing w:after="0" w:line="240" w:lineRule="auto"/>
        <w:ind w:hanging="360"/>
      </w:pPr>
      <w:r>
        <w:t xml:space="preserve">Cílem: </w:t>
      </w:r>
    </w:p>
    <w:p w14:paraId="4EF0965C" w14:textId="480147B4" w:rsidR="00C76DFE" w:rsidRDefault="00000000" w:rsidP="00C72CC5">
      <w:pPr>
        <w:numPr>
          <w:ilvl w:val="1"/>
          <w:numId w:val="5"/>
        </w:numPr>
        <w:spacing w:line="240" w:lineRule="auto"/>
        <w:ind w:right="143" w:hanging="360"/>
      </w:pPr>
      <w:r>
        <w:t xml:space="preserve">Snížit </w:t>
      </w:r>
      <w:r w:rsidR="00C72CC5">
        <w:t>náklady,</w:t>
      </w:r>
      <w:r>
        <w:t xml:space="preserve"> a to nejen v oblasti ICT a IS </w:t>
      </w:r>
    </w:p>
    <w:p w14:paraId="6F331812" w14:textId="77777777" w:rsidR="00C72CC5" w:rsidRDefault="00000000" w:rsidP="00C72CC5">
      <w:pPr>
        <w:numPr>
          <w:ilvl w:val="1"/>
          <w:numId w:val="5"/>
        </w:numPr>
        <w:spacing w:line="240" w:lineRule="auto"/>
        <w:ind w:right="143" w:hanging="360"/>
      </w:pPr>
      <w:r>
        <w:t xml:space="preserve">Zlepšit spokojenost zákazníků prostřednictvím profesionálního přístupu k poskytování služeb </w:t>
      </w:r>
    </w:p>
    <w:p w14:paraId="6E0F5CB0" w14:textId="7DE9035E" w:rsidR="00C76DFE" w:rsidRDefault="00000000" w:rsidP="00C72CC5">
      <w:pPr>
        <w:numPr>
          <w:ilvl w:val="1"/>
          <w:numId w:val="5"/>
        </w:numPr>
        <w:spacing w:line="240" w:lineRule="auto"/>
        <w:ind w:right="143" w:hanging="360"/>
      </w:pPr>
      <w:r>
        <w:t xml:space="preserve">Zvýšit produktivitu výrobních a řídících procesů </w:t>
      </w:r>
    </w:p>
    <w:p w14:paraId="40234257" w14:textId="77777777" w:rsidR="00C72CC5" w:rsidRDefault="00000000" w:rsidP="00C72CC5">
      <w:pPr>
        <w:numPr>
          <w:ilvl w:val="1"/>
          <w:numId w:val="5"/>
        </w:numPr>
        <w:spacing w:after="0" w:line="276" w:lineRule="auto"/>
        <w:ind w:right="143" w:hanging="360"/>
      </w:pPr>
      <w:r>
        <w:t>Lepší využití dovedností a zkušeností zaměstnanců i externích dodavatelů</w:t>
      </w:r>
    </w:p>
    <w:p w14:paraId="5E63B79C" w14:textId="0D2ADB14" w:rsidR="00C76DFE" w:rsidRDefault="00000000" w:rsidP="00C72CC5">
      <w:pPr>
        <w:numPr>
          <w:ilvl w:val="1"/>
          <w:numId w:val="5"/>
        </w:numPr>
        <w:spacing w:after="0" w:line="276" w:lineRule="auto"/>
        <w:ind w:right="143" w:hanging="360"/>
      </w:pPr>
      <w:r>
        <w:t xml:space="preserve">Zlepšit poskytování služeb třetí stranou (outsourcing, cloud, …) </w:t>
      </w:r>
    </w:p>
    <w:p w14:paraId="3287B643" w14:textId="77777777" w:rsidR="00C76DFE" w:rsidRDefault="00000000" w:rsidP="00C72CC5">
      <w:pPr>
        <w:spacing w:after="162" w:line="240" w:lineRule="auto"/>
        <w:ind w:left="0" w:firstLine="0"/>
      </w:pPr>
      <w:r>
        <w:rPr>
          <w:sz w:val="32"/>
        </w:rPr>
        <w:t xml:space="preserve"> </w:t>
      </w:r>
    </w:p>
    <w:p w14:paraId="1B67F2F9" w14:textId="77777777" w:rsidR="00C76DFE" w:rsidRDefault="00000000" w:rsidP="00C72CC5">
      <w:pPr>
        <w:pStyle w:val="Heading1"/>
        <w:spacing w:line="240" w:lineRule="auto"/>
        <w:ind w:left="-5"/>
      </w:pPr>
      <w:r>
        <w:t>CSF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) </w:t>
      </w:r>
    </w:p>
    <w:p w14:paraId="7DE0EAA2" w14:textId="45D79A03" w:rsidR="00C76DFE" w:rsidRDefault="00000000" w:rsidP="00C72CC5">
      <w:pPr>
        <w:numPr>
          <w:ilvl w:val="0"/>
          <w:numId w:val="6"/>
        </w:numPr>
        <w:spacing w:line="240" w:lineRule="auto"/>
        <w:ind w:hanging="360"/>
      </w:pPr>
      <w:r>
        <w:t xml:space="preserve">Definování kritických faktorů úspěchů, jsou pro každý subjekt podnikání omezený počet oblastí, ve kterých </w:t>
      </w:r>
      <w:r w:rsidR="00C72CC5">
        <w:t>výsledek,</w:t>
      </w:r>
      <w:r>
        <w:t xml:space="preserve"> pokud uspokojí zajistí úspěšnou činnost podniku v konkurenčním prostředí </w:t>
      </w:r>
    </w:p>
    <w:p w14:paraId="38964130" w14:textId="77777777" w:rsidR="00C76DFE" w:rsidRDefault="00000000" w:rsidP="00C72CC5">
      <w:pPr>
        <w:numPr>
          <w:ilvl w:val="0"/>
          <w:numId w:val="6"/>
        </w:numPr>
        <w:spacing w:after="0" w:line="240" w:lineRule="auto"/>
        <w:ind w:hanging="360"/>
      </w:pPr>
      <w:r>
        <w:t xml:space="preserve">Na hlavní charakteristiky CSF lze často aplikovat SMART: </w:t>
      </w:r>
    </w:p>
    <w:p w14:paraId="79A87932" w14:textId="77777777" w:rsidR="00C72CC5" w:rsidRDefault="00000000" w:rsidP="00A17976">
      <w:pPr>
        <w:numPr>
          <w:ilvl w:val="1"/>
          <w:numId w:val="6"/>
        </w:numPr>
        <w:spacing w:line="240" w:lineRule="auto"/>
        <w:ind w:right="-285" w:hanging="360"/>
      </w:pPr>
      <w:r w:rsidRPr="00C72CC5">
        <w:rPr>
          <w:b/>
          <w:bCs/>
        </w:rPr>
        <w:t>S (</w:t>
      </w:r>
      <w:proofErr w:type="spellStart"/>
      <w:r w:rsidRPr="00C72CC5">
        <w:rPr>
          <w:b/>
          <w:bCs/>
        </w:rPr>
        <w:t>Specific</w:t>
      </w:r>
      <w:proofErr w:type="spellEnd"/>
      <w:r w:rsidRPr="00C72CC5">
        <w:rPr>
          <w:b/>
          <w:bCs/>
        </w:rPr>
        <w:t>, specifické)</w:t>
      </w:r>
      <w:r>
        <w:t xml:space="preserve"> – v souladu s posláním mají vztahy ke konkrétní činnosti</w:t>
      </w:r>
    </w:p>
    <w:p w14:paraId="5E14EB57" w14:textId="77777777" w:rsidR="00C72CC5" w:rsidRPr="00C72CC5" w:rsidRDefault="00000000" w:rsidP="00A17976">
      <w:pPr>
        <w:numPr>
          <w:ilvl w:val="1"/>
          <w:numId w:val="6"/>
        </w:numPr>
        <w:spacing w:line="240" w:lineRule="auto"/>
        <w:ind w:right="-285" w:hanging="360"/>
      </w:pPr>
      <w:r w:rsidRPr="00C72CC5">
        <w:rPr>
          <w:b/>
          <w:bCs/>
        </w:rPr>
        <w:t>M (</w:t>
      </w:r>
      <w:proofErr w:type="spellStart"/>
      <w:r w:rsidRPr="00C72CC5">
        <w:rPr>
          <w:b/>
          <w:bCs/>
        </w:rPr>
        <w:t>Measurable</w:t>
      </w:r>
      <w:proofErr w:type="spellEnd"/>
      <w:r w:rsidRPr="00C72CC5">
        <w:rPr>
          <w:b/>
          <w:bCs/>
        </w:rPr>
        <w:t>, měřitelné)</w:t>
      </w:r>
      <w:r>
        <w:t xml:space="preserve"> – definováno metrikami, například: ROI, TBO, … </w:t>
      </w:r>
    </w:p>
    <w:p w14:paraId="774F9D7C" w14:textId="3FDEB6BB" w:rsidR="00C76DFE" w:rsidRDefault="00000000" w:rsidP="00A17976">
      <w:pPr>
        <w:numPr>
          <w:ilvl w:val="1"/>
          <w:numId w:val="6"/>
        </w:numPr>
        <w:spacing w:line="240" w:lineRule="auto"/>
        <w:ind w:right="-285" w:hanging="360"/>
      </w:pPr>
      <w:r w:rsidRPr="00C72CC5">
        <w:rPr>
          <w:b/>
          <w:bCs/>
        </w:rPr>
        <w:t>A (</w:t>
      </w:r>
      <w:proofErr w:type="spellStart"/>
      <w:r w:rsidRPr="00C72CC5">
        <w:rPr>
          <w:b/>
          <w:bCs/>
        </w:rPr>
        <w:t>Appropiate</w:t>
      </w:r>
      <w:proofErr w:type="spellEnd"/>
      <w:r w:rsidRPr="00C72CC5">
        <w:rPr>
          <w:b/>
          <w:bCs/>
        </w:rPr>
        <w:t>, akceptovatelné)</w:t>
      </w:r>
      <w:r>
        <w:t xml:space="preserve"> – dosažitelné v souladu se zjištěnými potřebami </w:t>
      </w:r>
    </w:p>
    <w:p w14:paraId="7FC5B0C2" w14:textId="77777777" w:rsidR="00E45F71" w:rsidRDefault="00000000" w:rsidP="00F32B8A">
      <w:pPr>
        <w:numPr>
          <w:ilvl w:val="1"/>
          <w:numId w:val="6"/>
        </w:numPr>
        <w:spacing w:after="0" w:line="276" w:lineRule="auto"/>
        <w:ind w:right="-285" w:hanging="360"/>
      </w:pPr>
      <w:r w:rsidRPr="00C72CC5">
        <w:rPr>
          <w:b/>
          <w:bCs/>
        </w:rPr>
        <w:t>R (</w:t>
      </w:r>
      <w:proofErr w:type="spellStart"/>
      <w:r w:rsidRPr="00C72CC5">
        <w:rPr>
          <w:b/>
          <w:bCs/>
        </w:rPr>
        <w:t>Realistic</w:t>
      </w:r>
      <w:proofErr w:type="spellEnd"/>
      <w:r w:rsidRPr="00C72CC5">
        <w:rPr>
          <w:b/>
          <w:bCs/>
        </w:rPr>
        <w:t>, realizovatelný)</w:t>
      </w:r>
      <w:r>
        <w:t xml:space="preserve"> – šance účastníků, aby dosáhly cíle </w:t>
      </w:r>
    </w:p>
    <w:p w14:paraId="0B84F050" w14:textId="4C990683" w:rsidR="00C76DFE" w:rsidRDefault="00000000" w:rsidP="00F32B8A">
      <w:pPr>
        <w:numPr>
          <w:ilvl w:val="1"/>
          <w:numId w:val="6"/>
        </w:numPr>
        <w:spacing w:after="0" w:line="276" w:lineRule="auto"/>
        <w:ind w:right="-285" w:hanging="360"/>
      </w:pPr>
      <w:r w:rsidRPr="00E45F71">
        <w:rPr>
          <w:b/>
          <w:bCs/>
        </w:rPr>
        <w:t>T (</w:t>
      </w:r>
      <w:proofErr w:type="spellStart"/>
      <w:r w:rsidRPr="00E45F71">
        <w:rPr>
          <w:b/>
          <w:bCs/>
        </w:rPr>
        <w:t>Timed</w:t>
      </w:r>
      <w:proofErr w:type="spellEnd"/>
      <w:r w:rsidRPr="00E45F71">
        <w:rPr>
          <w:b/>
          <w:bCs/>
        </w:rPr>
        <w:t>, termínovaný)</w:t>
      </w:r>
      <w:r>
        <w:t xml:space="preserve"> – splnění cílů v naplánovaném časovém období</w:t>
      </w:r>
    </w:p>
    <w:p w14:paraId="0603E09E" w14:textId="77777777" w:rsidR="00C76DFE" w:rsidRDefault="00000000" w:rsidP="00C72CC5">
      <w:pPr>
        <w:numPr>
          <w:ilvl w:val="0"/>
          <w:numId w:val="6"/>
        </w:numPr>
        <w:spacing w:after="0" w:line="240" w:lineRule="auto"/>
        <w:ind w:hanging="360"/>
      </w:pPr>
      <w:r>
        <w:t xml:space="preserve">Definice procesů: </w:t>
      </w:r>
    </w:p>
    <w:p w14:paraId="5DCCBFAD" w14:textId="77777777" w:rsidR="00C76DFE" w:rsidRDefault="00000000" w:rsidP="00C72CC5">
      <w:pPr>
        <w:numPr>
          <w:ilvl w:val="1"/>
          <w:numId w:val="6"/>
        </w:numPr>
        <w:spacing w:line="240" w:lineRule="auto"/>
        <w:ind w:hanging="360"/>
      </w:pPr>
      <w:r>
        <w:t xml:space="preserve">Stanovení podnikových procesů </w:t>
      </w:r>
    </w:p>
    <w:p w14:paraId="12E2251E" w14:textId="77777777" w:rsidR="00C76DFE" w:rsidRDefault="00000000" w:rsidP="00C72CC5">
      <w:pPr>
        <w:numPr>
          <w:ilvl w:val="1"/>
          <w:numId w:val="6"/>
        </w:numPr>
        <w:spacing w:line="240" w:lineRule="auto"/>
        <w:ind w:hanging="360"/>
      </w:pPr>
      <w:r>
        <w:t xml:space="preserve">Proces je soubor na sebe navazujících transakcí (dílčích aktivit), které z definovaných vstupů v jedné nebo více alternativách, vytváří požadované výstupy s měřitelnými charakteristikami </w:t>
      </w:r>
    </w:p>
    <w:p w14:paraId="2FFBF4F7" w14:textId="780374BB" w:rsidR="00C76DFE" w:rsidRDefault="00000000" w:rsidP="00E45F71">
      <w:pPr>
        <w:numPr>
          <w:ilvl w:val="1"/>
          <w:numId w:val="6"/>
        </w:numPr>
        <w:spacing w:after="49" w:line="240" w:lineRule="auto"/>
        <w:ind w:hanging="360"/>
      </w:pPr>
      <w:r>
        <w:t xml:space="preserve">Proces během svého průběhu spotřebovává firemní zdroje </w:t>
      </w:r>
      <w:r w:rsidR="00406085">
        <w:br w:type="page"/>
      </w:r>
    </w:p>
    <w:p w14:paraId="65B6FCBB" w14:textId="77777777" w:rsidR="00C76DFE" w:rsidRDefault="00000000" w:rsidP="00C72CC5">
      <w:pPr>
        <w:numPr>
          <w:ilvl w:val="0"/>
          <w:numId w:val="6"/>
        </w:numPr>
        <w:spacing w:after="0" w:line="240" w:lineRule="auto"/>
        <w:ind w:hanging="360"/>
      </w:pPr>
      <w:r>
        <w:lastRenderedPageBreak/>
        <w:t xml:space="preserve">Kvalita procesů: </w:t>
      </w:r>
    </w:p>
    <w:p w14:paraId="380A6FAB" w14:textId="77777777" w:rsidR="00C76DFE" w:rsidRDefault="00000000" w:rsidP="00C72CC5">
      <w:pPr>
        <w:numPr>
          <w:ilvl w:val="1"/>
          <w:numId w:val="8"/>
        </w:numPr>
        <w:spacing w:line="240" w:lineRule="auto"/>
        <w:ind w:firstLine="720"/>
      </w:pPr>
      <w:r>
        <w:t xml:space="preserve">– proces nepotřebuje zlepšení je dokonalý </w:t>
      </w:r>
    </w:p>
    <w:p w14:paraId="036AD5E1" w14:textId="77777777" w:rsidR="00C76DFE" w:rsidRDefault="00000000" w:rsidP="00C72CC5">
      <w:pPr>
        <w:numPr>
          <w:ilvl w:val="1"/>
          <w:numId w:val="8"/>
        </w:numPr>
        <w:spacing w:line="240" w:lineRule="auto"/>
        <w:ind w:firstLine="720"/>
      </w:pPr>
      <w:r>
        <w:t xml:space="preserve">– proces je prováděn dobře, ale jsou potřeba drobné úpravy </w:t>
      </w:r>
    </w:p>
    <w:p w14:paraId="349BDBA6" w14:textId="77777777" w:rsidR="00C76DFE" w:rsidRDefault="00000000" w:rsidP="00C72CC5">
      <w:pPr>
        <w:numPr>
          <w:ilvl w:val="1"/>
          <w:numId w:val="8"/>
        </w:numPr>
        <w:spacing w:line="240" w:lineRule="auto"/>
        <w:ind w:firstLine="720"/>
      </w:pPr>
      <w:r>
        <w:t xml:space="preserve">– funkce je zajištěna, ale chce to vylepšit </w:t>
      </w:r>
    </w:p>
    <w:p w14:paraId="5A465103" w14:textId="77777777" w:rsidR="00C76DFE" w:rsidRDefault="00000000" w:rsidP="00C72CC5">
      <w:pPr>
        <w:numPr>
          <w:ilvl w:val="1"/>
          <w:numId w:val="8"/>
        </w:numPr>
        <w:spacing w:after="41" w:line="240" w:lineRule="auto"/>
        <w:ind w:firstLine="720"/>
      </w:pPr>
      <w:r>
        <w:t xml:space="preserve">– proces byl zaveden, ale nefunguje </w:t>
      </w:r>
    </w:p>
    <w:p w14:paraId="5A1ACFCD" w14:textId="77777777" w:rsidR="00C72CC5" w:rsidRDefault="00000000" w:rsidP="00C72CC5">
      <w:pPr>
        <w:numPr>
          <w:ilvl w:val="1"/>
          <w:numId w:val="8"/>
        </w:numPr>
        <w:spacing w:line="240" w:lineRule="auto"/>
        <w:ind w:firstLine="720"/>
      </w:pPr>
      <w:r>
        <w:t xml:space="preserve">– proces teprve zavádíme </w:t>
      </w:r>
    </w:p>
    <w:p w14:paraId="569EB488" w14:textId="7D36693F" w:rsidR="00C76DFE" w:rsidRDefault="00000000" w:rsidP="00A17976">
      <w:pPr>
        <w:spacing w:line="240" w:lineRule="auto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A17976">
        <w:rPr>
          <w:rFonts w:ascii="Arial" w:eastAsia="Arial" w:hAnsi="Arial" w:cs="Arial"/>
        </w:rPr>
        <w:tab/>
      </w:r>
      <w:r w:rsidRPr="008A38BA">
        <w:rPr>
          <w:b/>
          <w:bCs/>
        </w:rPr>
        <w:t>Zdroje</w:t>
      </w:r>
      <w:r>
        <w:t xml:space="preserve"> – definují se nějakou částkou </w:t>
      </w:r>
    </w:p>
    <w:p w14:paraId="70BB3A3B" w14:textId="77777777" w:rsidR="00C72CC5" w:rsidRDefault="00000000" w:rsidP="00C72CC5">
      <w:pPr>
        <w:numPr>
          <w:ilvl w:val="0"/>
          <w:numId w:val="6"/>
        </w:numPr>
        <w:spacing w:line="240" w:lineRule="auto"/>
        <w:ind w:hanging="360"/>
      </w:pPr>
      <w:r>
        <w:t xml:space="preserve">Významnost IT: </w:t>
      </w:r>
    </w:p>
    <w:p w14:paraId="2180BA72" w14:textId="26DA8F75" w:rsidR="00C76DFE" w:rsidRDefault="00000000" w:rsidP="00C72CC5">
      <w:pPr>
        <w:spacing w:line="240" w:lineRule="auto"/>
        <w:ind w:left="1410" w:firstLine="345"/>
      </w:pPr>
      <w:r w:rsidRPr="008A38BA">
        <w:rPr>
          <w:b/>
          <w:bCs/>
        </w:rPr>
        <w:t>A</w:t>
      </w:r>
      <w:r>
        <w:t>.</w:t>
      </w:r>
      <w:r w:rsidR="008A38BA">
        <w:t xml:space="preserve"> </w:t>
      </w:r>
      <w:r>
        <w:rPr>
          <w:rFonts w:ascii="Arial" w:eastAsia="Arial" w:hAnsi="Arial" w:cs="Arial"/>
        </w:rPr>
        <w:t xml:space="preserve"> </w:t>
      </w:r>
      <w:r w:rsidR="008A38BA">
        <w:rPr>
          <w:rFonts w:ascii="Arial" w:eastAsia="Arial" w:hAnsi="Arial" w:cs="Arial"/>
        </w:rPr>
        <w:tab/>
      </w:r>
      <w:r>
        <w:t xml:space="preserve">– je výborná </w:t>
      </w:r>
    </w:p>
    <w:p w14:paraId="627D769D" w14:textId="77777777" w:rsidR="00C76DFE" w:rsidRDefault="00000000" w:rsidP="00C72CC5">
      <w:pPr>
        <w:numPr>
          <w:ilvl w:val="1"/>
          <w:numId w:val="7"/>
        </w:numPr>
        <w:spacing w:line="240" w:lineRule="auto"/>
        <w:ind w:left="2115" w:hanging="360"/>
      </w:pPr>
      <w:r>
        <w:t xml:space="preserve">– velmi dobré </w:t>
      </w:r>
    </w:p>
    <w:p w14:paraId="023C3EA7" w14:textId="77777777" w:rsidR="00C76DFE" w:rsidRDefault="00000000" w:rsidP="00C72CC5">
      <w:pPr>
        <w:numPr>
          <w:ilvl w:val="1"/>
          <w:numId w:val="7"/>
        </w:numPr>
        <w:spacing w:line="240" w:lineRule="auto"/>
        <w:ind w:left="2115" w:hanging="360"/>
      </w:pPr>
      <w:r>
        <w:t xml:space="preserve">– dobré </w:t>
      </w:r>
    </w:p>
    <w:p w14:paraId="5C3C496F" w14:textId="77777777" w:rsidR="00C76DFE" w:rsidRDefault="00000000" w:rsidP="00C72CC5">
      <w:pPr>
        <w:numPr>
          <w:ilvl w:val="1"/>
          <w:numId w:val="7"/>
        </w:numPr>
        <w:spacing w:line="240" w:lineRule="auto"/>
        <w:ind w:left="2115" w:hanging="360"/>
      </w:pPr>
      <w:r>
        <w:t xml:space="preserve">– uspokojivé </w:t>
      </w:r>
    </w:p>
    <w:p w14:paraId="0FDA0D15" w14:textId="77777777" w:rsidR="00C76DFE" w:rsidRDefault="00000000" w:rsidP="00C72CC5">
      <w:pPr>
        <w:numPr>
          <w:ilvl w:val="1"/>
          <w:numId w:val="7"/>
        </w:numPr>
        <w:spacing w:line="240" w:lineRule="auto"/>
        <w:ind w:left="2115" w:hanging="360"/>
      </w:pPr>
      <w:r>
        <w:t xml:space="preserve">– nedostatečné </w:t>
      </w:r>
    </w:p>
    <w:p w14:paraId="3B349C5F" w14:textId="77777777" w:rsidR="00C76DFE" w:rsidRDefault="00000000" w:rsidP="00C72CC5">
      <w:pPr>
        <w:numPr>
          <w:ilvl w:val="0"/>
          <w:numId w:val="6"/>
        </w:numPr>
        <w:spacing w:after="0" w:line="240" w:lineRule="auto"/>
        <w:ind w:hanging="360"/>
      </w:pPr>
      <w:r>
        <w:t xml:space="preserve">Příklad kritických faktorů úspěchu: </w:t>
      </w:r>
    </w:p>
    <w:p w14:paraId="6C5FB5C3" w14:textId="77777777" w:rsidR="00C76DFE" w:rsidRPr="00C72CC5" w:rsidRDefault="00000000" w:rsidP="00C72CC5">
      <w:pPr>
        <w:numPr>
          <w:ilvl w:val="1"/>
          <w:numId w:val="6"/>
        </w:numPr>
        <w:spacing w:line="240" w:lineRule="auto"/>
        <w:ind w:hanging="360"/>
        <w:rPr>
          <w:b/>
          <w:bCs/>
        </w:rPr>
      </w:pPr>
      <w:r w:rsidRPr="00C72CC5">
        <w:rPr>
          <w:b/>
          <w:bCs/>
        </w:rPr>
        <w:t xml:space="preserve">Výrobní podnik </w:t>
      </w:r>
    </w:p>
    <w:p w14:paraId="2ECCDE18" w14:textId="77777777" w:rsidR="00C76DFE" w:rsidRDefault="00000000" w:rsidP="00C72CC5">
      <w:pPr>
        <w:numPr>
          <w:ilvl w:val="2"/>
          <w:numId w:val="6"/>
        </w:numPr>
        <w:spacing w:line="240" w:lineRule="auto"/>
        <w:ind w:hanging="361"/>
      </w:pPr>
      <w:r>
        <w:t xml:space="preserve">Cíl: budování konkurenční výhody </w:t>
      </w:r>
    </w:p>
    <w:p w14:paraId="04711A0F" w14:textId="77777777" w:rsidR="00C76DFE" w:rsidRDefault="00000000" w:rsidP="00C72CC5">
      <w:pPr>
        <w:numPr>
          <w:ilvl w:val="2"/>
          <w:numId w:val="6"/>
        </w:numPr>
        <w:spacing w:line="240" w:lineRule="auto"/>
        <w:ind w:hanging="361"/>
      </w:pPr>
      <w:r>
        <w:t xml:space="preserve">CSF: zvýšit sortiment; zkrátit dodací lhůty; zvýšit kvalitu produktů </w:t>
      </w:r>
    </w:p>
    <w:p w14:paraId="0201750A" w14:textId="77777777" w:rsidR="00C76DFE" w:rsidRPr="00C72CC5" w:rsidRDefault="00000000" w:rsidP="00C72CC5">
      <w:pPr>
        <w:numPr>
          <w:ilvl w:val="1"/>
          <w:numId w:val="6"/>
        </w:numPr>
        <w:spacing w:after="41" w:line="240" w:lineRule="auto"/>
        <w:ind w:hanging="360"/>
        <w:rPr>
          <w:b/>
          <w:bCs/>
        </w:rPr>
      </w:pPr>
      <w:r w:rsidRPr="00C72CC5">
        <w:rPr>
          <w:b/>
          <w:bCs/>
        </w:rPr>
        <w:t xml:space="preserve">Nemocnice </w:t>
      </w:r>
    </w:p>
    <w:p w14:paraId="0CF3ADF8" w14:textId="77777777" w:rsidR="00C76DFE" w:rsidRDefault="00000000" w:rsidP="00C72CC5">
      <w:pPr>
        <w:numPr>
          <w:ilvl w:val="2"/>
          <w:numId w:val="6"/>
        </w:numPr>
        <w:spacing w:line="240" w:lineRule="auto"/>
        <w:ind w:hanging="361"/>
      </w:pPr>
      <w:r>
        <w:t xml:space="preserve">Cíle: excelentní zdravotní péče; soulad se sociálními potřebami </w:t>
      </w:r>
    </w:p>
    <w:p w14:paraId="41A2940C" w14:textId="77777777" w:rsidR="00C72CC5" w:rsidRDefault="00000000" w:rsidP="00C72CC5">
      <w:pPr>
        <w:numPr>
          <w:ilvl w:val="2"/>
          <w:numId w:val="6"/>
        </w:numPr>
        <w:spacing w:line="240" w:lineRule="auto"/>
        <w:ind w:hanging="361"/>
      </w:pPr>
      <w:r>
        <w:t>CSF: napojení IS/IT na všeobecné lékaře; účinné využívaní omezených medicinských zdrojů, zlepšení kontroly nákladů</w:t>
      </w:r>
    </w:p>
    <w:p w14:paraId="7B65B273" w14:textId="4FA9D6CF" w:rsidR="00C76DFE" w:rsidRPr="00C72CC5" w:rsidRDefault="00000000" w:rsidP="00C72CC5">
      <w:pPr>
        <w:numPr>
          <w:ilvl w:val="1"/>
          <w:numId w:val="6"/>
        </w:numPr>
        <w:spacing w:line="240" w:lineRule="auto"/>
        <w:ind w:hanging="361"/>
        <w:rPr>
          <w:b/>
          <w:bCs/>
        </w:rPr>
      </w:pPr>
      <w:r w:rsidRPr="00C72CC5">
        <w:rPr>
          <w:b/>
          <w:bCs/>
        </w:rPr>
        <w:t xml:space="preserve">Supermarketový řetězec: </w:t>
      </w:r>
    </w:p>
    <w:p w14:paraId="077BCED2" w14:textId="77777777" w:rsidR="00C76DFE" w:rsidRDefault="00000000" w:rsidP="00C72CC5">
      <w:pPr>
        <w:numPr>
          <w:ilvl w:val="2"/>
          <w:numId w:val="6"/>
        </w:numPr>
        <w:spacing w:line="240" w:lineRule="auto"/>
        <w:ind w:hanging="361"/>
      </w:pPr>
      <w:r>
        <w:t xml:space="preserve">Cíle: návratnost investic; dividendový výnos; podíl na trhu </w:t>
      </w:r>
    </w:p>
    <w:p w14:paraId="33BA0BF5" w14:textId="77777777" w:rsidR="00C76DFE" w:rsidRDefault="00000000" w:rsidP="00C72CC5">
      <w:pPr>
        <w:numPr>
          <w:ilvl w:val="2"/>
          <w:numId w:val="6"/>
        </w:numPr>
        <w:spacing w:line="240" w:lineRule="auto"/>
        <w:ind w:hanging="361"/>
      </w:pPr>
      <w:r>
        <w:t xml:space="preserve">CSF: pružná cenová politika; vyšší shoda sortimentu s poptávkou; marketingová podpora prodejů </w:t>
      </w:r>
    </w:p>
    <w:p w14:paraId="03697C4A" w14:textId="77777777" w:rsidR="00C76DFE" w:rsidRDefault="00000000" w:rsidP="00C72CC5">
      <w:pPr>
        <w:numPr>
          <w:ilvl w:val="0"/>
          <w:numId w:val="6"/>
        </w:numPr>
        <w:spacing w:after="0" w:line="240" w:lineRule="auto"/>
        <w:ind w:hanging="360"/>
      </w:pPr>
      <w:r>
        <w:t xml:space="preserve">Hodnocení pomocí matice procesů a CSF: </w:t>
      </w:r>
    </w:p>
    <w:p w14:paraId="2B9C9898" w14:textId="5077BCDB" w:rsidR="00A17976" w:rsidRDefault="00A17976" w:rsidP="00A17976">
      <w:pPr>
        <w:spacing w:after="0" w:line="240" w:lineRule="auto"/>
        <w:ind w:left="360" w:firstLine="0"/>
      </w:pPr>
    </w:p>
    <w:tbl>
      <w:tblPr>
        <w:tblStyle w:val="TableGrid"/>
        <w:tblW w:w="9064" w:type="dxa"/>
        <w:tblInd w:w="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512"/>
        <w:gridCol w:w="1510"/>
        <w:gridCol w:w="1510"/>
        <w:gridCol w:w="1512"/>
      </w:tblGrid>
      <w:tr w:rsidR="00C76DFE" w14:paraId="6C44DC41" w14:textId="77777777">
        <w:trPr>
          <w:trHeight w:val="30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E4E6" w14:textId="77777777" w:rsidR="00C76DFE" w:rsidRDefault="00000000" w:rsidP="00C72CC5">
            <w:pPr>
              <w:spacing w:after="0" w:line="240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0002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CSF1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05E6" w14:textId="77777777" w:rsidR="00C76DFE" w:rsidRDefault="00000000" w:rsidP="00C72CC5">
            <w:pPr>
              <w:spacing w:after="0" w:line="240" w:lineRule="auto"/>
              <w:ind w:left="0" w:right="2" w:firstLine="0"/>
              <w:jc w:val="center"/>
            </w:pPr>
            <w:r>
              <w:t xml:space="preserve">CSF2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1E3C" w14:textId="77777777" w:rsidR="00C76DFE" w:rsidRDefault="00000000" w:rsidP="00C72CC5">
            <w:pPr>
              <w:spacing w:after="0" w:line="240" w:lineRule="auto"/>
              <w:ind w:left="0" w:right="4" w:firstLine="0"/>
              <w:jc w:val="center"/>
            </w:pPr>
            <w:r>
              <w:t xml:space="preserve">CSF3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C58A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CSF4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2A48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Celkem </w:t>
            </w:r>
          </w:p>
        </w:tc>
      </w:tr>
      <w:tr w:rsidR="00C76DFE" w14:paraId="371AEC53" w14:textId="77777777">
        <w:trPr>
          <w:trHeight w:val="303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8A1F" w14:textId="77777777" w:rsidR="00C76DFE" w:rsidRDefault="00000000" w:rsidP="00C72CC5">
            <w:pPr>
              <w:spacing w:after="0" w:line="240" w:lineRule="auto"/>
              <w:ind w:left="4" w:firstLine="0"/>
              <w:jc w:val="center"/>
            </w:pPr>
            <w:r>
              <w:t xml:space="preserve">Proces 1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9F4D" w14:textId="77777777" w:rsidR="00C76DFE" w:rsidRDefault="00000000" w:rsidP="00C72CC5">
            <w:pPr>
              <w:spacing w:after="0" w:line="240" w:lineRule="auto"/>
              <w:ind w:left="5" w:firstLine="0"/>
              <w:jc w:val="center"/>
            </w:pPr>
            <w:r>
              <w:t xml:space="preserve">Z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3739" w14:textId="77777777" w:rsidR="00C76DFE" w:rsidRDefault="00000000" w:rsidP="00C72CC5">
            <w:pPr>
              <w:spacing w:after="0" w:line="240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4EEA" w14:textId="77777777" w:rsidR="00C76DFE" w:rsidRDefault="00000000" w:rsidP="00C72CC5">
            <w:pPr>
              <w:spacing w:after="0" w:line="240" w:lineRule="auto"/>
              <w:ind w:left="0" w:right="3" w:firstLine="0"/>
              <w:jc w:val="center"/>
            </w:pPr>
            <w:r>
              <w:t xml:space="preserve">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2C3F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P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1A11" w14:textId="77777777" w:rsidR="00C76DFE" w:rsidRDefault="00000000" w:rsidP="00C72CC5">
            <w:pPr>
              <w:spacing w:after="0" w:line="240" w:lineRule="auto"/>
              <w:ind w:left="1" w:firstLine="0"/>
              <w:jc w:val="center"/>
            </w:pPr>
            <w:r>
              <w:t xml:space="preserve">4 </w:t>
            </w:r>
          </w:p>
        </w:tc>
      </w:tr>
      <w:tr w:rsidR="00C76DFE" w14:paraId="52CC0787" w14:textId="77777777">
        <w:trPr>
          <w:trHeight w:val="30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B8B" w14:textId="77777777" w:rsidR="00C76DFE" w:rsidRDefault="00000000" w:rsidP="00C72CC5">
            <w:pPr>
              <w:spacing w:after="0" w:line="240" w:lineRule="auto"/>
              <w:ind w:left="4" w:firstLine="0"/>
              <w:jc w:val="center"/>
            </w:pPr>
            <w:r>
              <w:t xml:space="preserve">Proces 2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0098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P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C3E7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Z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31FC" w14:textId="77777777" w:rsidR="00C76DFE" w:rsidRDefault="00000000" w:rsidP="00C72CC5">
            <w:pPr>
              <w:spacing w:after="0" w:line="240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6BD0" w14:textId="77777777" w:rsidR="00C76DFE" w:rsidRDefault="00000000" w:rsidP="00C72CC5">
            <w:pPr>
              <w:spacing w:after="0" w:line="240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C72E" w14:textId="77777777" w:rsidR="00C76DFE" w:rsidRDefault="00000000" w:rsidP="00C72CC5">
            <w:pPr>
              <w:spacing w:after="0" w:line="240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C76DFE" w14:paraId="7646BE91" w14:textId="77777777">
        <w:trPr>
          <w:trHeight w:val="30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9B62" w14:textId="77777777" w:rsidR="00C76DFE" w:rsidRDefault="00000000" w:rsidP="00C72CC5">
            <w:pPr>
              <w:spacing w:after="0" w:line="240" w:lineRule="auto"/>
              <w:ind w:left="4" w:firstLine="0"/>
              <w:jc w:val="center"/>
            </w:pPr>
            <w:r>
              <w:t xml:space="preserve">Proces 3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FA89" w14:textId="77777777" w:rsidR="00C76DFE" w:rsidRDefault="00000000" w:rsidP="00C72CC5">
            <w:pPr>
              <w:spacing w:after="0" w:line="240" w:lineRule="auto"/>
              <w:ind w:left="2" w:firstLine="0"/>
              <w:jc w:val="center"/>
            </w:pPr>
            <w:r>
              <w:t xml:space="preserve">P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1E07" w14:textId="77777777" w:rsidR="00C76DFE" w:rsidRDefault="00000000" w:rsidP="00C72CC5">
            <w:pPr>
              <w:spacing w:after="0" w:line="240" w:lineRule="auto"/>
              <w:ind w:left="0" w:right="1" w:firstLine="0"/>
              <w:jc w:val="center"/>
            </w:pPr>
            <w:r>
              <w:t xml:space="preserve">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DE97" w14:textId="77777777" w:rsidR="00C76DFE" w:rsidRDefault="00000000" w:rsidP="00C72CC5">
            <w:pPr>
              <w:spacing w:after="0" w:line="240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1DFF" w14:textId="77777777" w:rsidR="00C76DFE" w:rsidRDefault="00000000" w:rsidP="00C72CC5">
            <w:pPr>
              <w:spacing w:after="0" w:line="240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A2FD" w14:textId="77777777" w:rsidR="00C76DFE" w:rsidRDefault="00000000" w:rsidP="00C72CC5">
            <w:pPr>
              <w:spacing w:after="0" w:line="240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C76DFE" w14:paraId="5A1A44C5" w14:textId="77777777">
        <w:trPr>
          <w:trHeight w:val="30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A7C8" w14:textId="77777777" w:rsidR="00C76DFE" w:rsidRDefault="00000000" w:rsidP="00C72CC5">
            <w:pPr>
              <w:spacing w:after="0" w:line="240" w:lineRule="auto"/>
              <w:ind w:left="4" w:firstLine="0"/>
              <w:jc w:val="center"/>
            </w:pPr>
            <w:r>
              <w:t xml:space="preserve">Proces 4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54BB" w14:textId="77777777" w:rsidR="00C76DFE" w:rsidRDefault="00000000" w:rsidP="00C72CC5">
            <w:pPr>
              <w:spacing w:after="0" w:line="240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8929" w14:textId="77777777" w:rsidR="00C76DFE" w:rsidRDefault="00000000" w:rsidP="00C72CC5">
            <w:pPr>
              <w:spacing w:after="0" w:line="240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D439" w14:textId="77777777" w:rsidR="00C76DFE" w:rsidRDefault="00000000" w:rsidP="00C72CC5">
            <w:pPr>
              <w:spacing w:after="0" w:line="240" w:lineRule="auto"/>
              <w:ind w:left="0" w:firstLine="0"/>
              <w:jc w:val="center"/>
            </w:pPr>
            <w:r>
              <w:t xml:space="preserve">Z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13898" w14:textId="77777777" w:rsidR="00C76DFE" w:rsidRDefault="00000000" w:rsidP="00C72CC5">
            <w:pPr>
              <w:spacing w:after="0" w:line="240" w:lineRule="auto"/>
              <w:ind w:left="0" w:firstLine="0"/>
              <w:jc w:val="center"/>
            </w:pPr>
            <w:r>
              <w:t xml:space="preserve">Z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E74C" w14:textId="77777777" w:rsidR="00C76DFE" w:rsidRDefault="00000000" w:rsidP="00C72CC5">
            <w:pPr>
              <w:spacing w:after="0" w:line="240" w:lineRule="auto"/>
              <w:ind w:left="1" w:firstLine="0"/>
              <w:jc w:val="center"/>
            </w:pPr>
            <w:r>
              <w:t xml:space="preserve">4 </w:t>
            </w:r>
          </w:p>
        </w:tc>
      </w:tr>
      <w:tr w:rsidR="00C76DFE" w14:paraId="454B10ED" w14:textId="77777777">
        <w:trPr>
          <w:trHeight w:val="30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24A4" w14:textId="77777777" w:rsidR="00C76DFE" w:rsidRDefault="00000000" w:rsidP="00C72CC5">
            <w:pPr>
              <w:spacing w:after="0" w:line="240" w:lineRule="auto"/>
              <w:ind w:left="4" w:firstLine="0"/>
              <w:jc w:val="center"/>
            </w:pPr>
            <w:r>
              <w:t xml:space="preserve">Proces 5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70B6" w14:textId="77777777" w:rsidR="00C76DFE" w:rsidRDefault="00000000" w:rsidP="00C72CC5">
            <w:pPr>
              <w:spacing w:after="0" w:line="240" w:lineRule="auto"/>
              <w:ind w:left="57" w:firstLine="0"/>
              <w:jc w:val="center"/>
            </w:pP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B463" w14:textId="77777777" w:rsidR="00C76DFE" w:rsidRDefault="00000000" w:rsidP="00C72CC5">
            <w:pPr>
              <w:spacing w:after="0" w:line="240" w:lineRule="auto"/>
              <w:ind w:left="0" w:right="1" w:firstLine="0"/>
              <w:jc w:val="center"/>
            </w:pPr>
            <w:r>
              <w:t xml:space="preserve">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EB45" w14:textId="77777777" w:rsidR="00C76DFE" w:rsidRDefault="00000000" w:rsidP="00C72CC5">
            <w:pPr>
              <w:spacing w:after="0" w:line="240" w:lineRule="auto"/>
              <w:ind w:left="52" w:firstLine="0"/>
              <w:jc w:val="center"/>
            </w:pPr>
            <w:r>
              <w:t xml:space="preserve">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7D7A" w14:textId="77777777" w:rsidR="00C76DFE" w:rsidRDefault="00000000" w:rsidP="00C72CC5">
            <w:pPr>
              <w:spacing w:after="0" w:line="240" w:lineRule="auto"/>
              <w:ind w:left="0" w:firstLine="0"/>
              <w:jc w:val="center"/>
            </w:pPr>
            <w:r>
              <w:t xml:space="preserve">Z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68C4" w14:textId="77777777" w:rsidR="00C76DFE" w:rsidRDefault="00000000" w:rsidP="00C72CC5">
            <w:pPr>
              <w:spacing w:after="0" w:line="240" w:lineRule="auto"/>
              <w:ind w:left="1" w:firstLine="0"/>
              <w:jc w:val="center"/>
            </w:pPr>
            <w:r>
              <w:t xml:space="preserve">3 </w:t>
            </w:r>
          </w:p>
        </w:tc>
      </w:tr>
    </w:tbl>
    <w:p w14:paraId="6BD53940" w14:textId="735310DF" w:rsidR="00C76DFE" w:rsidRDefault="00C76DFE" w:rsidP="00C72CC5">
      <w:pPr>
        <w:spacing w:after="212" w:line="240" w:lineRule="auto"/>
        <w:ind w:left="0" w:firstLine="0"/>
      </w:pPr>
    </w:p>
    <w:p w14:paraId="5322EA44" w14:textId="77777777" w:rsidR="00C72CC5" w:rsidRDefault="00000000" w:rsidP="00C72CC5">
      <w:pPr>
        <w:numPr>
          <w:ilvl w:val="0"/>
          <w:numId w:val="6"/>
        </w:numPr>
        <w:spacing w:line="240" w:lineRule="auto"/>
        <w:ind w:hanging="360"/>
      </w:pPr>
      <w:r>
        <w:t>Vliv procesu na CSF:</w:t>
      </w:r>
    </w:p>
    <w:p w14:paraId="6E72A914" w14:textId="77777777" w:rsidR="00C72CC5" w:rsidRPr="00C72CC5" w:rsidRDefault="00000000" w:rsidP="00C72CC5">
      <w:pPr>
        <w:numPr>
          <w:ilvl w:val="1"/>
          <w:numId w:val="6"/>
        </w:numPr>
        <w:spacing w:line="240" w:lineRule="auto"/>
        <w:ind w:hanging="360"/>
      </w:pPr>
      <w:r>
        <w:t>Z = zásadní (2 body)</w:t>
      </w:r>
    </w:p>
    <w:p w14:paraId="6E022E54" w14:textId="04A5F9F4" w:rsidR="00C76DFE" w:rsidRDefault="00000000" w:rsidP="00C72CC5">
      <w:pPr>
        <w:numPr>
          <w:ilvl w:val="1"/>
          <w:numId w:val="6"/>
        </w:numPr>
        <w:spacing w:line="240" w:lineRule="auto"/>
        <w:ind w:hanging="360"/>
      </w:pPr>
      <w:r>
        <w:t xml:space="preserve">P = přispívající (1 bod) </w:t>
      </w:r>
    </w:p>
    <w:p w14:paraId="7536A96B" w14:textId="4D0E6B4D" w:rsidR="00C72CC5" w:rsidRDefault="00A17976" w:rsidP="00A17976">
      <w:pPr>
        <w:spacing w:after="160" w:line="278" w:lineRule="auto"/>
        <w:ind w:left="0" w:firstLine="0"/>
      </w:pPr>
      <w:r>
        <w:br w:type="page"/>
      </w:r>
    </w:p>
    <w:p w14:paraId="64B843E0" w14:textId="77777777" w:rsidR="00C76DFE" w:rsidRDefault="00000000" w:rsidP="00C72CC5">
      <w:pPr>
        <w:pStyle w:val="Heading1"/>
        <w:spacing w:line="240" w:lineRule="auto"/>
        <w:ind w:left="-5"/>
      </w:pPr>
      <w:r>
        <w:lastRenderedPageBreak/>
        <w:t>SLA (</w:t>
      </w:r>
      <w:proofErr w:type="spellStart"/>
      <w:r>
        <w:t>Service</w:t>
      </w:r>
      <w:proofErr w:type="spellEnd"/>
      <w:r>
        <w:t xml:space="preserve">-level </w:t>
      </w:r>
      <w:proofErr w:type="spellStart"/>
      <w:r>
        <w:t>agreement</w:t>
      </w:r>
      <w:proofErr w:type="spellEnd"/>
      <w:r>
        <w:t xml:space="preserve">) </w:t>
      </w:r>
    </w:p>
    <w:p w14:paraId="0C10CFDB" w14:textId="77777777" w:rsidR="00C76DFE" w:rsidRDefault="00000000" w:rsidP="00C72CC5">
      <w:pPr>
        <w:numPr>
          <w:ilvl w:val="0"/>
          <w:numId w:val="9"/>
        </w:numPr>
        <w:spacing w:after="21" w:line="240" w:lineRule="auto"/>
        <w:ind w:right="918" w:hanging="360"/>
      </w:pPr>
      <w:r>
        <w:t xml:space="preserve">Smlouva sjednaná mezi poskytovatelem služby a jejím uživatelem. </w:t>
      </w:r>
    </w:p>
    <w:p w14:paraId="7C02B21D" w14:textId="77777777" w:rsidR="00C76DFE" w:rsidRDefault="00000000" w:rsidP="00C72CC5">
      <w:pPr>
        <w:numPr>
          <w:ilvl w:val="0"/>
          <w:numId w:val="9"/>
        </w:numPr>
        <w:spacing w:line="240" w:lineRule="auto"/>
        <w:ind w:right="918" w:hanging="360"/>
      </w:pPr>
      <w:r>
        <w:t xml:space="preserve">Součástí ITILU </w:t>
      </w:r>
    </w:p>
    <w:p w14:paraId="0E77ED29" w14:textId="77777777" w:rsidR="00C76DFE" w:rsidRDefault="00000000" w:rsidP="00C72CC5">
      <w:pPr>
        <w:numPr>
          <w:ilvl w:val="0"/>
          <w:numId w:val="9"/>
        </w:numPr>
        <w:spacing w:after="8" w:line="240" w:lineRule="auto"/>
        <w:ind w:right="918" w:hanging="360"/>
      </w:pPr>
      <w:r>
        <w:t xml:space="preserve">Má za úkol vymezit mezi uživatelem a výrobcem jasná pravidla: </w:t>
      </w:r>
    </w:p>
    <w:p w14:paraId="740B5481" w14:textId="77777777" w:rsidR="00C72CC5" w:rsidRDefault="00000000" w:rsidP="00C72CC5">
      <w:pPr>
        <w:numPr>
          <w:ilvl w:val="1"/>
          <w:numId w:val="9"/>
        </w:numPr>
        <w:spacing w:line="240" w:lineRule="auto"/>
        <w:ind w:right="3401"/>
      </w:pPr>
      <w:r>
        <w:t>Strany kontraktu</w:t>
      </w:r>
    </w:p>
    <w:p w14:paraId="53970D7F" w14:textId="77777777" w:rsidR="00C72CC5" w:rsidRPr="00C72CC5" w:rsidRDefault="00000000" w:rsidP="00C72CC5">
      <w:pPr>
        <w:numPr>
          <w:ilvl w:val="1"/>
          <w:numId w:val="9"/>
        </w:numPr>
        <w:spacing w:line="240" w:lineRule="auto"/>
        <w:ind w:right="3401"/>
      </w:pPr>
      <w:r>
        <w:t>Popis služby</w:t>
      </w:r>
    </w:p>
    <w:p w14:paraId="29D203A8" w14:textId="6416A3CE" w:rsidR="00C76DFE" w:rsidRDefault="00000000" w:rsidP="00C72CC5">
      <w:pPr>
        <w:numPr>
          <w:ilvl w:val="1"/>
          <w:numId w:val="9"/>
        </w:numPr>
        <w:spacing w:line="240" w:lineRule="auto"/>
        <w:ind w:right="3401"/>
      </w:pPr>
      <w:r>
        <w:t xml:space="preserve">Rozsah ujednání </w:t>
      </w:r>
    </w:p>
    <w:p w14:paraId="2B9AC2AF" w14:textId="77777777" w:rsidR="00C72CC5" w:rsidRP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Jak dlouho bude služba poskytována</w:t>
      </w:r>
    </w:p>
    <w:p w14:paraId="47E65738" w14:textId="77777777" w:rsid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Uživatelská podpora</w:t>
      </w:r>
    </w:p>
    <w:p w14:paraId="00C69BA3" w14:textId="66117C9C" w:rsid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Výkon služby</w:t>
      </w:r>
    </w:p>
    <w:p w14:paraId="4A71B86B" w14:textId="77777777" w:rsid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Správa služby</w:t>
      </w:r>
    </w:p>
    <w:p w14:paraId="0AD2D1BB" w14:textId="77777777" w:rsidR="00C72CC5" w:rsidRP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Odpovědnost</w:t>
      </w:r>
    </w:p>
    <w:p w14:paraId="113AF6D2" w14:textId="77777777" w:rsidR="00C72CC5" w:rsidRP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rPr>
          <w:rFonts w:ascii="Arial" w:eastAsia="Arial" w:hAnsi="Arial" w:cs="Arial"/>
        </w:rPr>
        <w:t xml:space="preserve"> </w:t>
      </w:r>
      <w:r>
        <w:t>Cena služby</w:t>
      </w:r>
    </w:p>
    <w:p w14:paraId="12C57D39" w14:textId="77777777" w:rsidR="00C72CC5" w:rsidRP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Vysvětlení pojmů</w:t>
      </w:r>
    </w:p>
    <w:p w14:paraId="473DBDFD" w14:textId="77777777" w:rsidR="00C72CC5" w:rsidRPr="00C72CC5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>Metriky, revize</w:t>
      </w:r>
    </w:p>
    <w:p w14:paraId="78E2FBA0" w14:textId="64E1D88E" w:rsidR="00C76DFE" w:rsidRDefault="00000000" w:rsidP="00C72CC5">
      <w:pPr>
        <w:numPr>
          <w:ilvl w:val="1"/>
          <w:numId w:val="9"/>
        </w:numPr>
        <w:spacing w:after="13" w:line="240" w:lineRule="auto"/>
        <w:ind w:right="3401"/>
      </w:pPr>
      <w:r>
        <w:t xml:space="preserve">Dodatky ke smlouvě </w:t>
      </w:r>
    </w:p>
    <w:p w14:paraId="36DC20C9" w14:textId="77777777" w:rsidR="00C76DFE" w:rsidRDefault="00000000" w:rsidP="00C72CC5">
      <w:pPr>
        <w:numPr>
          <w:ilvl w:val="0"/>
          <w:numId w:val="9"/>
        </w:numPr>
        <w:spacing w:line="240" w:lineRule="auto"/>
        <w:ind w:right="918" w:hanging="360"/>
      </w:pPr>
      <w:r>
        <w:t xml:space="preserve">Lze použít i pro audit </w:t>
      </w:r>
    </w:p>
    <w:sectPr w:rsidR="00C76DFE">
      <w:pgSz w:w="11906" w:h="16838"/>
      <w:pgMar w:top="1478" w:right="1419" w:bottom="157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9C"/>
    <w:multiLevelType w:val="hybridMultilevel"/>
    <w:tmpl w:val="0D5CD278"/>
    <w:lvl w:ilvl="0" w:tplc="CA5A665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94F13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846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F0CB3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607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02FD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6C4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CEE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238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C508BA"/>
    <w:multiLevelType w:val="hybridMultilevel"/>
    <w:tmpl w:val="0E2AACD2"/>
    <w:lvl w:ilvl="0" w:tplc="7C123E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ADCBC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C6D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468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A70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E8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C33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2A5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8F3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3432F"/>
    <w:multiLevelType w:val="hybridMultilevel"/>
    <w:tmpl w:val="250ED4CC"/>
    <w:lvl w:ilvl="0" w:tplc="55FACE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A289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0619C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208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812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259D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EAA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E6DF1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2D7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625D4"/>
    <w:multiLevelType w:val="hybridMultilevel"/>
    <w:tmpl w:val="FEDA9C70"/>
    <w:lvl w:ilvl="0" w:tplc="1D1E4EAE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E810D0">
      <w:start w:val="1"/>
      <w:numFmt w:val="bullet"/>
      <w:lvlText w:val="o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068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4F4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6595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2DB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C31C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46FC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42B3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02E03"/>
    <w:multiLevelType w:val="hybridMultilevel"/>
    <w:tmpl w:val="A62EDEBA"/>
    <w:lvl w:ilvl="0" w:tplc="216A28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EE6B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9CA42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888FB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0EEB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BCA1B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04971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CA9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BD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3F6CD7"/>
    <w:multiLevelType w:val="hybridMultilevel"/>
    <w:tmpl w:val="87487740"/>
    <w:lvl w:ilvl="0" w:tplc="E47288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7E9D64">
      <w:start w:val="2"/>
      <w:numFmt w:val="upperLetter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5415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CA5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32F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042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8D8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A0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89C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C16A52"/>
    <w:multiLevelType w:val="hybridMultilevel"/>
    <w:tmpl w:val="3C4466F6"/>
    <w:lvl w:ilvl="0" w:tplc="59268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AA0712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664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E0B9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0ED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088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44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7CBE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64A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67216"/>
    <w:multiLevelType w:val="hybridMultilevel"/>
    <w:tmpl w:val="F5D6951A"/>
    <w:lvl w:ilvl="0" w:tplc="6AC6949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231C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20EA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D93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03BD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82C9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EEC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847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6E77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8C2C96"/>
    <w:multiLevelType w:val="hybridMultilevel"/>
    <w:tmpl w:val="D2E2C598"/>
    <w:lvl w:ilvl="0" w:tplc="080E3C8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B810DA">
      <w:start w:val="1"/>
      <w:numFmt w:val="upperLetter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CD2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29D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674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E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6A42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4E9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603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9817">
    <w:abstractNumId w:val="4"/>
  </w:num>
  <w:num w:numId="2" w16cid:durableId="246699049">
    <w:abstractNumId w:val="1"/>
  </w:num>
  <w:num w:numId="3" w16cid:durableId="787358038">
    <w:abstractNumId w:val="7"/>
  </w:num>
  <w:num w:numId="4" w16cid:durableId="230426418">
    <w:abstractNumId w:val="6"/>
  </w:num>
  <w:num w:numId="5" w16cid:durableId="1754693027">
    <w:abstractNumId w:val="0"/>
  </w:num>
  <w:num w:numId="6" w16cid:durableId="1060131862">
    <w:abstractNumId w:val="2"/>
  </w:num>
  <w:num w:numId="7" w16cid:durableId="2095661553">
    <w:abstractNumId w:val="5"/>
  </w:num>
  <w:num w:numId="8" w16cid:durableId="916590864">
    <w:abstractNumId w:val="8"/>
  </w:num>
  <w:num w:numId="9" w16cid:durableId="139076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E"/>
    <w:rsid w:val="00177415"/>
    <w:rsid w:val="00406085"/>
    <w:rsid w:val="008A38BA"/>
    <w:rsid w:val="00A1418B"/>
    <w:rsid w:val="00A17976"/>
    <w:rsid w:val="00C72CC5"/>
    <w:rsid w:val="00C76DFE"/>
    <w:rsid w:val="00E45F71"/>
    <w:rsid w:val="00F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5D04"/>
  <w15:docId w15:val="{6184F6A6-E664-4C8A-9AB8-C0F7C398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72CC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720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Čihovský Patrik</dc:creator>
  <cp:keywords/>
  <cp:lastModifiedBy>Jan Slivoně</cp:lastModifiedBy>
  <cp:revision>8</cp:revision>
  <dcterms:created xsi:type="dcterms:W3CDTF">2024-03-11T08:18:00Z</dcterms:created>
  <dcterms:modified xsi:type="dcterms:W3CDTF">2024-03-28T09:12:00Z</dcterms:modified>
</cp:coreProperties>
</file>