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9357B" w14:textId="77777777" w:rsidR="007E0DFC" w:rsidRPr="007E0DFC" w:rsidRDefault="007E0DFC" w:rsidP="00871FE4">
      <w:pPr>
        <w:spacing w:after="0" w:line="240" w:lineRule="auto"/>
        <w:jc w:val="center"/>
        <w:rPr>
          <w:rFonts w:ascii="Times New Roman" w:hAnsi="Times New Roman" w:cs="Times New Roman"/>
          <w:color w:val="000000" w:themeColor="text1"/>
          <w:shd w:val="clear" w:color="auto" w:fill="FFFFFF"/>
        </w:rPr>
      </w:pPr>
    </w:p>
    <w:p w14:paraId="17959673" w14:textId="5B9BD26E" w:rsidR="007E0DFC" w:rsidRDefault="00203478" w:rsidP="00203478">
      <w:pPr>
        <w:spacing w:after="0" w:line="240" w:lineRule="auto"/>
        <w:jc w:val="right"/>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SCRS/20</w:t>
      </w:r>
      <w:r w:rsidR="00AE6FA1">
        <w:rPr>
          <w:rFonts w:ascii="Times New Roman" w:hAnsi="Times New Roman" w:cs="Times New Roman"/>
          <w:color w:val="000000" w:themeColor="text1"/>
          <w:shd w:val="clear" w:color="auto" w:fill="FFFFFF"/>
        </w:rPr>
        <w:t>2</w:t>
      </w:r>
      <w:r w:rsidR="00C26AB3">
        <w:rPr>
          <w:rFonts w:ascii="Times New Roman" w:hAnsi="Times New Roman" w:cs="Times New Roman"/>
          <w:color w:val="000000" w:themeColor="text1"/>
          <w:shd w:val="clear" w:color="auto" w:fill="FFFFFF"/>
        </w:rPr>
        <w:t>4</w:t>
      </w:r>
      <w:r>
        <w:rPr>
          <w:rFonts w:ascii="Times New Roman" w:hAnsi="Times New Roman" w:cs="Times New Roman"/>
          <w:color w:val="000000" w:themeColor="text1"/>
          <w:shd w:val="clear" w:color="auto" w:fill="FFFFFF"/>
        </w:rPr>
        <w:t>/</w:t>
      </w:r>
      <w:r w:rsidR="00DC2A14">
        <w:rPr>
          <w:rFonts w:ascii="Times New Roman" w:hAnsi="Times New Roman" w:cs="Times New Roman"/>
          <w:color w:val="000000" w:themeColor="text1"/>
          <w:shd w:val="clear" w:color="auto" w:fill="FFFFFF"/>
        </w:rPr>
        <w:t>148</w:t>
      </w:r>
    </w:p>
    <w:p w14:paraId="60B98501" w14:textId="77777777" w:rsidR="00835AFE" w:rsidRDefault="00835AFE" w:rsidP="00871FE4">
      <w:pPr>
        <w:spacing w:after="0" w:line="240" w:lineRule="auto"/>
        <w:jc w:val="center"/>
        <w:rPr>
          <w:rFonts w:ascii="Times New Roman" w:hAnsi="Times New Roman" w:cs="Times New Roman"/>
          <w:color w:val="000000" w:themeColor="text1"/>
          <w:shd w:val="clear" w:color="auto" w:fill="FFFFFF"/>
        </w:rPr>
      </w:pPr>
    </w:p>
    <w:p w14:paraId="48305F4A" w14:textId="77777777" w:rsidR="00835AFE" w:rsidRPr="007E0DFC" w:rsidRDefault="00835AFE" w:rsidP="00871FE4">
      <w:pPr>
        <w:spacing w:after="0" w:line="240" w:lineRule="auto"/>
        <w:jc w:val="center"/>
        <w:rPr>
          <w:rFonts w:ascii="Times New Roman" w:hAnsi="Times New Roman" w:cs="Times New Roman"/>
          <w:color w:val="000000" w:themeColor="text1"/>
          <w:shd w:val="clear" w:color="auto" w:fill="FFFFFF"/>
        </w:rPr>
      </w:pPr>
    </w:p>
    <w:p w14:paraId="6DDCF297" w14:textId="418B8E08" w:rsidR="00467562" w:rsidRDefault="00BA11E9" w:rsidP="00871FE4">
      <w:pPr>
        <w:spacing w:after="0" w:line="240" w:lineRule="auto"/>
        <w:jc w:val="center"/>
        <w:rPr>
          <w:rFonts w:ascii="Times New Roman" w:hAnsi="Times New Roman" w:cs="Times New Roman"/>
          <w:b/>
          <w:caps/>
          <w:color w:val="000000" w:themeColor="text1"/>
          <w:sz w:val="24"/>
          <w:szCs w:val="24"/>
          <w:shd w:val="clear" w:color="auto" w:fill="FFFFFF"/>
        </w:rPr>
      </w:pPr>
      <w:r w:rsidRPr="00BA11E9">
        <w:rPr>
          <w:rFonts w:ascii="Times New Roman" w:hAnsi="Times New Roman" w:cs="Times New Roman"/>
          <w:b/>
          <w:caps/>
          <w:color w:val="000000" w:themeColor="text1"/>
          <w:sz w:val="24"/>
          <w:szCs w:val="24"/>
          <w:shd w:val="clear" w:color="auto" w:fill="FFFFFF"/>
        </w:rPr>
        <w:t>DEVELOPING THE CLIMATE TEST</w:t>
      </w:r>
      <w:r>
        <w:rPr>
          <w:rFonts w:ascii="Times New Roman" w:hAnsi="Times New Roman" w:cs="Times New Roman"/>
          <w:b/>
          <w:caps/>
          <w:color w:val="000000" w:themeColor="text1"/>
          <w:sz w:val="24"/>
          <w:szCs w:val="24"/>
          <w:shd w:val="clear" w:color="auto" w:fill="FFFFFF"/>
        </w:rPr>
        <w:t xml:space="preserve">: Performance Metrics </w:t>
      </w:r>
      <w:r w:rsidR="00C5254B">
        <w:rPr>
          <w:rFonts w:ascii="Times New Roman" w:hAnsi="Times New Roman" w:cs="Times New Roman"/>
          <w:b/>
          <w:caps/>
          <w:color w:val="000000" w:themeColor="text1"/>
          <w:sz w:val="24"/>
          <w:szCs w:val="24"/>
          <w:shd w:val="clear" w:color="auto" w:fill="FFFFFF"/>
        </w:rPr>
        <w:t>of</w:t>
      </w:r>
      <w:r>
        <w:rPr>
          <w:rFonts w:ascii="Times New Roman" w:hAnsi="Times New Roman" w:cs="Times New Roman"/>
          <w:b/>
          <w:caps/>
          <w:color w:val="000000" w:themeColor="text1"/>
          <w:sz w:val="24"/>
          <w:szCs w:val="24"/>
          <w:shd w:val="clear" w:color="auto" w:fill="FFFFFF"/>
        </w:rPr>
        <w:t xml:space="preserve"> Climate </w:t>
      </w:r>
      <w:r w:rsidR="005159FA">
        <w:rPr>
          <w:rFonts w:ascii="Times New Roman" w:hAnsi="Times New Roman" w:cs="Times New Roman"/>
          <w:b/>
          <w:caps/>
          <w:color w:val="000000" w:themeColor="text1"/>
          <w:sz w:val="24"/>
          <w:szCs w:val="24"/>
          <w:shd w:val="clear" w:color="auto" w:fill="FFFFFF"/>
        </w:rPr>
        <w:t>Robustness</w:t>
      </w:r>
    </w:p>
    <w:p w14:paraId="4C4FD92B" w14:textId="77777777" w:rsidR="00BA11E9" w:rsidRPr="006558D4" w:rsidRDefault="00BA11E9" w:rsidP="00871FE4">
      <w:pPr>
        <w:spacing w:after="0" w:line="240" w:lineRule="auto"/>
        <w:jc w:val="center"/>
        <w:rPr>
          <w:rFonts w:ascii="Times New Roman" w:hAnsi="Times New Roman" w:cs="Times New Roman"/>
          <w:color w:val="000000" w:themeColor="text1"/>
          <w:sz w:val="20"/>
          <w:szCs w:val="20"/>
          <w:shd w:val="clear" w:color="auto" w:fill="FFFFFF"/>
        </w:rPr>
      </w:pPr>
    </w:p>
    <w:p w14:paraId="7F10C686" w14:textId="4A75EBC4" w:rsidR="00871FE4" w:rsidRPr="006558D4" w:rsidRDefault="004418B3" w:rsidP="00871FE4">
      <w:pPr>
        <w:spacing w:after="0" w:line="240" w:lineRule="auto"/>
        <w:jc w:val="center"/>
        <w:rPr>
          <w:rFonts w:ascii="Times New Roman" w:hAnsi="Times New Roman" w:cs="Times New Roman"/>
          <w:color w:val="000000" w:themeColor="text1"/>
          <w:sz w:val="20"/>
          <w:szCs w:val="20"/>
          <w:shd w:val="clear" w:color="auto" w:fill="FFFFFF"/>
          <w:vertAlign w:val="superscript"/>
        </w:rPr>
      </w:pPr>
      <w:r>
        <w:rPr>
          <w:rFonts w:ascii="Times New Roman" w:hAnsi="Times New Roman" w:cs="Times New Roman"/>
          <w:color w:val="000000" w:themeColor="text1"/>
          <w:sz w:val="20"/>
          <w:szCs w:val="20"/>
          <w:shd w:val="clear" w:color="auto" w:fill="FFFFFF"/>
        </w:rPr>
        <w:t>T. R. Carruthers</w:t>
      </w:r>
      <w:r w:rsidR="004F41A8">
        <w:rPr>
          <w:rStyle w:val="FootnoteReference"/>
          <w:rFonts w:ascii="Times New Roman" w:hAnsi="Times New Roman" w:cs="Times New Roman"/>
          <w:color w:val="000000" w:themeColor="text1"/>
          <w:sz w:val="20"/>
          <w:szCs w:val="20"/>
          <w:shd w:val="clear" w:color="auto" w:fill="FFFFFF"/>
        </w:rPr>
        <w:footnoteReference w:id="1"/>
      </w:r>
      <w:r w:rsidR="00392CE5">
        <w:rPr>
          <w:rFonts w:ascii="Times New Roman" w:hAnsi="Times New Roman" w:cs="Times New Roman"/>
          <w:color w:val="000000" w:themeColor="text1"/>
          <w:sz w:val="20"/>
          <w:szCs w:val="20"/>
          <w:shd w:val="clear" w:color="auto" w:fill="FFFFFF"/>
        </w:rPr>
        <w:t xml:space="preserve"> </w:t>
      </w:r>
    </w:p>
    <w:p w14:paraId="419CECDA" w14:textId="77777777" w:rsidR="00871FE4" w:rsidRPr="006558D4" w:rsidRDefault="00871FE4" w:rsidP="00871FE4">
      <w:pPr>
        <w:spacing w:after="0" w:line="240" w:lineRule="auto"/>
        <w:jc w:val="center"/>
        <w:rPr>
          <w:rFonts w:ascii="Times New Roman" w:hAnsi="Times New Roman" w:cs="Times New Roman"/>
          <w:color w:val="000000" w:themeColor="text1"/>
          <w:sz w:val="20"/>
          <w:szCs w:val="20"/>
          <w:shd w:val="clear" w:color="auto" w:fill="FFFFFF"/>
        </w:rPr>
      </w:pPr>
    </w:p>
    <w:p w14:paraId="3C374FDF" w14:textId="77777777" w:rsidR="00871FE4" w:rsidRPr="006558D4" w:rsidRDefault="00871FE4" w:rsidP="00871FE4">
      <w:pPr>
        <w:spacing w:after="0" w:line="240" w:lineRule="auto"/>
        <w:jc w:val="center"/>
        <w:rPr>
          <w:rFonts w:ascii="Times New Roman" w:hAnsi="Times New Roman" w:cs="Times New Roman"/>
          <w:color w:val="000000" w:themeColor="text1"/>
          <w:sz w:val="20"/>
          <w:szCs w:val="20"/>
          <w:shd w:val="clear" w:color="auto" w:fill="FFFFFF"/>
        </w:rPr>
      </w:pPr>
    </w:p>
    <w:p w14:paraId="30FFEE56" w14:textId="10386AAD" w:rsidR="007E0DFC" w:rsidRDefault="007E0DFC" w:rsidP="007E0DFC">
      <w:pPr>
        <w:spacing w:after="0" w:line="240" w:lineRule="auto"/>
        <w:jc w:val="center"/>
        <w:rPr>
          <w:rFonts w:ascii="Times New Roman" w:hAnsi="Times New Roman" w:cs="Times New Roman"/>
          <w:i/>
          <w:sz w:val="20"/>
          <w:szCs w:val="20"/>
        </w:rPr>
      </w:pPr>
      <w:r w:rsidRPr="00BF66E9">
        <w:rPr>
          <w:rFonts w:ascii="Times New Roman" w:hAnsi="Times New Roman" w:cs="Times New Roman"/>
          <w:i/>
          <w:sz w:val="20"/>
          <w:szCs w:val="20"/>
        </w:rPr>
        <w:t>SUMMARY</w:t>
      </w:r>
    </w:p>
    <w:p w14:paraId="5F613880" w14:textId="77777777" w:rsidR="00BF66E9" w:rsidRPr="00BF66E9" w:rsidRDefault="00BF66E9" w:rsidP="007E0DFC">
      <w:pPr>
        <w:spacing w:after="0" w:line="240" w:lineRule="auto"/>
        <w:jc w:val="center"/>
        <w:rPr>
          <w:rFonts w:ascii="Times New Roman" w:hAnsi="Times New Roman" w:cs="Times New Roman"/>
          <w:i/>
          <w:sz w:val="20"/>
          <w:szCs w:val="20"/>
        </w:rPr>
      </w:pPr>
    </w:p>
    <w:p w14:paraId="39FE0661" w14:textId="25BCBA5C" w:rsidR="00BF66E9" w:rsidRPr="00EE1E21" w:rsidRDefault="00BC6F8E" w:rsidP="00BF66E9">
      <w:pPr>
        <w:ind w:left="709" w:right="663"/>
        <w:jc w:val="both"/>
        <w:rPr>
          <w:rFonts w:ascii="Times New Roman" w:hAnsi="Times New Roman" w:cs="Times New Roman"/>
          <w:i/>
          <w:sz w:val="20"/>
          <w:szCs w:val="20"/>
        </w:rPr>
      </w:pPr>
      <w:r>
        <w:rPr>
          <w:rFonts w:ascii="Times New Roman" w:hAnsi="Times New Roman" w:cs="Times New Roman"/>
          <w:sz w:val="20"/>
          <w:szCs w:val="20"/>
        </w:rPr>
        <w:t>Operating model</w:t>
      </w:r>
      <w:r w:rsidR="00B967AC">
        <w:rPr>
          <w:rFonts w:ascii="Times New Roman" w:hAnsi="Times New Roman" w:cs="Times New Roman"/>
          <w:sz w:val="20"/>
          <w:szCs w:val="20"/>
        </w:rPr>
        <w:t>s</w:t>
      </w:r>
      <w:r>
        <w:rPr>
          <w:rFonts w:ascii="Times New Roman" w:hAnsi="Times New Roman" w:cs="Times New Roman"/>
          <w:sz w:val="20"/>
          <w:szCs w:val="20"/>
        </w:rPr>
        <w:t xml:space="preserve"> were developed from the 20</w:t>
      </w:r>
      <w:r w:rsidR="00B967AC">
        <w:rPr>
          <w:rFonts w:ascii="Times New Roman" w:hAnsi="Times New Roman" w:cs="Times New Roman"/>
          <w:sz w:val="20"/>
          <w:szCs w:val="20"/>
        </w:rPr>
        <w:t>21</w:t>
      </w:r>
      <w:r>
        <w:rPr>
          <w:rFonts w:ascii="Times New Roman" w:hAnsi="Times New Roman" w:cs="Times New Roman"/>
          <w:sz w:val="20"/>
          <w:szCs w:val="20"/>
        </w:rPr>
        <w:t xml:space="preserve"> stock assessment of bigeye tuna. </w:t>
      </w:r>
      <w:r w:rsidR="00B967AC">
        <w:rPr>
          <w:rFonts w:ascii="Times New Roman" w:hAnsi="Times New Roman" w:cs="Times New Roman"/>
          <w:sz w:val="20"/>
          <w:szCs w:val="20"/>
        </w:rPr>
        <w:t xml:space="preserve">Four types of </w:t>
      </w:r>
      <w:r w:rsidR="008479C6">
        <w:rPr>
          <w:rFonts w:ascii="Times New Roman" w:hAnsi="Times New Roman" w:cs="Times New Roman"/>
          <w:sz w:val="20"/>
          <w:szCs w:val="20"/>
        </w:rPr>
        <w:t xml:space="preserve">projected </w:t>
      </w:r>
      <w:r w:rsidR="00B967AC">
        <w:rPr>
          <w:rFonts w:ascii="Times New Roman" w:hAnsi="Times New Roman" w:cs="Times New Roman"/>
          <w:sz w:val="20"/>
          <w:szCs w:val="20"/>
        </w:rPr>
        <w:t>climate impact were simulated</w:t>
      </w:r>
      <w:r w:rsidR="008479C6">
        <w:rPr>
          <w:rFonts w:ascii="Times New Roman" w:hAnsi="Times New Roman" w:cs="Times New Roman"/>
          <w:sz w:val="20"/>
          <w:szCs w:val="20"/>
        </w:rPr>
        <w:t xml:space="preserve">: </w:t>
      </w:r>
      <w:r w:rsidR="00B967AC">
        <w:rPr>
          <w:rFonts w:ascii="Times New Roman" w:hAnsi="Times New Roman" w:cs="Times New Roman"/>
          <w:sz w:val="20"/>
          <w:szCs w:val="20"/>
        </w:rPr>
        <w:t xml:space="preserve">increasing natural mortality rate, and decreases in recruitment strength, somatic growth and condition factor. Defining a robustness threshold enabled the calculation of a performance metric of </w:t>
      </w:r>
      <w:r w:rsidR="008479C6">
        <w:rPr>
          <w:rFonts w:ascii="Times New Roman" w:hAnsi="Times New Roman" w:cs="Times New Roman"/>
          <w:sz w:val="20"/>
          <w:szCs w:val="20"/>
        </w:rPr>
        <w:t xml:space="preserve">climate </w:t>
      </w:r>
      <w:r w:rsidR="00B967AC">
        <w:rPr>
          <w:rFonts w:ascii="Times New Roman" w:hAnsi="Times New Roman" w:cs="Times New Roman"/>
          <w:sz w:val="20"/>
          <w:szCs w:val="20"/>
        </w:rPr>
        <w:t>robustness</w:t>
      </w:r>
      <w:r w:rsidR="008479C6">
        <w:rPr>
          <w:rFonts w:ascii="Times New Roman" w:hAnsi="Times New Roman" w:cs="Times New Roman"/>
          <w:sz w:val="20"/>
          <w:szCs w:val="20"/>
        </w:rPr>
        <w:t xml:space="preserve"> that </w:t>
      </w:r>
      <w:r w:rsidR="00026F69">
        <w:rPr>
          <w:rFonts w:ascii="Times New Roman" w:hAnsi="Times New Roman" w:cs="Times New Roman"/>
          <w:sz w:val="20"/>
          <w:szCs w:val="20"/>
        </w:rPr>
        <w:t>was</w:t>
      </w:r>
      <w:r w:rsidR="00B967AC">
        <w:rPr>
          <w:rFonts w:ascii="Times New Roman" w:hAnsi="Times New Roman" w:cs="Times New Roman"/>
          <w:sz w:val="20"/>
          <w:szCs w:val="20"/>
        </w:rPr>
        <w:t xml:space="preserve"> calculated for each type of climate impact for three management procedure (MP) archetypes and two MP derivatives. Shifting</w:t>
      </w:r>
      <w:r w:rsidR="00B967AC" w:rsidRPr="00B967AC">
        <w:rPr>
          <w:rFonts w:ascii="Times New Roman" w:hAnsi="Times New Roman" w:cs="Times New Roman"/>
          <w:sz w:val="20"/>
          <w:szCs w:val="20"/>
        </w:rPr>
        <w:t xml:space="preserve"> the focus away from establishing defensible climate forecasts and towards climate robustness performance metrics, provided information that could support the selection of MPs accounting for climate impacts. It was not necessary to know the exact type of impact or the exact level of forecasted </w:t>
      </w:r>
      <w:r w:rsidR="00FC72C1">
        <w:rPr>
          <w:rFonts w:ascii="Times New Roman" w:hAnsi="Times New Roman" w:cs="Times New Roman"/>
          <w:sz w:val="20"/>
          <w:szCs w:val="20"/>
        </w:rPr>
        <w:t>impact</w:t>
      </w:r>
      <w:r w:rsidR="00B967AC" w:rsidRPr="00B967AC">
        <w:rPr>
          <w:rFonts w:ascii="Times New Roman" w:hAnsi="Times New Roman" w:cs="Times New Roman"/>
          <w:sz w:val="20"/>
          <w:szCs w:val="20"/>
        </w:rPr>
        <w:t xml:space="preserve"> to identify an MP that clearly and consistently outperformed the rest in terms of climate robustness.</w:t>
      </w:r>
    </w:p>
    <w:p w14:paraId="2F7F7FBF" w14:textId="77777777" w:rsidR="002A22DC" w:rsidRDefault="002A22DC" w:rsidP="00BF66E9">
      <w:pPr>
        <w:jc w:val="center"/>
        <w:rPr>
          <w:rFonts w:ascii="Times New Roman" w:hAnsi="Times New Roman" w:cs="Times New Roman"/>
          <w:i/>
          <w:sz w:val="20"/>
          <w:szCs w:val="20"/>
        </w:rPr>
      </w:pPr>
    </w:p>
    <w:p w14:paraId="6147998B" w14:textId="5D415C51" w:rsidR="00BF66E9" w:rsidRPr="00EE1E21" w:rsidRDefault="00BF66E9" w:rsidP="00BF66E9">
      <w:pPr>
        <w:jc w:val="center"/>
        <w:rPr>
          <w:rFonts w:ascii="Times New Roman" w:hAnsi="Times New Roman" w:cs="Times New Roman"/>
          <w:i/>
          <w:sz w:val="20"/>
          <w:szCs w:val="20"/>
        </w:rPr>
      </w:pPr>
      <w:r w:rsidRPr="00EE1E21">
        <w:rPr>
          <w:rFonts w:ascii="Times New Roman" w:hAnsi="Times New Roman" w:cs="Times New Roman"/>
          <w:i/>
          <w:sz w:val="20"/>
          <w:szCs w:val="20"/>
        </w:rPr>
        <w:t>KEYWORDS</w:t>
      </w:r>
    </w:p>
    <w:p w14:paraId="5C21F738" w14:textId="3F8F57B6" w:rsidR="00BF66E9" w:rsidRPr="00EE1E21" w:rsidRDefault="00BF66E9" w:rsidP="00BF66E9">
      <w:pPr>
        <w:ind w:left="709" w:right="663"/>
        <w:jc w:val="center"/>
        <w:rPr>
          <w:rFonts w:ascii="Times New Roman" w:hAnsi="Times New Roman" w:cs="Times New Roman"/>
          <w:i/>
          <w:sz w:val="20"/>
          <w:szCs w:val="20"/>
        </w:rPr>
      </w:pPr>
      <w:r w:rsidRPr="00EE1E21">
        <w:rPr>
          <w:rFonts w:ascii="Times New Roman" w:hAnsi="Times New Roman" w:cs="Times New Roman"/>
          <w:i/>
          <w:sz w:val="20"/>
          <w:szCs w:val="20"/>
        </w:rPr>
        <w:t xml:space="preserve">Management </w:t>
      </w:r>
      <w:r w:rsidR="00577416" w:rsidRPr="00EE1E21">
        <w:rPr>
          <w:rFonts w:ascii="Times New Roman" w:hAnsi="Times New Roman" w:cs="Times New Roman"/>
          <w:i/>
          <w:sz w:val="20"/>
          <w:szCs w:val="20"/>
        </w:rPr>
        <w:t>s</w:t>
      </w:r>
      <w:r w:rsidRPr="00EE1E21">
        <w:rPr>
          <w:rFonts w:ascii="Times New Roman" w:hAnsi="Times New Roman" w:cs="Times New Roman"/>
          <w:i/>
          <w:sz w:val="20"/>
          <w:szCs w:val="20"/>
        </w:rPr>
        <w:t xml:space="preserve">trategy </w:t>
      </w:r>
      <w:r w:rsidR="00577416" w:rsidRPr="00EE1E21">
        <w:rPr>
          <w:rFonts w:ascii="Times New Roman" w:hAnsi="Times New Roman" w:cs="Times New Roman"/>
          <w:i/>
          <w:sz w:val="20"/>
          <w:szCs w:val="20"/>
        </w:rPr>
        <w:t>e</w:t>
      </w:r>
      <w:r w:rsidRPr="00EE1E21">
        <w:rPr>
          <w:rFonts w:ascii="Times New Roman" w:hAnsi="Times New Roman" w:cs="Times New Roman"/>
          <w:i/>
          <w:sz w:val="20"/>
          <w:szCs w:val="20"/>
        </w:rPr>
        <w:t xml:space="preserve">valuation, </w:t>
      </w:r>
      <w:r w:rsidR="007869B1">
        <w:rPr>
          <w:rFonts w:ascii="Times New Roman" w:hAnsi="Times New Roman" w:cs="Times New Roman"/>
          <w:i/>
          <w:sz w:val="20"/>
          <w:szCs w:val="20"/>
        </w:rPr>
        <w:t xml:space="preserve">bigeye tuna, </w:t>
      </w:r>
      <w:r w:rsidRPr="00EE1E21">
        <w:rPr>
          <w:rFonts w:ascii="Times New Roman" w:hAnsi="Times New Roman" w:cs="Times New Roman"/>
          <w:i/>
          <w:sz w:val="20"/>
          <w:szCs w:val="20"/>
        </w:rPr>
        <w:t>operating model, management procedure</w:t>
      </w:r>
      <w:r w:rsidR="00366298">
        <w:rPr>
          <w:rFonts w:ascii="Times New Roman" w:hAnsi="Times New Roman" w:cs="Times New Roman"/>
          <w:i/>
          <w:sz w:val="20"/>
          <w:szCs w:val="20"/>
        </w:rPr>
        <w:t>, harvest strategy</w:t>
      </w:r>
      <w:r w:rsidR="00577416" w:rsidRPr="00EE1E21">
        <w:rPr>
          <w:rFonts w:ascii="Times New Roman" w:hAnsi="Times New Roman" w:cs="Times New Roman"/>
          <w:i/>
          <w:sz w:val="20"/>
          <w:szCs w:val="20"/>
        </w:rPr>
        <w:t>.</w:t>
      </w:r>
    </w:p>
    <w:p w14:paraId="1AFF556F" w14:textId="77777777" w:rsidR="00BF66E9" w:rsidRDefault="00BF66E9">
      <w:pPr>
        <w:rPr>
          <w:rFonts w:cs="Times New Roman"/>
          <w:i/>
          <w:szCs w:val="20"/>
        </w:rPr>
      </w:pPr>
      <w:r>
        <w:rPr>
          <w:rFonts w:cs="Times New Roman"/>
          <w:i/>
          <w:szCs w:val="20"/>
        </w:rPr>
        <w:br w:type="page"/>
      </w:r>
    </w:p>
    <w:p w14:paraId="19C950B6" w14:textId="77777777" w:rsidR="006558D4" w:rsidRPr="00E63CA2" w:rsidRDefault="006558D4" w:rsidP="006558D4">
      <w:pPr>
        <w:spacing w:after="0" w:line="240" w:lineRule="auto"/>
        <w:jc w:val="both"/>
        <w:rPr>
          <w:rFonts w:ascii="Times New Roman" w:hAnsi="Times New Roman" w:cs="Times New Roman"/>
          <w:b/>
          <w:sz w:val="20"/>
          <w:szCs w:val="20"/>
        </w:rPr>
      </w:pPr>
      <w:r w:rsidRPr="00E63CA2">
        <w:rPr>
          <w:rFonts w:ascii="Times New Roman" w:hAnsi="Times New Roman" w:cs="Times New Roman"/>
          <w:b/>
          <w:sz w:val="20"/>
          <w:szCs w:val="20"/>
        </w:rPr>
        <w:lastRenderedPageBreak/>
        <w:t>Introduction</w:t>
      </w:r>
    </w:p>
    <w:p w14:paraId="77F61D91" w14:textId="7AC6ACE3" w:rsidR="00A0522F" w:rsidRDefault="00A0522F" w:rsidP="00A0522F">
      <w:pPr>
        <w:pStyle w:val="m-3105734326654151175msolistparagraph"/>
        <w:shd w:val="clear" w:color="auto" w:fill="FFFFFF"/>
        <w:spacing w:before="0" w:beforeAutospacing="0" w:after="0" w:afterAutospacing="0"/>
        <w:jc w:val="both"/>
        <w:rPr>
          <w:color w:val="000000" w:themeColor="text1"/>
          <w:sz w:val="20"/>
          <w:szCs w:val="20"/>
        </w:rPr>
      </w:pPr>
    </w:p>
    <w:p w14:paraId="41983C7B" w14:textId="76F62DA0" w:rsidR="00B0111D" w:rsidRDefault="005159FA" w:rsidP="00A0522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A review </w:t>
      </w:r>
      <w:r w:rsidR="00015962">
        <w:rPr>
          <w:rFonts w:ascii="Times New Roman" w:hAnsi="Times New Roman" w:cs="Times New Roman"/>
          <w:sz w:val="20"/>
          <w:szCs w:val="20"/>
        </w:rPr>
        <w:t>of papers that describe possible climate impacts on fisheries revealed very few examples where defensible forecasts were available</w:t>
      </w:r>
      <w:r w:rsidR="00B0111D">
        <w:rPr>
          <w:rFonts w:ascii="Times New Roman" w:hAnsi="Times New Roman" w:cs="Times New Roman"/>
          <w:sz w:val="20"/>
          <w:szCs w:val="20"/>
        </w:rPr>
        <w:t xml:space="preserve"> </w:t>
      </w:r>
      <w:r w:rsidR="00B0111D">
        <w:rPr>
          <w:rFonts w:ascii="Times New Roman" w:hAnsi="Times New Roman" w:cs="Times New Roman"/>
          <w:sz w:val="20"/>
          <w:szCs w:val="20"/>
        </w:rPr>
        <w:t>(Carruthers 2024)</w:t>
      </w:r>
      <w:r w:rsidR="00015962">
        <w:rPr>
          <w:rFonts w:ascii="Times New Roman" w:hAnsi="Times New Roman" w:cs="Times New Roman"/>
          <w:sz w:val="20"/>
          <w:szCs w:val="20"/>
        </w:rPr>
        <w:t xml:space="preserve">. </w:t>
      </w:r>
      <w:r w:rsidR="00B0111D" w:rsidRPr="00B0111D">
        <w:rPr>
          <w:rFonts w:ascii="Times New Roman" w:hAnsi="Times New Roman" w:cs="Times New Roman"/>
          <w:sz w:val="20"/>
          <w:szCs w:val="20"/>
        </w:rPr>
        <w:t xml:space="preserve">In theory, it is possible to </w:t>
      </w:r>
      <w:r w:rsidR="00B0111D">
        <w:rPr>
          <w:rFonts w:ascii="Times New Roman" w:hAnsi="Times New Roman" w:cs="Times New Roman"/>
          <w:sz w:val="20"/>
          <w:szCs w:val="20"/>
        </w:rPr>
        <w:t>develop an ‘end-to-end’ model that combines sub-</w:t>
      </w:r>
      <w:r w:rsidR="00B0111D" w:rsidRPr="00B0111D">
        <w:rPr>
          <w:rFonts w:ascii="Times New Roman" w:hAnsi="Times New Roman" w:cs="Times New Roman"/>
          <w:sz w:val="20"/>
          <w:szCs w:val="20"/>
        </w:rPr>
        <w:t>models of emissions (e.g., Algieri et al. 2023, Wang et al. 2017), earth systems (</w:t>
      </w:r>
      <w:proofErr w:type="spellStart"/>
      <w:r w:rsidR="00B0111D" w:rsidRPr="00B0111D">
        <w:rPr>
          <w:rFonts w:ascii="Times New Roman" w:hAnsi="Times New Roman" w:cs="Times New Roman"/>
          <w:sz w:val="20"/>
          <w:szCs w:val="20"/>
        </w:rPr>
        <w:t>Kawamiya</w:t>
      </w:r>
      <w:proofErr w:type="spellEnd"/>
      <w:r w:rsidR="00B0111D" w:rsidRPr="00B0111D">
        <w:rPr>
          <w:rFonts w:ascii="Times New Roman" w:hAnsi="Times New Roman" w:cs="Times New Roman"/>
          <w:sz w:val="20"/>
          <w:szCs w:val="20"/>
        </w:rPr>
        <w:t xml:space="preserve"> et al. 2020), ecosystems (e.g., Beaugrand and Kirby 2018, Lehodey et al. 2010; 2011), behaviour (e.g., Bushnell and Brill 1991, </w:t>
      </w:r>
      <w:proofErr w:type="spellStart"/>
      <w:r w:rsidR="00B0111D" w:rsidRPr="00B0111D">
        <w:rPr>
          <w:rFonts w:ascii="Times New Roman" w:hAnsi="Times New Roman" w:cs="Times New Roman"/>
          <w:sz w:val="20"/>
          <w:szCs w:val="20"/>
        </w:rPr>
        <w:t>Cayré</w:t>
      </w:r>
      <w:proofErr w:type="spellEnd"/>
      <w:r w:rsidR="00B0111D" w:rsidRPr="00B0111D">
        <w:rPr>
          <w:rFonts w:ascii="Times New Roman" w:hAnsi="Times New Roman" w:cs="Times New Roman"/>
          <w:sz w:val="20"/>
          <w:szCs w:val="20"/>
        </w:rPr>
        <w:t xml:space="preserve"> and Marsac 1993) and physiology (e.g., Gooding et al. 1981, Graham et al. 1989, Checkley et al. 2009). </w:t>
      </w:r>
      <w:r w:rsidR="00B0111D">
        <w:rPr>
          <w:rFonts w:ascii="Times New Roman" w:hAnsi="Times New Roman" w:cs="Times New Roman"/>
          <w:sz w:val="20"/>
          <w:szCs w:val="20"/>
        </w:rPr>
        <w:t xml:space="preserve">Forecasting fishery impacts would therefore combine a </w:t>
      </w:r>
      <w:r w:rsidR="00B0111D" w:rsidRPr="00B0111D">
        <w:rPr>
          <w:rFonts w:ascii="Times New Roman" w:hAnsi="Times New Roman" w:cs="Times New Roman"/>
          <w:sz w:val="20"/>
          <w:szCs w:val="20"/>
        </w:rPr>
        <w:t xml:space="preserve">complex series of linked projections that include greenhouse gas emissions (least uncertain), response of climate processes (uncertain), linkages with oceanographic conditions (more uncertain) and the expected impact of those on pelagic communities and individual species (most uncertain). </w:t>
      </w:r>
      <w:r w:rsidR="00B0111D">
        <w:rPr>
          <w:rFonts w:ascii="Times New Roman" w:hAnsi="Times New Roman" w:cs="Times New Roman"/>
          <w:sz w:val="20"/>
          <w:szCs w:val="20"/>
        </w:rPr>
        <w:t xml:space="preserve">It can be argued </w:t>
      </w:r>
      <w:r w:rsidR="00B0111D" w:rsidRPr="00B0111D">
        <w:rPr>
          <w:rFonts w:ascii="Times New Roman" w:hAnsi="Times New Roman" w:cs="Times New Roman"/>
          <w:sz w:val="20"/>
          <w:szCs w:val="20"/>
        </w:rPr>
        <w:t xml:space="preserve">that any </w:t>
      </w:r>
      <w:r w:rsidR="00B0111D">
        <w:rPr>
          <w:rFonts w:ascii="Times New Roman" w:hAnsi="Times New Roman" w:cs="Times New Roman"/>
          <w:sz w:val="20"/>
          <w:szCs w:val="20"/>
        </w:rPr>
        <w:t xml:space="preserve">forecast of </w:t>
      </w:r>
      <w:r w:rsidR="00B0111D" w:rsidRPr="00B0111D">
        <w:rPr>
          <w:rFonts w:ascii="Times New Roman" w:hAnsi="Times New Roman" w:cs="Times New Roman"/>
          <w:sz w:val="20"/>
          <w:szCs w:val="20"/>
        </w:rPr>
        <w:t xml:space="preserve">climate </w:t>
      </w:r>
      <w:r w:rsidR="00B0111D">
        <w:rPr>
          <w:rFonts w:ascii="Times New Roman" w:hAnsi="Times New Roman" w:cs="Times New Roman"/>
          <w:sz w:val="20"/>
          <w:szCs w:val="20"/>
        </w:rPr>
        <w:t>impacts on fisheries should be seen as</w:t>
      </w:r>
      <w:r w:rsidR="00B0111D" w:rsidRPr="00B0111D">
        <w:rPr>
          <w:rFonts w:ascii="Times New Roman" w:hAnsi="Times New Roman" w:cs="Times New Roman"/>
          <w:sz w:val="20"/>
          <w:szCs w:val="20"/>
        </w:rPr>
        <w:t xml:space="preserve"> firmly hypothetical, and the relative credibility of </w:t>
      </w:r>
      <w:r w:rsidR="00B0111D">
        <w:rPr>
          <w:rFonts w:ascii="Times New Roman" w:hAnsi="Times New Roman" w:cs="Times New Roman"/>
          <w:sz w:val="20"/>
          <w:szCs w:val="20"/>
        </w:rPr>
        <w:t>impact scenarios</w:t>
      </w:r>
      <w:r w:rsidR="00B0111D" w:rsidRPr="00B0111D">
        <w:rPr>
          <w:rFonts w:ascii="Times New Roman" w:hAnsi="Times New Roman" w:cs="Times New Roman"/>
          <w:sz w:val="20"/>
          <w:szCs w:val="20"/>
        </w:rPr>
        <w:t xml:space="preserve"> should be considered highly uncertain.</w:t>
      </w:r>
      <w:r w:rsidR="00B0111D">
        <w:rPr>
          <w:rFonts w:ascii="Times New Roman" w:hAnsi="Times New Roman" w:cs="Times New Roman"/>
          <w:sz w:val="20"/>
          <w:szCs w:val="20"/>
        </w:rPr>
        <w:t xml:space="preserve"> </w:t>
      </w:r>
    </w:p>
    <w:p w14:paraId="42BC2D75" w14:textId="77777777" w:rsidR="00B0111D" w:rsidRDefault="00B0111D" w:rsidP="00A0522F">
      <w:pPr>
        <w:spacing w:after="0" w:line="240" w:lineRule="auto"/>
        <w:jc w:val="both"/>
        <w:rPr>
          <w:rFonts w:ascii="Times New Roman" w:hAnsi="Times New Roman" w:cs="Times New Roman"/>
          <w:sz w:val="20"/>
          <w:szCs w:val="20"/>
        </w:rPr>
      </w:pPr>
    </w:p>
    <w:p w14:paraId="63475D20" w14:textId="77777777" w:rsidR="00241948" w:rsidRDefault="00241948" w:rsidP="00A0522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This large u</w:t>
      </w:r>
      <w:r w:rsidR="00B0111D">
        <w:rPr>
          <w:rFonts w:ascii="Times New Roman" w:hAnsi="Times New Roman" w:cs="Times New Roman"/>
          <w:sz w:val="20"/>
          <w:szCs w:val="20"/>
        </w:rPr>
        <w:t xml:space="preserve">ncertainty over climate impact scenarios poses a problem for the provision of </w:t>
      </w:r>
      <w:r w:rsidR="00B0111D">
        <w:rPr>
          <w:rFonts w:ascii="Times New Roman" w:hAnsi="Times New Roman" w:cs="Times New Roman"/>
          <w:sz w:val="20"/>
          <w:szCs w:val="20"/>
        </w:rPr>
        <w:t xml:space="preserve">‘climate ready’ </w:t>
      </w:r>
      <w:r w:rsidR="00B0111D">
        <w:rPr>
          <w:rFonts w:ascii="Times New Roman" w:hAnsi="Times New Roman" w:cs="Times New Roman"/>
          <w:sz w:val="20"/>
          <w:szCs w:val="20"/>
        </w:rPr>
        <w:t>fishery management advice using the contemporary stock assessment and management strategy evaluation (MSE) frameworks. That is because those frameworks rely on the specification of models that represent climate impacts and the frequency (weighting) of those models could strong affect the advice provided. For example, it may not be clear whether there will be small or large future changes in natural survival (natural mortality, M). Advice arising from scenarios with large M changes would likely lead to the provision of strongly differing advice from scenarios with small M changes, yet their</w:t>
      </w:r>
      <w:r>
        <w:rPr>
          <w:rFonts w:ascii="Times New Roman" w:hAnsi="Times New Roman" w:cs="Times New Roman"/>
          <w:sz w:val="20"/>
          <w:szCs w:val="20"/>
        </w:rPr>
        <w:t xml:space="preserve"> relative</w:t>
      </w:r>
      <w:r w:rsidR="00B0111D">
        <w:rPr>
          <w:rFonts w:ascii="Times New Roman" w:hAnsi="Times New Roman" w:cs="Times New Roman"/>
          <w:sz w:val="20"/>
          <w:szCs w:val="20"/>
        </w:rPr>
        <w:t xml:space="preserve"> credibility is not easily evaluated. </w:t>
      </w:r>
    </w:p>
    <w:p w14:paraId="15E18F75" w14:textId="77777777" w:rsidR="00241948" w:rsidRDefault="00241948" w:rsidP="00A0522F">
      <w:pPr>
        <w:spacing w:after="0" w:line="240" w:lineRule="auto"/>
        <w:jc w:val="both"/>
        <w:rPr>
          <w:rFonts w:ascii="Times New Roman" w:hAnsi="Times New Roman" w:cs="Times New Roman"/>
          <w:sz w:val="20"/>
          <w:szCs w:val="20"/>
        </w:rPr>
      </w:pPr>
    </w:p>
    <w:p w14:paraId="0B583ED4" w14:textId="368FF3EB" w:rsidR="005159FA" w:rsidRDefault="005159FA" w:rsidP="00A0522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Although</w:t>
      </w:r>
      <w:r w:rsidR="00241948">
        <w:rPr>
          <w:rFonts w:ascii="Times New Roman" w:hAnsi="Times New Roman" w:cs="Times New Roman"/>
          <w:sz w:val="20"/>
          <w:szCs w:val="20"/>
        </w:rPr>
        <w:t xml:space="preserve"> quantitative</w:t>
      </w:r>
      <w:r>
        <w:rPr>
          <w:rFonts w:ascii="Times New Roman" w:hAnsi="Times New Roman" w:cs="Times New Roman"/>
          <w:sz w:val="20"/>
          <w:szCs w:val="20"/>
        </w:rPr>
        <w:t xml:space="preserve"> forecasts of climate impacts on fisheries </w:t>
      </w:r>
      <w:r w:rsidR="00241948">
        <w:rPr>
          <w:rFonts w:ascii="Times New Roman" w:hAnsi="Times New Roman" w:cs="Times New Roman"/>
          <w:sz w:val="20"/>
          <w:szCs w:val="20"/>
        </w:rPr>
        <w:t>may not be available</w:t>
      </w:r>
      <w:r>
        <w:rPr>
          <w:rFonts w:ascii="Times New Roman" w:hAnsi="Times New Roman" w:cs="Times New Roman"/>
          <w:sz w:val="20"/>
          <w:szCs w:val="20"/>
        </w:rPr>
        <w:t>, qualitatively</w:t>
      </w:r>
      <w:r w:rsidR="00241948">
        <w:rPr>
          <w:rFonts w:ascii="Times New Roman" w:hAnsi="Times New Roman" w:cs="Times New Roman"/>
          <w:sz w:val="20"/>
          <w:szCs w:val="20"/>
        </w:rPr>
        <w:t>,</w:t>
      </w:r>
      <w:r>
        <w:rPr>
          <w:rFonts w:ascii="Times New Roman" w:hAnsi="Times New Roman" w:cs="Times New Roman"/>
          <w:sz w:val="20"/>
          <w:szCs w:val="20"/>
        </w:rPr>
        <w:t xml:space="preserve"> the </w:t>
      </w:r>
      <w:r w:rsidR="00241948">
        <w:rPr>
          <w:rFonts w:ascii="Times New Roman" w:hAnsi="Times New Roman" w:cs="Times New Roman"/>
          <w:sz w:val="20"/>
          <w:szCs w:val="20"/>
        </w:rPr>
        <w:t>way in which climate can</w:t>
      </w:r>
      <w:r>
        <w:rPr>
          <w:rFonts w:ascii="Times New Roman" w:hAnsi="Times New Roman" w:cs="Times New Roman"/>
          <w:sz w:val="20"/>
          <w:szCs w:val="20"/>
        </w:rPr>
        <w:t xml:space="preserve"> impact </w:t>
      </w:r>
      <w:r w:rsidR="00241948">
        <w:rPr>
          <w:rFonts w:ascii="Times New Roman" w:hAnsi="Times New Roman" w:cs="Times New Roman"/>
          <w:sz w:val="20"/>
          <w:szCs w:val="20"/>
        </w:rPr>
        <w:t xml:space="preserve">individual </w:t>
      </w:r>
      <w:r>
        <w:rPr>
          <w:rFonts w:ascii="Times New Roman" w:hAnsi="Times New Roman" w:cs="Times New Roman"/>
          <w:sz w:val="20"/>
          <w:szCs w:val="20"/>
        </w:rPr>
        <w:t xml:space="preserve">populations is clear. </w:t>
      </w:r>
      <w:r w:rsidR="00241948">
        <w:rPr>
          <w:rFonts w:ascii="Times New Roman" w:hAnsi="Times New Roman" w:cs="Times New Roman"/>
          <w:sz w:val="20"/>
          <w:szCs w:val="20"/>
        </w:rPr>
        <w:t>M</w:t>
      </w:r>
      <w:r>
        <w:rPr>
          <w:rFonts w:ascii="Times New Roman" w:hAnsi="Times New Roman" w:cs="Times New Roman"/>
          <w:sz w:val="20"/>
          <w:szCs w:val="20"/>
        </w:rPr>
        <w:t xml:space="preserve">ost papers documenting possible impacts predict changes in recruitment strength (carrying capacity, spawning habitat, larval survival), </w:t>
      </w:r>
      <w:r w:rsidR="00241948">
        <w:rPr>
          <w:rFonts w:ascii="Times New Roman" w:hAnsi="Times New Roman" w:cs="Times New Roman"/>
          <w:sz w:val="20"/>
          <w:szCs w:val="20"/>
        </w:rPr>
        <w:t xml:space="preserve">adult </w:t>
      </w:r>
      <w:r>
        <w:rPr>
          <w:rFonts w:ascii="Times New Roman" w:hAnsi="Times New Roman" w:cs="Times New Roman"/>
          <w:sz w:val="20"/>
          <w:szCs w:val="20"/>
        </w:rPr>
        <w:t xml:space="preserve">survival (natural mortality rate), somatic growth, spatial distribution (range contraction, catchability) age at maturity and condition factor (fecundity). Additionally, it is generally understood what direction of change in those variables poses a challenge for management procedures: lower recruitment strength, decreased survival, lower somatic growth rate, reduced spatial distribution, older age at maturity and poorer condition factor. </w:t>
      </w:r>
    </w:p>
    <w:p w14:paraId="64FD8FBE" w14:textId="77777777" w:rsidR="005159FA" w:rsidRDefault="005159FA" w:rsidP="00A0522F">
      <w:pPr>
        <w:spacing w:after="0" w:line="240" w:lineRule="auto"/>
        <w:jc w:val="both"/>
        <w:rPr>
          <w:rFonts w:ascii="Times New Roman" w:hAnsi="Times New Roman" w:cs="Times New Roman"/>
          <w:sz w:val="20"/>
          <w:szCs w:val="20"/>
        </w:rPr>
      </w:pPr>
    </w:p>
    <w:p w14:paraId="539CFF00" w14:textId="64079FF0" w:rsidR="007869B1" w:rsidRDefault="005159FA" w:rsidP="00A0522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Rather than leaving the investigation of climate resilience stalled in the (perhaps indefinite) wait for scientifically defensible forecasts of climate impacts, this paper proposes an alternative approach</w:t>
      </w:r>
      <w:r w:rsidR="00241948">
        <w:rPr>
          <w:rFonts w:ascii="Times New Roman" w:hAnsi="Times New Roman" w:cs="Times New Roman"/>
          <w:sz w:val="20"/>
          <w:szCs w:val="20"/>
        </w:rPr>
        <w:t xml:space="preserve">. </w:t>
      </w:r>
      <w:r w:rsidR="00241948">
        <w:rPr>
          <w:rFonts w:ascii="Times New Roman" w:hAnsi="Times New Roman" w:cs="Times New Roman"/>
          <w:sz w:val="20"/>
          <w:szCs w:val="20"/>
        </w:rPr>
        <w:t xml:space="preserve">The solution proposed here is to shift the focus </w:t>
      </w:r>
      <w:r w:rsidR="00241948" w:rsidRPr="00E349D9">
        <w:rPr>
          <w:rFonts w:ascii="Times New Roman" w:hAnsi="Times New Roman" w:cs="Times New Roman"/>
          <w:sz w:val="20"/>
          <w:szCs w:val="20"/>
        </w:rPr>
        <w:t>from model-based tests</w:t>
      </w:r>
      <w:r w:rsidR="00241948">
        <w:rPr>
          <w:rFonts w:ascii="Times New Roman" w:hAnsi="Times New Roman" w:cs="Times New Roman"/>
          <w:sz w:val="20"/>
          <w:szCs w:val="20"/>
        </w:rPr>
        <w:t xml:space="preserve"> </w:t>
      </w:r>
      <w:r w:rsidR="00E349D9">
        <w:rPr>
          <w:rFonts w:ascii="Times New Roman" w:hAnsi="Times New Roman" w:cs="Times New Roman"/>
          <w:sz w:val="20"/>
          <w:szCs w:val="20"/>
        </w:rPr>
        <w:t xml:space="preserve">of climate robustness </w:t>
      </w:r>
      <w:r w:rsidR="00241948">
        <w:rPr>
          <w:rFonts w:ascii="Times New Roman" w:hAnsi="Times New Roman" w:cs="Times New Roman"/>
          <w:sz w:val="20"/>
          <w:szCs w:val="20"/>
        </w:rPr>
        <w:t xml:space="preserve">in favour of </w:t>
      </w:r>
      <w:r w:rsidR="00241948" w:rsidRPr="00E349D9">
        <w:rPr>
          <w:rFonts w:ascii="Times New Roman" w:hAnsi="Times New Roman" w:cs="Times New Roman"/>
          <w:sz w:val="20"/>
          <w:szCs w:val="20"/>
        </w:rPr>
        <w:t>performance metrics</w:t>
      </w:r>
      <w:r w:rsidR="00241948">
        <w:rPr>
          <w:rFonts w:ascii="Times New Roman" w:hAnsi="Times New Roman" w:cs="Times New Roman"/>
          <w:sz w:val="20"/>
          <w:szCs w:val="20"/>
        </w:rPr>
        <w:t xml:space="preserve"> of climate robustness. </w:t>
      </w:r>
      <w:r w:rsidR="00241948">
        <w:rPr>
          <w:rFonts w:ascii="Times New Roman" w:hAnsi="Times New Roman" w:cs="Times New Roman"/>
          <w:sz w:val="20"/>
          <w:szCs w:val="20"/>
        </w:rPr>
        <w:t>Those metrics are</w:t>
      </w:r>
      <w:r w:rsidR="00241948">
        <w:rPr>
          <w:rFonts w:ascii="Times New Roman" w:hAnsi="Times New Roman" w:cs="Times New Roman"/>
          <w:sz w:val="20"/>
          <w:szCs w:val="20"/>
        </w:rPr>
        <w:t xml:space="preserve"> </w:t>
      </w:r>
      <w:r w:rsidR="00241948">
        <w:rPr>
          <w:rFonts w:ascii="Times New Roman" w:hAnsi="Times New Roman" w:cs="Times New Roman"/>
          <w:sz w:val="20"/>
          <w:szCs w:val="20"/>
        </w:rPr>
        <w:t xml:space="preserve">linked to a </w:t>
      </w:r>
      <w:r>
        <w:rPr>
          <w:rFonts w:ascii="Times New Roman" w:hAnsi="Times New Roman" w:cs="Times New Roman"/>
          <w:sz w:val="20"/>
          <w:szCs w:val="20"/>
        </w:rPr>
        <w:t xml:space="preserve">language of climate </w:t>
      </w:r>
      <w:r w:rsidR="00241948">
        <w:rPr>
          <w:rFonts w:ascii="Times New Roman" w:hAnsi="Times New Roman" w:cs="Times New Roman"/>
          <w:sz w:val="20"/>
          <w:szCs w:val="20"/>
        </w:rPr>
        <w:t xml:space="preserve">robustness to help </w:t>
      </w:r>
      <w:r>
        <w:rPr>
          <w:rFonts w:ascii="Times New Roman" w:hAnsi="Times New Roman" w:cs="Times New Roman"/>
          <w:sz w:val="20"/>
          <w:szCs w:val="20"/>
        </w:rPr>
        <w:t xml:space="preserve">enable managers to select </w:t>
      </w:r>
      <w:r w:rsidR="00241948">
        <w:rPr>
          <w:rFonts w:ascii="Times New Roman" w:hAnsi="Times New Roman" w:cs="Times New Roman"/>
          <w:sz w:val="20"/>
          <w:szCs w:val="20"/>
        </w:rPr>
        <w:t xml:space="preserve">climate-ready </w:t>
      </w:r>
      <w:r>
        <w:rPr>
          <w:rFonts w:ascii="Times New Roman" w:hAnsi="Times New Roman" w:cs="Times New Roman"/>
          <w:sz w:val="20"/>
          <w:szCs w:val="20"/>
        </w:rPr>
        <w:t xml:space="preserve">management procedures. </w:t>
      </w:r>
    </w:p>
    <w:p w14:paraId="25C8FEF6" w14:textId="77777777" w:rsidR="007869B1" w:rsidRDefault="007869B1" w:rsidP="00A0522F">
      <w:pPr>
        <w:spacing w:after="0" w:line="240" w:lineRule="auto"/>
        <w:jc w:val="both"/>
        <w:rPr>
          <w:rFonts w:ascii="Times New Roman" w:hAnsi="Times New Roman" w:cs="Times New Roman"/>
          <w:sz w:val="20"/>
          <w:szCs w:val="20"/>
        </w:rPr>
      </w:pPr>
    </w:p>
    <w:p w14:paraId="3EFA6D66" w14:textId="38C642DC" w:rsidR="000D7006" w:rsidRDefault="007869B1" w:rsidP="00A0522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A proof-of-concept is presented here for Atlantic bigeye tuna </w:t>
      </w:r>
      <w:r w:rsidR="00E349D9">
        <w:rPr>
          <w:rFonts w:ascii="Times New Roman" w:hAnsi="Times New Roman" w:cs="Times New Roman"/>
          <w:sz w:val="20"/>
          <w:szCs w:val="20"/>
        </w:rPr>
        <w:t xml:space="preserve">where metrics of climate robustness were derived from </w:t>
      </w:r>
      <w:r>
        <w:rPr>
          <w:rFonts w:ascii="Times New Roman" w:hAnsi="Times New Roman" w:cs="Times New Roman"/>
          <w:sz w:val="20"/>
          <w:szCs w:val="20"/>
        </w:rPr>
        <w:t>four possible climate impacts on populations</w:t>
      </w:r>
      <w:r w:rsidR="00E349D9">
        <w:rPr>
          <w:rFonts w:ascii="Times New Roman" w:hAnsi="Times New Roman" w:cs="Times New Roman"/>
          <w:sz w:val="20"/>
          <w:szCs w:val="20"/>
        </w:rPr>
        <w:t>.</w:t>
      </w:r>
      <w:r>
        <w:rPr>
          <w:rFonts w:ascii="Times New Roman" w:hAnsi="Times New Roman" w:cs="Times New Roman"/>
          <w:sz w:val="20"/>
          <w:szCs w:val="20"/>
        </w:rPr>
        <w:t xml:space="preserve"> </w:t>
      </w:r>
    </w:p>
    <w:p w14:paraId="71555B45" w14:textId="77777777" w:rsidR="00241948" w:rsidRDefault="00241948" w:rsidP="00A0522F">
      <w:pPr>
        <w:spacing w:after="0" w:line="240" w:lineRule="auto"/>
        <w:jc w:val="both"/>
        <w:rPr>
          <w:rFonts w:ascii="Times New Roman" w:hAnsi="Times New Roman" w:cs="Times New Roman"/>
          <w:bCs/>
          <w:sz w:val="20"/>
          <w:szCs w:val="20"/>
        </w:rPr>
      </w:pPr>
    </w:p>
    <w:p w14:paraId="1AB61C47" w14:textId="77777777" w:rsidR="000D7006" w:rsidRDefault="000D7006" w:rsidP="00A0522F">
      <w:pPr>
        <w:spacing w:after="0" w:line="240" w:lineRule="auto"/>
        <w:jc w:val="both"/>
        <w:rPr>
          <w:rFonts w:ascii="Times New Roman" w:hAnsi="Times New Roman" w:cs="Times New Roman"/>
          <w:b/>
          <w:sz w:val="20"/>
          <w:szCs w:val="20"/>
        </w:rPr>
      </w:pPr>
    </w:p>
    <w:p w14:paraId="37D94082" w14:textId="2CDC7732" w:rsidR="00A0522F" w:rsidRDefault="00A0522F" w:rsidP="00A0522F">
      <w:pPr>
        <w:spacing w:after="0" w:line="240" w:lineRule="auto"/>
        <w:jc w:val="both"/>
        <w:rPr>
          <w:rFonts w:ascii="Times New Roman" w:hAnsi="Times New Roman" w:cs="Times New Roman"/>
          <w:b/>
          <w:sz w:val="20"/>
          <w:szCs w:val="20"/>
        </w:rPr>
      </w:pPr>
      <w:r w:rsidRPr="00E63CA2">
        <w:rPr>
          <w:rFonts w:ascii="Times New Roman" w:hAnsi="Times New Roman" w:cs="Times New Roman"/>
          <w:b/>
          <w:sz w:val="20"/>
          <w:szCs w:val="20"/>
        </w:rPr>
        <w:t xml:space="preserve">Methods </w:t>
      </w:r>
    </w:p>
    <w:p w14:paraId="2DEB48B7" w14:textId="77777777" w:rsidR="00467562" w:rsidRDefault="00467562" w:rsidP="00A0522F">
      <w:pPr>
        <w:spacing w:after="0" w:line="240" w:lineRule="auto"/>
        <w:jc w:val="both"/>
        <w:rPr>
          <w:rFonts w:ascii="Times New Roman" w:hAnsi="Times New Roman" w:cs="Times New Roman"/>
          <w:b/>
          <w:sz w:val="20"/>
          <w:szCs w:val="20"/>
        </w:rPr>
      </w:pPr>
    </w:p>
    <w:p w14:paraId="6213661B" w14:textId="3E200935" w:rsidR="00015962" w:rsidRDefault="00922451" w:rsidP="00C5254B">
      <w:pPr>
        <w:spacing w:after="0" w:line="240" w:lineRule="auto"/>
        <w:jc w:val="both"/>
        <w:rPr>
          <w:rFonts w:ascii="Times New Roman" w:eastAsia="Times New Roman" w:hAnsi="Times New Roman" w:cs="Times New Roman"/>
          <w:b/>
          <w:i/>
          <w:color w:val="000000"/>
          <w:sz w:val="20"/>
          <w:szCs w:val="20"/>
          <w:lang w:eastAsia="en-CA"/>
        </w:rPr>
      </w:pPr>
      <w:r>
        <w:rPr>
          <w:rFonts w:ascii="Times New Roman" w:eastAsia="Times New Roman" w:hAnsi="Times New Roman" w:cs="Times New Roman"/>
          <w:b/>
          <w:i/>
          <w:color w:val="000000"/>
          <w:sz w:val="20"/>
          <w:szCs w:val="20"/>
          <w:lang w:eastAsia="en-CA"/>
        </w:rPr>
        <w:t>Types of Impact</w:t>
      </w:r>
    </w:p>
    <w:p w14:paraId="636D8F55" w14:textId="77777777" w:rsidR="00015962" w:rsidRDefault="00015962" w:rsidP="00C5254B">
      <w:pPr>
        <w:spacing w:after="0" w:line="240" w:lineRule="auto"/>
        <w:jc w:val="both"/>
        <w:rPr>
          <w:rFonts w:ascii="Times New Roman" w:eastAsia="Times New Roman" w:hAnsi="Times New Roman" w:cs="Times New Roman"/>
          <w:b/>
          <w:i/>
          <w:color w:val="000000"/>
          <w:sz w:val="20"/>
          <w:szCs w:val="20"/>
          <w:lang w:eastAsia="en-CA"/>
        </w:rPr>
      </w:pPr>
    </w:p>
    <w:p w14:paraId="0D0E29B7" w14:textId="0B4F57CB" w:rsidR="007869B1" w:rsidRDefault="007869B1" w:rsidP="00C5254B">
      <w:pPr>
        <w:spacing w:after="0" w:line="240" w:lineRule="auto"/>
        <w:jc w:val="both"/>
        <w:rPr>
          <w:rFonts w:ascii="Times New Roman" w:eastAsia="Times New Roman" w:hAnsi="Times New Roman" w:cs="Times New Roman"/>
          <w:bCs/>
          <w:iCs/>
          <w:color w:val="000000"/>
          <w:sz w:val="20"/>
          <w:szCs w:val="20"/>
          <w:lang w:eastAsia="en-CA"/>
        </w:rPr>
      </w:pPr>
      <w:r>
        <w:rPr>
          <w:rFonts w:ascii="Times New Roman" w:eastAsia="Times New Roman" w:hAnsi="Times New Roman" w:cs="Times New Roman"/>
          <w:bCs/>
          <w:iCs/>
          <w:color w:val="000000"/>
          <w:sz w:val="20"/>
          <w:szCs w:val="20"/>
          <w:lang w:eastAsia="en-CA"/>
        </w:rPr>
        <w:t>Climate robustness metrics were developed for four types of impact:</w:t>
      </w:r>
    </w:p>
    <w:p w14:paraId="3C4E53CF" w14:textId="77777777" w:rsidR="007869B1" w:rsidRDefault="007869B1" w:rsidP="00C5254B">
      <w:pPr>
        <w:spacing w:after="0" w:line="240" w:lineRule="auto"/>
        <w:jc w:val="both"/>
        <w:rPr>
          <w:rFonts w:ascii="Times New Roman" w:eastAsia="Times New Roman" w:hAnsi="Times New Roman" w:cs="Times New Roman"/>
          <w:bCs/>
          <w:iCs/>
          <w:color w:val="000000"/>
          <w:sz w:val="20"/>
          <w:szCs w:val="20"/>
          <w:lang w:eastAsia="en-CA"/>
        </w:rPr>
      </w:pPr>
    </w:p>
    <w:p w14:paraId="2B2B6294" w14:textId="0B4DB343" w:rsidR="007869B1" w:rsidRDefault="007869B1" w:rsidP="007869B1">
      <w:pPr>
        <w:spacing w:after="80" w:line="240" w:lineRule="auto"/>
        <w:ind w:left="284"/>
        <w:jc w:val="both"/>
        <w:rPr>
          <w:rFonts w:ascii="Times New Roman" w:eastAsia="Times New Roman" w:hAnsi="Times New Roman" w:cs="Times New Roman"/>
          <w:bCs/>
          <w:iCs/>
          <w:color w:val="000000"/>
          <w:sz w:val="20"/>
          <w:szCs w:val="20"/>
          <w:lang w:eastAsia="en-CA"/>
        </w:rPr>
      </w:pPr>
      <w:r>
        <w:rPr>
          <w:rFonts w:ascii="Times New Roman" w:eastAsia="Times New Roman" w:hAnsi="Times New Roman" w:cs="Times New Roman"/>
          <w:bCs/>
          <w:iCs/>
          <w:color w:val="000000"/>
          <w:sz w:val="20"/>
          <w:szCs w:val="20"/>
          <w:lang w:eastAsia="en-CA"/>
        </w:rPr>
        <w:t>M: increasing natural mortality rate (decreased adult survival)</w:t>
      </w:r>
    </w:p>
    <w:p w14:paraId="0AE61034" w14:textId="77777777" w:rsidR="007869B1" w:rsidRDefault="007869B1" w:rsidP="007869B1">
      <w:pPr>
        <w:spacing w:after="80" w:line="240" w:lineRule="auto"/>
        <w:ind w:left="284"/>
        <w:jc w:val="both"/>
        <w:rPr>
          <w:rFonts w:ascii="Times New Roman" w:eastAsia="Times New Roman" w:hAnsi="Times New Roman" w:cs="Times New Roman"/>
          <w:bCs/>
          <w:iCs/>
          <w:color w:val="000000"/>
          <w:sz w:val="20"/>
          <w:szCs w:val="20"/>
          <w:lang w:eastAsia="en-CA"/>
        </w:rPr>
      </w:pPr>
      <w:r>
        <w:rPr>
          <w:rFonts w:ascii="Times New Roman" w:eastAsia="Times New Roman" w:hAnsi="Times New Roman" w:cs="Times New Roman"/>
          <w:bCs/>
          <w:iCs/>
          <w:color w:val="000000"/>
          <w:sz w:val="20"/>
          <w:szCs w:val="20"/>
          <w:lang w:eastAsia="en-CA"/>
        </w:rPr>
        <w:t>R: decreasing recruitment strength (carrying capacity, fecundity, larval survival)</w:t>
      </w:r>
    </w:p>
    <w:p w14:paraId="4FF04576" w14:textId="0454CC6F" w:rsidR="007869B1" w:rsidRDefault="007869B1" w:rsidP="007869B1">
      <w:pPr>
        <w:spacing w:after="80" w:line="240" w:lineRule="auto"/>
        <w:ind w:left="284"/>
        <w:jc w:val="both"/>
        <w:rPr>
          <w:rFonts w:ascii="Times New Roman" w:eastAsia="Times New Roman" w:hAnsi="Times New Roman" w:cs="Times New Roman"/>
          <w:bCs/>
          <w:iCs/>
          <w:color w:val="000000"/>
          <w:sz w:val="20"/>
          <w:szCs w:val="20"/>
          <w:lang w:eastAsia="en-CA"/>
        </w:rPr>
      </w:pPr>
      <w:r>
        <w:rPr>
          <w:rFonts w:ascii="Times New Roman" w:eastAsia="Times New Roman" w:hAnsi="Times New Roman" w:cs="Times New Roman"/>
          <w:bCs/>
          <w:iCs/>
          <w:color w:val="000000"/>
          <w:sz w:val="20"/>
          <w:szCs w:val="20"/>
          <w:lang w:eastAsia="en-CA"/>
        </w:rPr>
        <w:t xml:space="preserve">K: decreasing somatic growth (von </w:t>
      </w:r>
      <w:proofErr w:type="spellStart"/>
      <w:r>
        <w:rPr>
          <w:rFonts w:ascii="Times New Roman" w:eastAsia="Times New Roman" w:hAnsi="Times New Roman" w:cs="Times New Roman"/>
          <w:bCs/>
          <w:iCs/>
          <w:color w:val="000000"/>
          <w:sz w:val="20"/>
          <w:szCs w:val="20"/>
          <w:lang w:eastAsia="en-CA"/>
        </w:rPr>
        <w:t>Bertalan</w:t>
      </w:r>
      <w:r w:rsidR="00E84F0E">
        <w:rPr>
          <w:rFonts w:ascii="Times New Roman" w:eastAsia="Times New Roman" w:hAnsi="Times New Roman" w:cs="Times New Roman"/>
          <w:bCs/>
          <w:iCs/>
          <w:color w:val="000000"/>
          <w:sz w:val="20"/>
          <w:szCs w:val="20"/>
          <w:lang w:eastAsia="en-CA"/>
        </w:rPr>
        <w:t>n</w:t>
      </w:r>
      <w:r>
        <w:rPr>
          <w:rFonts w:ascii="Times New Roman" w:eastAsia="Times New Roman" w:hAnsi="Times New Roman" w:cs="Times New Roman"/>
          <w:bCs/>
          <w:iCs/>
          <w:color w:val="000000"/>
          <w:sz w:val="20"/>
          <w:szCs w:val="20"/>
          <w:lang w:eastAsia="en-CA"/>
        </w:rPr>
        <w:t>fy</w:t>
      </w:r>
      <w:proofErr w:type="spellEnd"/>
      <w:r>
        <w:rPr>
          <w:rFonts w:ascii="Times New Roman" w:eastAsia="Times New Roman" w:hAnsi="Times New Roman" w:cs="Times New Roman"/>
          <w:bCs/>
          <w:iCs/>
          <w:color w:val="000000"/>
          <w:sz w:val="20"/>
          <w:szCs w:val="20"/>
          <w:lang w:eastAsia="en-CA"/>
        </w:rPr>
        <w:t xml:space="preserve"> growth parameter K)</w:t>
      </w:r>
    </w:p>
    <w:p w14:paraId="669A8F22" w14:textId="10B4AFB2" w:rsidR="00015962" w:rsidRDefault="007869B1" w:rsidP="007869B1">
      <w:pPr>
        <w:spacing w:after="0" w:line="240" w:lineRule="auto"/>
        <w:ind w:left="284"/>
        <w:jc w:val="both"/>
        <w:rPr>
          <w:rFonts w:ascii="Times New Roman" w:eastAsia="Times New Roman" w:hAnsi="Times New Roman" w:cs="Times New Roman"/>
          <w:bCs/>
          <w:iCs/>
          <w:color w:val="000000"/>
          <w:sz w:val="20"/>
          <w:szCs w:val="20"/>
          <w:lang w:eastAsia="en-CA"/>
        </w:rPr>
      </w:pPr>
      <w:r>
        <w:rPr>
          <w:rFonts w:ascii="Times New Roman" w:eastAsia="Times New Roman" w:hAnsi="Times New Roman" w:cs="Times New Roman"/>
          <w:bCs/>
          <w:iCs/>
          <w:color w:val="000000"/>
          <w:sz w:val="20"/>
          <w:szCs w:val="20"/>
          <w:lang w:eastAsia="en-CA"/>
        </w:rPr>
        <w:t xml:space="preserve">C: decreasing condition factor (weight at age).  </w:t>
      </w:r>
    </w:p>
    <w:p w14:paraId="7E11EE95" w14:textId="77777777" w:rsidR="007869B1" w:rsidRDefault="007869B1" w:rsidP="007869B1">
      <w:pPr>
        <w:spacing w:after="0" w:line="240" w:lineRule="auto"/>
        <w:jc w:val="both"/>
        <w:rPr>
          <w:rFonts w:ascii="Times New Roman" w:eastAsia="Times New Roman" w:hAnsi="Times New Roman" w:cs="Times New Roman"/>
          <w:bCs/>
          <w:iCs/>
          <w:color w:val="000000"/>
          <w:sz w:val="20"/>
          <w:szCs w:val="20"/>
          <w:lang w:eastAsia="en-CA"/>
        </w:rPr>
      </w:pPr>
    </w:p>
    <w:p w14:paraId="7CAA593B" w14:textId="6B2199A0" w:rsidR="007869B1" w:rsidRPr="007869B1" w:rsidRDefault="007869B1" w:rsidP="007869B1">
      <w:pPr>
        <w:spacing w:after="0" w:line="240" w:lineRule="auto"/>
        <w:jc w:val="both"/>
        <w:rPr>
          <w:rFonts w:ascii="Times New Roman" w:eastAsia="Times New Roman" w:hAnsi="Times New Roman" w:cs="Times New Roman"/>
          <w:bCs/>
          <w:iCs/>
          <w:color w:val="000000"/>
          <w:sz w:val="20"/>
          <w:szCs w:val="20"/>
          <w:lang w:eastAsia="en-CA"/>
        </w:rPr>
      </w:pPr>
      <w:r>
        <w:rPr>
          <w:rFonts w:ascii="Times New Roman" w:eastAsia="Times New Roman" w:hAnsi="Times New Roman" w:cs="Times New Roman"/>
          <w:bCs/>
          <w:iCs/>
          <w:color w:val="000000"/>
          <w:sz w:val="20"/>
          <w:szCs w:val="20"/>
          <w:lang w:eastAsia="en-CA"/>
        </w:rPr>
        <w:t>For the purposes of this demonstration, these properties were linearly increased/decreased over time. In other climate robustness tests</w:t>
      </w:r>
      <w:r w:rsidR="00E349D9">
        <w:rPr>
          <w:rFonts w:ascii="Times New Roman" w:eastAsia="Times New Roman" w:hAnsi="Times New Roman" w:cs="Times New Roman"/>
          <w:bCs/>
          <w:iCs/>
          <w:color w:val="000000"/>
          <w:sz w:val="20"/>
          <w:szCs w:val="20"/>
          <w:lang w:eastAsia="en-CA"/>
        </w:rPr>
        <w:t>,</w:t>
      </w:r>
      <w:r>
        <w:rPr>
          <w:rFonts w:ascii="Times New Roman" w:eastAsia="Times New Roman" w:hAnsi="Times New Roman" w:cs="Times New Roman"/>
          <w:bCs/>
          <w:iCs/>
          <w:color w:val="000000"/>
          <w:sz w:val="20"/>
          <w:szCs w:val="20"/>
          <w:lang w:eastAsia="en-CA"/>
        </w:rPr>
        <w:t xml:space="preserve"> step changes or variability could also be simulated. </w:t>
      </w:r>
    </w:p>
    <w:p w14:paraId="76E5554C" w14:textId="77777777" w:rsidR="00015962" w:rsidRDefault="00015962" w:rsidP="00C5254B">
      <w:pPr>
        <w:spacing w:after="0" w:line="240" w:lineRule="auto"/>
        <w:jc w:val="both"/>
        <w:rPr>
          <w:rFonts w:ascii="Times New Roman" w:eastAsia="Times New Roman" w:hAnsi="Times New Roman" w:cs="Times New Roman"/>
          <w:b/>
          <w:i/>
          <w:color w:val="000000"/>
          <w:sz w:val="20"/>
          <w:szCs w:val="20"/>
          <w:lang w:eastAsia="en-CA"/>
        </w:rPr>
      </w:pPr>
    </w:p>
    <w:p w14:paraId="76951F41" w14:textId="77777777" w:rsidR="00BC6F8E" w:rsidRDefault="00BC6F8E" w:rsidP="00C5254B">
      <w:pPr>
        <w:spacing w:after="0" w:line="240" w:lineRule="auto"/>
        <w:jc w:val="both"/>
        <w:rPr>
          <w:rFonts w:ascii="Times New Roman" w:eastAsia="Times New Roman" w:hAnsi="Times New Roman" w:cs="Times New Roman"/>
          <w:b/>
          <w:i/>
          <w:color w:val="000000"/>
          <w:sz w:val="20"/>
          <w:szCs w:val="20"/>
          <w:lang w:eastAsia="en-CA"/>
        </w:rPr>
      </w:pPr>
    </w:p>
    <w:p w14:paraId="190D85A6" w14:textId="499652E3" w:rsidR="00C5254B" w:rsidRPr="00015962" w:rsidRDefault="00015962" w:rsidP="00C5254B">
      <w:pPr>
        <w:spacing w:after="0" w:line="240" w:lineRule="auto"/>
        <w:jc w:val="both"/>
        <w:rPr>
          <w:rFonts w:ascii="Times New Roman" w:eastAsia="Times New Roman" w:hAnsi="Times New Roman" w:cs="Times New Roman"/>
          <w:b/>
          <w:i/>
          <w:color w:val="000000"/>
          <w:sz w:val="20"/>
          <w:szCs w:val="20"/>
          <w:lang w:eastAsia="en-CA"/>
        </w:rPr>
      </w:pPr>
      <w:r w:rsidRPr="00015962">
        <w:rPr>
          <w:rFonts w:ascii="Times New Roman" w:eastAsia="Times New Roman" w:hAnsi="Times New Roman" w:cs="Times New Roman"/>
          <w:b/>
          <w:i/>
          <w:color w:val="000000"/>
          <w:sz w:val="20"/>
          <w:szCs w:val="20"/>
          <w:lang w:eastAsia="en-CA"/>
        </w:rPr>
        <w:t>Operating model</w:t>
      </w:r>
    </w:p>
    <w:p w14:paraId="1D9D1F73" w14:textId="77777777" w:rsidR="00015962" w:rsidRDefault="00015962" w:rsidP="00C5254B">
      <w:pPr>
        <w:spacing w:after="0" w:line="240" w:lineRule="auto"/>
        <w:jc w:val="both"/>
        <w:rPr>
          <w:rFonts w:ascii="Times New Roman" w:eastAsia="Times New Roman" w:hAnsi="Times New Roman" w:cs="Times New Roman"/>
          <w:b/>
          <w:iCs/>
          <w:color w:val="000000"/>
          <w:sz w:val="20"/>
          <w:szCs w:val="20"/>
          <w:lang w:eastAsia="en-CA"/>
        </w:rPr>
      </w:pPr>
    </w:p>
    <w:p w14:paraId="484072D2" w14:textId="108F3F5A" w:rsidR="00015962" w:rsidRPr="007869B1" w:rsidRDefault="007869B1" w:rsidP="00C5254B">
      <w:pPr>
        <w:spacing w:after="0" w:line="240" w:lineRule="auto"/>
        <w:jc w:val="both"/>
        <w:rPr>
          <w:rFonts w:ascii="Times New Roman" w:eastAsia="Times New Roman" w:hAnsi="Times New Roman" w:cs="Times New Roman"/>
          <w:bCs/>
          <w:iCs/>
          <w:color w:val="000000"/>
          <w:sz w:val="20"/>
          <w:szCs w:val="20"/>
          <w:lang w:eastAsia="en-CA"/>
        </w:rPr>
      </w:pPr>
      <w:r>
        <w:rPr>
          <w:rFonts w:ascii="Times New Roman" w:eastAsia="Times New Roman" w:hAnsi="Times New Roman" w:cs="Times New Roman"/>
          <w:bCs/>
          <w:iCs/>
          <w:color w:val="000000"/>
          <w:sz w:val="20"/>
          <w:szCs w:val="20"/>
          <w:lang w:eastAsia="en-CA"/>
        </w:rPr>
        <w:t xml:space="preserve">The operating model was developed from the </w:t>
      </w:r>
      <w:r w:rsidR="00F06E6D">
        <w:rPr>
          <w:rFonts w:ascii="Times New Roman" w:eastAsia="Times New Roman" w:hAnsi="Times New Roman" w:cs="Times New Roman"/>
          <w:bCs/>
          <w:iCs/>
          <w:color w:val="000000"/>
          <w:sz w:val="20"/>
          <w:szCs w:val="20"/>
          <w:lang w:eastAsia="en-CA"/>
        </w:rPr>
        <w:t xml:space="preserve">base case model from the 2021 Stock Synthesis 3 assessment of bigeye tuna (Anon 2021). The model was modified in two ways: (1) the mean current (2019) depletion level was lowered from 1.07 SSBMSY to SSBMSY and (2) a 15% CV on current depletion was assumed, creating </w:t>
      </w:r>
      <w:r w:rsidR="00E349D9">
        <w:rPr>
          <w:rFonts w:ascii="Times New Roman" w:eastAsia="Times New Roman" w:hAnsi="Times New Roman" w:cs="Times New Roman"/>
          <w:bCs/>
          <w:iCs/>
          <w:color w:val="000000"/>
          <w:sz w:val="20"/>
          <w:szCs w:val="20"/>
          <w:lang w:eastAsia="en-CA"/>
        </w:rPr>
        <w:t xml:space="preserve">depletion </w:t>
      </w:r>
      <w:r w:rsidR="00F06E6D">
        <w:rPr>
          <w:rFonts w:ascii="Times New Roman" w:eastAsia="Times New Roman" w:hAnsi="Times New Roman" w:cs="Times New Roman"/>
          <w:bCs/>
          <w:iCs/>
          <w:color w:val="000000"/>
          <w:sz w:val="20"/>
          <w:szCs w:val="20"/>
          <w:lang w:eastAsia="en-CA"/>
        </w:rPr>
        <w:lastRenderedPageBreak/>
        <w:t xml:space="preserve">scenarios starting both below and above the maximum likelihood estimate from the Base Case assessment (a 90% interval of </w:t>
      </w:r>
      <w:r w:rsidR="00E349D9">
        <w:rPr>
          <w:rFonts w:ascii="Times New Roman" w:eastAsia="Times New Roman" w:hAnsi="Times New Roman" w:cs="Times New Roman"/>
          <w:bCs/>
          <w:iCs/>
          <w:color w:val="000000"/>
          <w:sz w:val="20"/>
          <w:szCs w:val="20"/>
          <w:lang w:eastAsia="en-CA"/>
        </w:rPr>
        <w:t xml:space="preserve">SSB </w:t>
      </w:r>
      <w:r w:rsidR="00F06E6D">
        <w:rPr>
          <w:rFonts w:ascii="Times New Roman" w:eastAsia="Times New Roman" w:hAnsi="Times New Roman" w:cs="Times New Roman"/>
          <w:bCs/>
          <w:iCs/>
          <w:color w:val="000000"/>
          <w:sz w:val="20"/>
          <w:szCs w:val="20"/>
          <w:lang w:eastAsia="en-CA"/>
        </w:rPr>
        <w:t>between 71% and 135% SSBMSY in 2019). These changes were so that management procedures (MPs) would have to navigate situations where the stock was both under and overfished and potentially subject to current overfishing and underfishing (i.e. more uncertain and challenging test of MP performance)</w:t>
      </w:r>
    </w:p>
    <w:p w14:paraId="68E7A901" w14:textId="77777777" w:rsidR="00015962" w:rsidRDefault="00015962" w:rsidP="00C5254B">
      <w:pPr>
        <w:spacing w:after="0" w:line="240" w:lineRule="auto"/>
        <w:jc w:val="both"/>
        <w:rPr>
          <w:rFonts w:ascii="Times New Roman" w:eastAsia="Times New Roman" w:hAnsi="Times New Roman" w:cs="Times New Roman"/>
          <w:b/>
          <w:iCs/>
          <w:color w:val="000000"/>
          <w:sz w:val="20"/>
          <w:szCs w:val="20"/>
          <w:lang w:eastAsia="en-CA"/>
        </w:rPr>
      </w:pPr>
    </w:p>
    <w:p w14:paraId="12FA24D2" w14:textId="77777777" w:rsidR="00BC6F8E" w:rsidRDefault="00BC6F8E" w:rsidP="00C5254B">
      <w:pPr>
        <w:spacing w:after="0" w:line="240" w:lineRule="auto"/>
        <w:jc w:val="both"/>
        <w:rPr>
          <w:rFonts w:ascii="Times New Roman" w:eastAsia="Times New Roman" w:hAnsi="Times New Roman" w:cs="Times New Roman"/>
          <w:b/>
          <w:iCs/>
          <w:color w:val="000000"/>
          <w:sz w:val="20"/>
          <w:szCs w:val="20"/>
          <w:lang w:eastAsia="en-CA"/>
        </w:rPr>
      </w:pPr>
    </w:p>
    <w:p w14:paraId="69267796" w14:textId="58E4B1E9" w:rsidR="00587C93" w:rsidRDefault="00015962" w:rsidP="00C5254B">
      <w:pPr>
        <w:spacing w:after="0" w:line="240" w:lineRule="auto"/>
        <w:jc w:val="both"/>
        <w:rPr>
          <w:rFonts w:ascii="Times New Roman" w:eastAsia="Times New Roman" w:hAnsi="Times New Roman" w:cs="Times New Roman"/>
          <w:b/>
          <w:i/>
          <w:color w:val="000000"/>
          <w:sz w:val="20"/>
          <w:szCs w:val="20"/>
          <w:lang w:eastAsia="en-CA"/>
        </w:rPr>
      </w:pPr>
      <w:r w:rsidRPr="00015962">
        <w:rPr>
          <w:rFonts w:ascii="Times New Roman" w:eastAsia="Times New Roman" w:hAnsi="Times New Roman" w:cs="Times New Roman"/>
          <w:b/>
          <w:i/>
          <w:color w:val="000000"/>
          <w:sz w:val="20"/>
          <w:szCs w:val="20"/>
          <w:lang w:eastAsia="en-CA"/>
        </w:rPr>
        <w:t>Defining Robustness</w:t>
      </w:r>
      <w:r w:rsidR="00E349D9">
        <w:rPr>
          <w:rFonts w:ascii="Times New Roman" w:eastAsia="Times New Roman" w:hAnsi="Times New Roman" w:cs="Times New Roman"/>
          <w:b/>
          <w:i/>
          <w:color w:val="000000"/>
          <w:sz w:val="20"/>
          <w:szCs w:val="20"/>
          <w:lang w:eastAsia="en-CA"/>
        </w:rPr>
        <w:t xml:space="preserve"> Threshold</w:t>
      </w:r>
    </w:p>
    <w:p w14:paraId="208091B6" w14:textId="77777777" w:rsidR="00F06E6D" w:rsidRDefault="00F06E6D" w:rsidP="00C5254B">
      <w:pPr>
        <w:spacing w:after="0" w:line="240" w:lineRule="auto"/>
        <w:jc w:val="both"/>
        <w:rPr>
          <w:rFonts w:ascii="Times New Roman" w:eastAsia="Times New Roman" w:hAnsi="Times New Roman" w:cs="Times New Roman"/>
          <w:b/>
          <w:i/>
          <w:color w:val="000000"/>
          <w:sz w:val="20"/>
          <w:szCs w:val="20"/>
          <w:lang w:eastAsia="en-CA"/>
        </w:rPr>
      </w:pPr>
    </w:p>
    <w:p w14:paraId="3623D944" w14:textId="71C0A73D" w:rsidR="00587C93" w:rsidRDefault="00587C93" w:rsidP="00C5254B">
      <w:pPr>
        <w:spacing w:after="0" w:line="240" w:lineRule="auto"/>
        <w:jc w:val="both"/>
        <w:rPr>
          <w:rFonts w:ascii="Times New Roman" w:eastAsia="Times New Roman" w:hAnsi="Times New Roman" w:cs="Times New Roman"/>
          <w:bCs/>
          <w:iCs/>
          <w:color w:val="000000"/>
          <w:sz w:val="20"/>
          <w:szCs w:val="20"/>
          <w:lang w:eastAsia="en-CA"/>
        </w:rPr>
      </w:pPr>
      <w:r>
        <w:rPr>
          <w:rFonts w:ascii="Times New Roman" w:eastAsia="Times New Roman" w:hAnsi="Times New Roman" w:cs="Times New Roman"/>
          <w:bCs/>
          <w:iCs/>
          <w:color w:val="000000"/>
          <w:sz w:val="20"/>
          <w:szCs w:val="20"/>
          <w:lang w:eastAsia="en-CA"/>
        </w:rPr>
        <w:t xml:space="preserve">In a real management setting, the managers would </w:t>
      </w:r>
      <w:r w:rsidR="00E349D9">
        <w:rPr>
          <w:rFonts w:ascii="Times New Roman" w:eastAsia="Times New Roman" w:hAnsi="Times New Roman" w:cs="Times New Roman"/>
          <w:bCs/>
          <w:iCs/>
          <w:color w:val="000000"/>
          <w:sz w:val="20"/>
          <w:szCs w:val="20"/>
          <w:lang w:eastAsia="en-CA"/>
        </w:rPr>
        <w:t xml:space="preserve">be required to </w:t>
      </w:r>
      <w:r>
        <w:rPr>
          <w:rFonts w:ascii="Times New Roman" w:eastAsia="Times New Roman" w:hAnsi="Times New Roman" w:cs="Times New Roman"/>
          <w:bCs/>
          <w:iCs/>
          <w:color w:val="000000"/>
          <w:sz w:val="20"/>
          <w:szCs w:val="20"/>
          <w:lang w:eastAsia="en-CA"/>
        </w:rPr>
        <w:t xml:space="preserve">define what they consider to be a threshold for determining </w:t>
      </w:r>
      <w:r w:rsidR="00E349D9">
        <w:rPr>
          <w:rFonts w:ascii="Times New Roman" w:eastAsia="Times New Roman" w:hAnsi="Times New Roman" w:cs="Times New Roman"/>
          <w:bCs/>
          <w:iCs/>
          <w:color w:val="000000"/>
          <w:sz w:val="20"/>
          <w:szCs w:val="20"/>
          <w:lang w:eastAsia="en-CA"/>
        </w:rPr>
        <w:t xml:space="preserve">climate </w:t>
      </w:r>
      <w:r>
        <w:rPr>
          <w:rFonts w:ascii="Times New Roman" w:eastAsia="Times New Roman" w:hAnsi="Times New Roman" w:cs="Times New Roman"/>
          <w:bCs/>
          <w:iCs/>
          <w:color w:val="000000"/>
          <w:sz w:val="20"/>
          <w:szCs w:val="20"/>
          <w:lang w:eastAsia="en-CA"/>
        </w:rPr>
        <w:t xml:space="preserve">robustness. In this demonstration </w:t>
      </w:r>
      <w:r w:rsidR="00E349D9">
        <w:rPr>
          <w:rFonts w:ascii="Times New Roman" w:eastAsia="Times New Roman" w:hAnsi="Times New Roman" w:cs="Times New Roman"/>
          <w:bCs/>
          <w:iCs/>
          <w:color w:val="000000"/>
          <w:sz w:val="20"/>
          <w:szCs w:val="20"/>
          <w:lang w:eastAsia="en-CA"/>
        </w:rPr>
        <w:t>this</w:t>
      </w:r>
      <w:r w:rsidR="00F06E6D">
        <w:rPr>
          <w:rFonts w:ascii="Times New Roman" w:eastAsia="Times New Roman" w:hAnsi="Times New Roman" w:cs="Times New Roman"/>
          <w:bCs/>
          <w:iCs/>
          <w:color w:val="000000"/>
          <w:sz w:val="20"/>
          <w:szCs w:val="20"/>
          <w:lang w:eastAsia="en-CA"/>
        </w:rPr>
        <w:t xml:space="preserve"> was</w:t>
      </w:r>
      <w:r>
        <w:rPr>
          <w:rFonts w:ascii="Times New Roman" w:eastAsia="Times New Roman" w:hAnsi="Times New Roman" w:cs="Times New Roman"/>
          <w:bCs/>
          <w:iCs/>
          <w:color w:val="000000"/>
          <w:sz w:val="20"/>
          <w:szCs w:val="20"/>
          <w:lang w:eastAsia="en-CA"/>
        </w:rPr>
        <w:t xml:space="preserve"> defined as a 30% decline in </w:t>
      </w:r>
      <w:r w:rsidR="00F06E6D">
        <w:rPr>
          <w:rFonts w:ascii="Times New Roman" w:eastAsia="Times New Roman" w:hAnsi="Times New Roman" w:cs="Times New Roman"/>
          <w:bCs/>
          <w:iCs/>
          <w:color w:val="000000"/>
          <w:sz w:val="20"/>
          <w:szCs w:val="20"/>
          <w:lang w:eastAsia="en-CA"/>
        </w:rPr>
        <w:t xml:space="preserve">current </w:t>
      </w:r>
      <w:r>
        <w:rPr>
          <w:rFonts w:ascii="Times New Roman" w:eastAsia="Times New Roman" w:hAnsi="Times New Roman" w:cs="Times New Roman"/>
          <w:bCs/>
          <w:iCs/>
          <w:color w:val="000000"/>
          <w:sz w:val="20"/>
          <w:szCs w:val="20"/>
          <w:lang w:eastAsia="en-CA"/>
        </w:rPr>
        <w:t xml:space="preserve">spawning biomass </w:t>
      </w:r>
      <w:r w:rsidR="00F06E6D">
        <w:rPr>
          <w:rFonts w:ascii="Times New Roman" w:eastAsia="Times New Roman" w:hAnsi="Times New Roman" w:cs="Times New Roman"/>
          <w:bCs/>
          <w:iCs/>
          <w:color w:val="000000"/>
          <w:sz w:val="20"/>
          <w:szCs w:val="20"/>
          <w:lang w:eastAsia="en-CA"/>
        </w:rPr>
        <w:t xml:space="preserve">over 20 years (MPs were tuned to obtain current biomass in 20 years with no climate impact, see below). </w:t>
      </w:r>
    </w:p>
    <w:p w14:paraId="690053F1" w14:textId="77777777" w:rsidR="00E349D9" w:rsidRDefault="00E349D9" w:rsidP="00C5254B">
      <w:pPr>
        <w:spacing w:after="0" w:line="240" w:lineRule="auto"/>
        <w:jc w:val="both"/>
        <w:rPr>
          <w:rFonts w:ascii="Times New Roman" w:eastAsia="Times New Roman" w:hAnsi="Times New Roman" w:cs="Times New Roman"/>
          <w:bCs/>
          <w:iCs/>
          <w:color w:val="000000"/>
          <w:sz w:val="20"/>
          <w:szCs w:val="20"/>
          <w:lang w:eastAsia="en-CA"/>
        </w:rPr>
      </w:pPr>
    </w:p>
    <w:p w14:paraId="5F452F66" w14:textId="2F469751" w:rsidR="00E349D9" w:rsidRDefault="00E349D9" w:rsidP="00C5254B">
      <w:pPr>
        <w:spacing w:after="0" w:line="240" w:lineRule="auto"/>
        <w:jc w:val="both"/>
        <w:rPr>
          <w:rFonts w:ascii="Times New Roman" w:eastAsia="Times New Roman" w:hAnsi="Times New Roman" w:cs="Times New Roman"/>
          <w:bCs/>
          <w:iCs/>
          <w:color w:val="000000"/>
          <w:sz w:val="20"/>
          <w:szCs w:val="20"/>
          <w:lang w:eastAsia="en-CA"/>
        </w:rPr>
      </w:pPr>
      <w:r>
        <w:rPr>
          <w:rFonts w:ascii="Times New Roman" w:eastAsia="Times New Roman" w:hAnsi="Times New Roman" w:cs="Times New Roman"/>
          <w:bCs/>
          <w:iCs/>
          <w:color w:val="000000"/>
          <w:sz w:val="20"/>
          <w:szCs w:val="20"/>
          <w:lang w:eastAsia="en-CA"/>
        </w:rPr>
        <w:t xml:space="preserve">The choice of spawning biomass as the variable used to defining robustness was deliberate. Any MSY-based reference points are difficult because they can be highly inconsistent among climate impacts. For example, decreasing recruitment strength impacts estimates of SSB unfished, and SSBMSY but does not impact estimates of FMSY. On the other hand, increasing natural mortality rate both increases FMSY and decreases SSBMSY. In the increasing natural mortality rate </w:t>
      </w:r>
      <w:proofErr w:type="gramStart"/>
      <w:r>
        <w:rPr>
          <w:rFonts w:ascii="Times New Roman" w:eastAsia="Times New Roman" w:hAnsi="Times New Roman" w:cs="Times New Roman"/>
          <w:bCs/>
          <w:iCs/>
          <w:color w:val="000000"/>
          <w:sz w:val="20"/>
          <w:szCs w:val="20"/>
          <w:lang w:eastAsia="en-CA"/>
        </w:rPr>
        <w:t>scenario</w:t>
      </w:r>
      <w:proofErr w:type="gramEnd"/>
      <w:r>
        <w:rPr>
          <w:rFonts w:ascii="Times New Roman" w:eastAsia="Times New Roman" w:hAnsi="Times New Roman" w:cs="Times New Roman"/>
          <w:bCs/>
          <w:iCs/>
          <w:color w:val="000000"/>
          <w:sz w:val="20"/>
          <w:szCs w:val="20"/>
          <w:lang w:eastAsia="en-CA"/>
        </w:rPr>
        <w:t xml:space="preserve"> the stock could decline strongly while staying above SSBMSY (i.e. it was robust only due to the definition of MSY reference points changing). The use of spawning biomass removes this problem of a moving goal post depending on the type of impact that was simulated.  </w:t>
      </w:r>
    </w:p>
    <w:p w14:paraId="3AE710BE" w14:textId="77777777" w:rsidR="00587C93" w:rsidRDefault="00587C93" w:rsidP="00C5254B">
      <w:pPr>
        <w:spacing w:after="0" w:line="240" w:lineRule="auto"/>
        <w:jc w:val="both"/>
        <w:rPr>
          <w:rFonts w:ascii="Times New Roman" w:eastAsia="Times New Roman" w:hAnsi="Times New Roman" w:cs="Times New Roman"/>
          <w:bCs/>
          <w:iCs/>
          <w:color w:val="000000"/>
          <w:sz w:val="20"/>
          <w:szCs w:val="20"/>
          <w:lang w:eastAsia="en-CA"/>
        </w:rPr>
      </w:pPr>
    </w:p>
    <w:p w14:paraId="365F02DB" w14:textId="77777777" w:rsidR="00BC6F8E" w:rsidRDefault="00BC6F8E" w:rsidP="00C5254B">
      <w:pPr>
        <w:spacing w:after="0" w:line="240" w:lineRule="auto"/>
        <w:jc w:val="both"/>
        <w:rPr>
          <w:rFonts w:ascii="Times New Roman" w:eastAsia="Times New Roman" w:hAnsi="Times New Roman" w:cs="Times New Roman"/>
          <w:bCs/>
          <w:iCs/>
          <w:color w:val="000000"/>
          <w:sz w:val="20"/>
          <w:szCs w:val="20"/>
          <w:lang w:eastAsia="en-CA"/>
        </w:rPr>
      </w:pPr>
    </w:p>
    <w:p w14:paraId="4F138C74" w14:textId="77777777" w:rsidR="00F06E6D" w:rsidRDefault="00587C93" w:rsidP="00C5254B">
      <w:pPr>
        <w:spacing w:after="0" w:line="240" w:lineRule="auto"/>
        <w:jc w:val="both"/>
        <w:rPr>
          <w:rFonts w:ascii="Times New Roman" w:eastAsia="Times New Roman" w:hAnsi="Times New Roman" w:cs="Times New Roman"/>
          <w:b/>
          <w:i/>
          <w:color w:val="000000"/>
          <w:sz w:val="20"/>
          <w:szCs w:val="20"/>
          <w:lang w:eastAsia="en-CA"/>
        </w:rPr>
      </w:pPr>
      <w:r w:rsidRPr="00587C93">
        <w:rPr>
          <w:rFonts w:ascii="Times New Roman" w:eastAsia="Times New Roman" w:hAnsi="Times New Roman" w:cs="Times New Roman"/>
          <w:b/>
          <w:i/>
          <w:color w:val="000000"/>
          <w:sz w:val="20"/>
          <w:szCs w:val="20"/>
          <w:lang w:eastAsia="en-CA"/>
        </w:rPr>
        <w:t>Management procedures</w:t>
      </w:r>
    </w:p>
    <w:p w14:paraId="6D4B2B55" w14:textId="77777777" w:rsidR="00F06E6D" w:rsidRDefault="00F06E6D" w:rsidP="00C5254B">
      <w:pPr>
        <w:spacing w:after="0" w:line="240" w:lineRule="auto"/>
        <w:jc w:val="both"/>
        <w:rPr>
          <w:rFonts w:ascii="Times New Roman" w:eastAsia="Times New Roman" w:hAnsi="Times New Roman" w:cs="Times New Roman"/>
          <w:b/>
          <w:i/>
          <w:color w:val="000000"/>
          <w:sz w:val="20"/>
          <w:szCs w:val="20"/>
          <w:lang w:eastAsia="en-CA"/>
        </w:rPr>
      </w:pPr>
    </w:p>
    <w:p w14:paraId="24A889CD" w14:textId="5DEB47A9" w:rsidR="00F06E6D" w:rsidRDefault="00F06E6D" w:rsidP="00C5254B">
      <w:pPr>
        <w:spacing w:after="0" w:line="240" w:lineRule="auto"/>
        <w:jc w:val="both"/>
        <w:rPr>
          <w:rFonts w:ascii="Times New Roman" w:eastAsia="Times New Roman" w:hAnsi="Times New Roman" w:cs="Times New Roman"/>
          <w:bCs/>
          <w:iCs/>
          <w:color w:val="000000"/>
          <w:sz w:val="20"/>
          <w:szCs w:val="20"/>
          <w:lang w:eastAsia="en-CA"/>
        </w:rPr>
      </w:pPr>
      <w:r>
        <w:rPr>
          <w:rFonts w:ascii="Times New Roman" w:eastAsia="Times New Roman" w:hAnsi="Times New Roman" w:cs="Times New Roman"/>
          <w:bCs/>
          <w:iCs/>
          <w:color w:val="000000"/>
          <w:sz w:val="20"/>
          <w:szCs w:val="20"/>
          <w:lang w:eastAsia="en-CA"/>
        </w:rPr>
        <w:t>In order to show a diversity of performance outcomes, three index (e.g., CPUE, fishery independent survey) based MP archetypes were tested:</w:t>
      </w:r>
    </w:p>
    <w:p w14:paraId="44EE8B12" w14:textId="77777777" w:rsidR="00E349D9" w:rsidRDefault="00E349D9" w:rsidP="00C5254B">
      <w:pPr>
        <w:spacing w:after="0" w:line="240" w:lineRule="auto"/>
        <w:jc w:val="both"/>
        <w:rPr>
          <w:rFonts w:ascii="Times New Roman" w:eastAsia="Times New Roman" w:hAnsi="Times New Roman" w:cs="Times New Roman"/>
          <w:bCs/>
          <w:iCs/>
          <w:color w:val="000000"/>
          <w:sz w:val="20"/>
          <w:szCs w:val="20"/>
          <w:lang w:eastAsia="en-CA"/>
        </w:rPr>
      </w:pPr>
    </w:p>
    <w:p w14:paraId="06DCBE6F" w14:textId="41969B31" w:rsidR="00E349D9" w:rsidRDefault="00E349D9" w:rsidP="00E349D9">
      <w:pPr>
        <w:pStyle w:val="ListParagraph"/>
        <w:numPr>
          <w:ilvl w:val="0"/>
          <w:numId w:val="5"/>
        </w:numPr>
        <w:spacing w:after="120" w:line="240" w:lineRule="auto"/>
        <w:ind w:left="714" w:hanging="357"/>
        <w:contextualSpacing w:val="0"/>
        <w:jc w:val="both"/>
        <w:rPr>
          <w:rFonts w:ascii="Times New Roman" w:hAnsi="Times New Roman" w:cs="Times New Roman"/>
          <w:bCs/>
          <w:sz w:val="20"/>
          <w:szCs w:val="20"/>
        </w:rPr>
      </w:pPr>
      <w:r w:rsidRPr="003463CC">
        <w:rPr>
          <w:rFonts w:ascii="Times New Roman" w:hAnsi="Times New Roman" w:cs="Times New Roman"/>
          <w:bCs/>
          <w:sz w:val="20"/>
          <w:szCs w:val="20"/>
        </w:rPr>
        <w:t>Index target</w:t>
      </w:r>
      <w:r>
        <w:rPr>
          <w:rFonts w:ascii="Times New Roman" w:hAnsi="Times New Roman" w:cs="Times New Roman"/>
          <w:bCs/>
          <w:sz w:val="20"/>
          <w:szCs w:val="20"/>
        </w:rPr>
        <w:t xml:space="preserve"> (</w:t>
      </w:r>
      <w:r w:rsidRPr="003463CC">
        <w:rPr>
          <w:rFonts w:ascii="Times New Roman" w:hAnsi="Times New Roman" w:cs="Times New Roman"/>
          <w:bCs/>
          <w:i/>
          <w:iCs/>
          <w:sz w:val="20"/>
          <w:szCs w:val="20"/>
        </w:rPr>
        <w:t>It</w:t>
      </w:r>
      <w:r>
        <w:rPr>
          <w:rFonts w:ascii="Times New Roman" w:hAnsi="Times New Roman" w:cs="Times New Roman"/>
          <w:bCs/>
          <w:sz w:val="20"/>
          <w:szCs w:val="20"/>
        </w:rPr>
        <w:t>)</w:t>
      </w:r>
      <w:r w:rsidRPr="003463CC">
        <w:rPr>
          <w:rFonts w:ascii="Times New Roman" w:hAnsi="Times New Roman" w:cs="Times New Roman"/>
          <w:bCs/>
          <w:sz w:val="20"/>
          <w:szCs w:val="20"/>
        </w:rPr>
        <w:t xml:space="preserve"> - reduces TAC when index is below</w:t>
      </w:r>
      <w:r>
        <w:rPr>
          <w:rFonts w:ascii="Times New Roman" w:hAnsi="Times New Roman" w:cs="Times New Roman"/>
          <w:bCs/>
          <w:sz w:val="20"/>
          <w:szCs w:val="20"/>
        </w:rPr>
        <w:t xml:space="preserve"> the</w:t>
      </w:r>
      <w:r w:rsidRPr="003463CC">
        <w:rPr>
          <w:rFonts w:ascii="Times New Roman" w:hAnsi="Times New Roman" w:cs="Times New Roman"/>
          <w:bCs/>
          <w:sz w:val="20"/>
          <w:szCs w:val="20"/>
        </w:rPr>
        <w:t xml:space="preserve"> target level, increases TAC when index is above target level</w:t>
      </w:r>
      <w:r>
        <w:rPr>
          <w:rFonts w:ascii="Times New Roman" w:hAnsi="Times New Roman" w:cs="Times New Roman"/>
          <w:bCs/>
          <w:sz w:val="20"/>
          <w:szCs w:val="20"/>
        </w:rPr>
        <w:t xml:space="preserve"> (tuned by adjusting the index target level)</w:t>
      </w:r>
    </w:p>
    <w:p w14:paraId="5D8251C2" w14:textId="77777777" w:rsidR="00E349D9" w:rsidRDefault="00E349D9" w:rsidP="00E349D9">
      <w:pPr>
        <w:pStyle w:val="ListParagraph"/>
        <w:numPr>
          <w:ilvl w:val="0"/>
          <w:numId w:val="5"/>
        </w:numPr>
        <w:spacing w:after="120" w:line="240" w:lineRule="auto"/>
        <w:ind w:left="714" w:hanging="357"/>
        <w:contextualSpacing w:val="0"/>
        <w:jc w:val="both"/>
        <w:rPr>
          <w:rFonts w:ascii="Times New Roman" w:hAnsi="Times New Roman" w:cs="Times New Roman"/>
          <w:bCs/>
          <w:sz w:val="20"/>
          <w:szCs w:val="20"/>
        </w:rPr>
      </w:pPr>
      <w:r w:rsidRPr="003463CC">
        <w:rPr>
          <w:rFonts w:ascii="Times New Roman" w:hAnsi="Times New Roman" w:cs="Times New Roman"/>
          <w:bCs/>
          <w:sz w:val="20"/>
          <w:szCs w:val="20"/>
        </w:rPr>
        <w:t>Index ratio</w:t>
      </w:r>
      <w:r>
        <w:rPr>
          <w:rFonts w:ascii="Times New Roman" w:hAnsi="Times New Roman" w:cs="Times New Roman"/>
          <w:bCs/>
          <w:sz w:val="20"/>
          <w:szCs w:val="20"/>
        </w:rPr>
        <w:t xml:space="preserve"> (</w:t>
      </w:r>
      <w:proofErr w:type="spellStart"/>
      <w:r w:rsidRPr="003463CC">
        <w:rPr>
          <w:rFonts w:ascii="Times New Roman" w:hAnsi="Times New Roman" w:cs="Times New Roman"/>
          <w:bCs/>
          <w:i/>
          <w:iCs/>
          <w:sz w:val="20"/>
          <w:szCs w:val="20"/>
        </w:rPr>
        <w:t>Ir</w:t>
      </w:r>
      <w:proofErr w:type="spellEnd"/>
      <w:r>
        <w:rPr>
          <w:rFonts w:ascii="Times New Roman" w:hAnsi="Times New Roman" w:cs="Times New Roman"/>
          <w:bCs/>
          <w:sz w:val="20"/>
          <w:szCs w:val="20"/>
        </w:rPr>
        <w:t xml:space="preserve">) - </w:t>
      </w:r>
      <w:r w:rsidRPr="003463CC">
        <w:rPr>
          <w:rFonts w:ascii="Times New Roman" w:hAnsi="Times New Roman" w:cs="Times New Roman"/>
          <w:bCs/>
          <w:sz w:val="20"/>
          <w:szCs w:val="20"/>
        </w:rPr>
        <w:t>fishes at a constant multiplier of the recent index level, i.e. a constant F policy</w:t>
      </w:r>
      <w:r>
        <w:rPr>
          <w:rFonts w:ascii="Times New Roman" w:hAnsi="Times New Roman" w:cs="Times New Roman"/>
          <w:bCs/>
          <w:sz w:val="20"/>
          <w:szCs w:val="20"/>
        </w:rPr>
        <w:t xml:space="preserve"> (tuned by adjusting the ratio)</w:t>
      </w:r>
    </w:p>
    <w:p w14:paraId="6B876A79" w14:textId="77777777" w:rsidR="00E349D9" w:rsidRDefault="00E349D9" w:rsidP="00E349D9">
      <w:pPr>
        <w:pStyle w:val="ListParagraph"/>
        <w:numPr>
          <w:ilvl w:val="0"/>
          <w:numId w:val="5"/>
        </w:numPr>
        <w:spacing w:after="0" w:line="240" w:lineRule="auto"/>
        <w:ind w:left="714" w:hanging="357"/>
        <w:contextualSpacing w:val="0"/>
        <w:jc w:val="both"/>
        <w:rPr>
          <w:rFonts w:ascii="Times New Roman" w:hAnsi="Times New Roman" w:cs="Times New Roman"/>
          <w:bCs/>
          <w:sz w:val="20"/>
          <w:szCs w:val="20"/>
        </w:rPr>
      </w:pPr>
      <w:r w:rsidRPr="003463CC">
        <w:rPr>
          <w:rFonts w:ascii="Times New Roman" w:hAnsi="Times New Roman" w:cs="Times New Roman"/>
          <w:bCs/>
          <w:sz w:val="20"/>
          <w:szCs w:val="20"/>
        </w:rPr>
        <w:t>Index slope</w:t>
      </w:r>
      <w:r>
        <w:rPr>
          <w:rFonts w:ascii="Times New Roman" w:hAnsi="Times New Roman" w:cs="Times New Roman"/>
          <w:bCs/>
          <w:sz w:val="20"/>
          <w:szCs w:val="20"/>
        </w:rPr>
        <w:t xml:space="preserve"> (</w:t>
      </w:r>
      <w:r w:rsidRPr="003463CC">
        <w:rPr>
          <w:rFonts w:ascii="Times New Roman" w:hAnsi="Times New Roman" w:cs="Times New Roman"/>
          <w:bCs/>
          <w:i/>
          <w:iCs/>
          <w:sz w:val="20"/>
          <w:szCs w:val="20"/>
        </w:rPr>
        <w:t>Is</w:t>
      </w:r>
      <w:r>
        <w:rPr>
          <w:rFonts w:ascii="Times New Roman" w:hAnsi="Times New Roman" w:cs="Times New Roman"/>
          <w:bCs/>
          <w:sz w:val="20"/>
          <w:szCs w:val="20"/>
        </w:rPr>
        <w:t>)</w:t>
      </w:r>
      <w:r w:rsidRPr="003463CC">
        <w:rPr>
          <w:rFonts w:ascii="Times New Roman" w:hAnsi="Times New Roman" w:cs="Times New Roman"/>
          <w:bCs/>
          <w:sz w:val="20"/>
          <w:szCs w:val="20"/>
        </w:rPr>
        <w:t xml:space="preserve"> </w:t>
      </w:r>
      <w:r>
        <w:rPr>
          <w:rFonts w:ascii="Times New Roman" w:hAnsi="Times New Roman" w:cs="Times New Roman"/>
          <w:bCs/>
          <w:sz w:val="20"/>
          <w:szCs w:val="20"/>
        </w:rPr>
        <w:t xml:space="preserve">- </w:t>
      </w:r>
      <w:r w:rsidRPr="003463CC">
        <w:rPr>
          <w:rFonts w:ascii="Times New Roman" w:hAnsi="Times New Roman" w:cs="Times New Roman"/>
          <w:bCs/>
          <w:sz w:val="20"/>
          <w:szCs w:val="20"/>
        </w:rPr>
        <w:t>aims to achieve a constant slope in the index</w:t>
      </w:r>
      <w:r>
        <w:rPr>
          <w:rFonts w:ascii="Times New Roman" w:hAnsi="Times New Roman" w:cs="Times New Roman"/>
          <w:bCs/>
          <w:sz w:val="20"/>
          <w:szCs w:val="20"/>
        </w:rPr>
        <w:t xml:space="preserve"> and reduces TAC when slope is below target and increases TAC when slope is above target (tuned by adjusting target slope). </w:t>
      </w:r>
    </w:p>
    <w:p w14:paraId="4E3CFAD7" w14:textId="450C8C7B" w:rsidR="000D7006" w:rsidRPr="00587C93" w:rsidRDefault="000D7006" w:rsidP="00C5254B">
      <w:pPr>
        <w:spacing w:after="0" w:line="240" w:lineRule="auto"/>
        <w:jc w:val="both"/>
        <w:rPr>
          <w:rFonts w:ascii="Times New Roman" w:eastAsia="Times New Roman" w:hAnsi="Times New Roman" w:cs="Times New Roman"/>
          <w:b/>
          <w:i/>
          <w:color w:val="000000"/>
          <w:sz w:val="20"/>
          <w:szCs w:val="20"/>
          <w:lang w:eastAsia="en-CA"/>
        </w:rPr>
      </w:pPr>
    </w:p>
    <w:p w14:paraId="3E2EAE02" w14:textId="7FF215FE" w:rsidR="00E349D9" w:rsidRPr="00E349D9" w:rsidRDefault="00E349D9" w:rsidP="00E349D9">
      <w:pPr>
        <w:spacing w:after="0" w:line="240" w:lineRule="auto"/>
        <w:rPr>
          <w:rFonts w:ascii="Times New Roman" w:eastAsia="Times New Roman" w:hAnsi="Times New Roman" w:cs="Times New Roman"/>
          <w:bCs/>
          <w:iCs/>
          <w:color w:val="000000"/>
          <w:sz w:val="20"/>
          <w:szCs w:val="20"/>
          <w:lang w:eastAsia="en-CA"/>
        </w:rPr>
      </w:pPr>
      <w:r>
        <w:rPr>
          <w:rFonts w:ascii="Times New Roman" w:eastAsia="Times New Roman" w:hAnsi="Times New Roman" w:cs="Times New Roman"/>
          <w:bCs/>
          <w:iCs/>
          <w:color w:val="000000"/>
          <w:sz w:val="20"/>
          <w:szCs w:val="20"/>
          <w:lang w:eastAsia="en-CA"/>
        </w:rPr>
        <w:t xml:space="preserve">For each of these MP archetypes, two </w:t>
      </w:r>
      <w:proofErr w:type="gramStart"/>
      <w:r>
        <w:rPr>
          <w:rFonts w:ascii="Times New Roman" w:eastAsia="Times New Roman" w:hAnsi="Times New Roman" w:cs="Times New Roman"/>
          <w:bCs/>
          <w:iCs/>
          <w:color w:val="000000"/>
          <w:sz w:val="20"/>
          <w:szCs w:val="20"/>
          <w:lang w:eastAsia="en-CA"/>
        </w:rPr>
        <w:t>derivative</w:t>
      </w:r>
      <w:proofErr w:type="gramEnd"/>
      <w:r>
        <w:rPr>
          <w:rFonts w:ascii="Times New Roman" w:eastAsia="Times New Roman" w:hAnsi="Times New Roman" w:cs="Times New Roman"/>
          <w:bCs/>
          <w:iCs/>
          <w:color w:val="000000"/>
          <w:sz w:val="20"/>
          <w:szCs w:val="20"/>
          <w:lang w:eastAsia="en-CA"/>
        </w:rPr>
        <w:t xml:space="preserve"> were specified leading to six MPs in total</w:t>
      </w:r>
      <w:r>
        <w:rPr>
          <w:rFonts w:ascii="Times New Roman" w:hAnsi="Times New Roman" w:cs="Times New Roman"/>
          <w:bCs/>
          <w:sz w:val="20"/>
          <w:szCs w:val="20"/>
        </w:rPr>
        <w:t>:</w:t>
      </w:r>
    </w:p>
    <w:p w14:paraId="1FD656CC" w14:textId="77777777" w:rsidR="00E349D9" w:rsidRDefault="00E349D9" w:rsidP="00E349D9">
      <w:pPr>
        <w:spacing w:after="0" w:line="240" w:lineRule="auto"/>
        <w:jc w:val="both"/>
        <w:rPr>
          <w:rFonts w:ascii="Times New Roman" w:hAnsi="Times New Roman" w:cs="Times New Roman"/>
          <w:bCs/>
          <w:sz w:val="20"/>
          <w:szCs w:val="20"/>
        </w:rPr>
      </w:pPr>
    </w:p>
    <w:p w14:paraId="7CCCA24D" w14:textId="77777777" w:rsidR="00E349D9" w:rsidRDefault="00E349D9" w:rsidP="00E349D9">
      <w:pPr>
        <w:pStyle w:val="ListParagraph"/>
        <w:numPr>
          <w:ilvl w:val="0"/>
          <w:numId w:val="5"/>
        </w:numPr>
        <w:spacing w:after="120" w:line="240" w:lineRule="auto"/>
        <w:ind w:left="714" w:hanging="357"/>
        <w:contextualSpacing w:val="0"/>
        <w:jc w:val="both"/>
        <w:rPr>
          <w:rFonts w:ascii="Times New Roman" w:hAnsi="Times New Roman" w:cs="Times New Roman"/>
          <w:bCs/>
          <w:sz w:val="20"/>
          <w:szCs w:val="20"/>
        </w:rPr>
      </w:pPr>
      <w:r>
        <w:rPr>
          <w:rFonts w:ascii="Times New Roman" w:hAnsi="Times New Roman" w:cs="Times New Roman"/>
          <w:bCs/>
          <w:sz w:val="20"/>
          <w:szCs w:val="20"/>
        </w:rPr>
        <w:t>Max TAC change of 10% (</w:t>
      </w:r>
      <w:r w:rsidRPr="003463CC">
        <w:rPr>
          <w:rFonts w:ascii="Times New Roman" w:hAnsi="Times New Roman" w:cs="Times New Roman"/>
          <w:bCs/>
          <w:i/>
          <w:iCs/>
          <w:sz w:val="20"/>
          <w:szCs w:val="20"/>
        </w:rPr>
        <w:t>It_10</w:t>
      </w:r>
      <w:r>
        <w:rPr>
          <w:rFonts w:ascii="Times New Roman" w:hAnsi="Times New Roman" w:cs="Times New Roman"/>
          <w:bCs/>
          <w:sz w:val="20"/>
          <w:szCs w:val="20"/>
        </w:rPr>
        <w:t xml:space="preserve">, </w:t>
      </w:r>
      <w:r w:rsidRPr="003463CC">
        <w:rPr>
          <w:rFonts w:ascii="Times New Roman" w:hAnsi="Times New Roman" w:cs="Times New Roman"/>
          <w:bCs/>
          <w:i/>
          <w:iCs/>
          <w:sz w:val="20"/>
          <w:szCs w:val="20"/>
        </w:rPr>
        <w:t>Ir_10</w:t>
      </w:r>
      <w:r>
        <w:rPr>
          <w:rFonts w:ascii="Times New Roman" w:hAnsi="Times New Roman" w:cs="Times New Roman"/>
          <w:bCs/>
          <w:sz w:val="20"/>
          <w:szCs w:val="20"/>
        </w:rPr>
        <w:t xml:space="preserve">, </w:t>
      </w:r>
      <w:r w:rsidRPr="003463CC">
        <w:rPr>
          <w:rFonts w:ascii="Times New Roman" w:hAnsi="Times New Roman" w:cs="Times New Roman"/>
          <w:bCs/>
          <w:i/>
          <w:iCs/>
          <w:sz w:val="20"/>
          <w:szCs w:val="20"/>
        </w:rPr>
        <w:t>Is_10</w:t>
      </w:r>
      <w:r>
        <w:rPr>
          <w:rFonts w:ascii="Times New Roman" w:hAnsi="Times New Roman" w:cs="Times New Roman"/>
          <w:bCs/>
          <w:sz w:val="20"/>
          <w:szCs w:val="20"/>
        </w:rPr>
        <w:t>)</w:t>
      </w:r>
    </w:p>
    <w:p w14:paraId="517B6E24" w14:textId="77777777" w:rsidR="00E349D9" w:rsidRDefault="00E349D9" w:rsidP="00E349D9">
      <w:pPr>
        <w:pStyle w:val="ListParagraph"/>
        <w:numPr>
          <w:ilvl w:val="0"/>
          <w:numId w:val="5"/>
        </w:numPr>
        <w:spacing w:after="120" w:line="240" w:lineRule="auto"/>
        <w:ind w:left="714" w:hanging="357"/>
        <w:contextualSpacing w:val="0"/>
        <w:jc w:val="both"/>
        <w:rPr>
          <w:rFonts w:ascii="Times New Roman" w:hAnsi="Times New Roman" w:cs="Times New Roman"/>
          <w:bCs/>
          <w:sz w:val="20"/>
          <w:szCs w:val="20"/>
        </w:rPr>
      </w:pPr>
      <w:r>
        <w:rPr>
          <w:rFonts w:ascii="Times New Roman" w:hAnsi="Times New Roman" w:cs="Times New Roman"/>
          <w:bCs/>
          <w:sz w:val="20"/>
          <w:szCs w:val="20"/>
        </w:rPr>
        <w:t>Max TAC change of 30% (</w:t>
      </w:r>
      <w:r w:rsidRPr="003463CC">
        <w:rPr>
          <w:rFonts w:ascii="Times New Roman" w:hAnsi="Times New Roman" w:cs="Times New Roman"/>
          <w:bCs/>
          <w:i/>
          <w:iCs/>
          <w:sz w:val="20"/>
          <w:szCs w:val="20"/>
        </w:rPr>
        <w:t>It_30</w:t>
      </w:r>
      <w:r>
        <w:rPr>
          <w:rFonts w:ascii="Times New Roman" w:hAnsi="Times New Roman" w:cs="Times New Roman"/>
          <w:bCs/>
          <w:sz w:val="20"/>
          <w:szCs w:val="20"/>
        </w:rPr>
        <w:t xml:space="preserve">, </w:t>
      </w:r>
      <w:r w:rsidRPr="003463CC">
        <w:rPr>
          <w:rFonts w:ascii="Times New Roman" w:hAnsi="Times New Roman" w:cs="Times New Roman"/>
          <w:bCs/>
          <w:i/>
          <w:iCs/>
          <w:sz w:val="20"/>
          <w:szCs w:val="20"/>
        </w:rPr>
        <w:t>Ir_30</w:t>
      </w:r>
      <w:r>
        <w:rPr>
          <w:rFonts w:ascii="Times New Roman" w:hAnsi="Times New Roman" w:cs="Times New Roman"/>
          <w:bCs/>
          <w:sz w:val="20"/>
          <w:szCs w:val="20"/>
        </w:rPr>
        <w:t xml:space="preserve">, </w:t>
      </w:r>
      <w:r w:rsidRPr="003463CC">
        <w:rPr>
          <w:rFonts w:ascii="Times New Roman" w:hAnsi="Times New Roman" w:cs="Times New Roman"/>
          <w:bCs/>
          <w:i/>
          <w:iCs/>
          <w:sz w:val="20"/>
          <w:szCs w:val="20"/>
        </w:rPr>
        <w:t>Is_30</w:t>
      </w:r>
      <w:r>
        <w:rPr>
          <w:rFonts w:ascii="Times New Roman" w:hAnsi="Times New Roman" w:cs="Times New Roman"/>
          <w:bCs/>
          <w:sz w:val="20"/>
          <w:szCs w:val="20"/>
        </w:rPr>
        <w:t>)</w:t>
      </w:r>
    </w:p>
    <w:p w14:paraId="37A5BA0B" w14:textId="77777777" w:rsidR="00E349D9" w:rsidRDefault="00E349D9" w:rsidP="00A0522F">
      <w:pPr>
        <w:spacing w:after="0" w:line="240" w:lineRule="auto"/>
        <w:rPr>
          <w:rFonts w:ascii="Times New Roman" w:eastAsia="Times New Roman" w:hAnsi="Times New Roman" w:cs="Times New Roman"/>
          <w:b/>
          <w:iCs/>
          <w:color w:val="000000"/>
          <w:sz w:val="20"/>
          <w:szCs w:val="20"/>
          <w:lang w:eastAsia="en-CA"/>
        </w:rPr>
      </w:pPr>
    </w:p>
    <w:p w14:paraId="6999D2C2" w14:textId="1D7291D1" w:rsidR="00E349D9" w:rsidRDefault="00E349D9" w:rsidP="00A0522F">
      <w:pPr>
        <w:spacing w:after="0" w:line="240" w:lineRule="auto"/>
        <w:rPr>
          <w:rFonts w:ascii="Times New Roman" w:eastAsia="Times New Roman" w:hAnsi="Times New Roman" w:cs="Times New Roman"/>
          <w:bCs/>
          <w:iCs/>
          <w:color w:val="000000"/>
          <w:sz w:val="20"/>
          <w:szCs w:val="20"/>
          <w:lang w:eastAsia="en-CA"/>
        </w:rPr>
      </w:pPr>
      <w:r>
        <w:rPr>
          <w:rFonts w:ascii="Times New Roman" w:eastAsia="Times New Roman" w:hAnsi="Times New Roman" w:cs="Times New Roman"/>
          <w:bCs/>
          <w:iCs/>
          <w:color w:val="000000"/>
          <w:sz w:val="20"/>
          <w:szCs w:val="20"/>
          <w:lang w:eastAsia="en-CA"/>
        </w:rPr>
        <w:t xml:space="preserve">In order to make the climate test comparable among MPs, they were all tuned such that they achieved a mean spawning stock biomass in 20 years (2039) that was equal to the current spawning biomass in 2019. In this way, when the various climate impacts are imposed, the difference in spawning biomass after 20 years can be more easily interpreted among MPs. </w:t>
      </w:r>
    </w:p>
    <w:p w14:paraId="3A338B8F" w14:textId="77777777" w:rsidR="00E349D9" w:rsidRDefault="00E349D9" w:rsidP="00A0522F">
      <w:pPr>
        <w:spacing w:after="0" w:line="240" w:lineRule="auto"/>
        <w:rPr>
          <w:rFonts w:ascii="Times New Roman" w:eastAsia="Times New Roman" w:hAnsi="Times New Roman" w:cs="Times New Roman"/>
          <w:bCs/>
          <w:iCs/>
          <w:color w:val="000000"/>
          <w:sz w:val="20"/>
          <w:szCs w:val="20"/>
          <w:lang w:eastAsia="en-CA"/>
        </w:rPr>
      </w:pPr>
    </w:p>
    <w:p w14:paraId="0F0094BB" w14:textId="77777777" w:rsidR="00BC6F8E" w:rsidRDefault="00BC6F8E" w:rsidP="00A0522F">
      <w:pPr>
        <w:spacing w:after="0" w:line="240" w:lineRule="auto"/>
        <w:rPr>
          <w:rFonts w:ascii="Times New Roman" w:eastAsia="Times New Roman" w:hAnsi="Times New Roman" w:cs="Times New Roman"/>
          <w:bCs/>
          <w:iCs/>
          <w:color w:val="000000"/>
          <w:sz w:val="20"/>
          <w:szCs w:val="20"/>
          <w:lang w:eastAsia="en-CA"/>
        </w:rPr>
      </w:pPr>
    </w:p>
    <w:p w14:paraId="15021277" w14:textId="1D0F500F" w:rsidR="00E349D9" w:rsidRPr="00E349D9" w:rsidRDefault="00E349D9" w:rsidP="00A0522F">
      <w:pPr>
        <w:spacing w:after="0" w:line="240" w:lineRule="auto"/>
        <w:rPr>
          <w:rFonts w:ascii="Times New Roman" w:eastAsia="Times New Roman" w:hAnsi="Times New Roman" w:cs="Times New Roman"/>
          <w:b/>
          <w:i/>
          <w:color w:val="000000"/>
          <w:sz w:val="20"/>
          <w:szCs w:val="20"/>
          <w:lang w:eastAsia="en-CA"/>
        </w:rPr>
      </w:pPr>
      <w:r w:rsidRPr="00E349D9">
        <w:rPr>
          <w:rFonts w:ascii="Times New Roman" w:eastAsia="Times New Roman" w:hAnsi="Times New Roman" w:cs="Times New Roman"/>
          <w:b/>
          <w:i/>
          <w:color w:val="000000"/>
          <w:sz w:val="20"/>
          <w:szCs w:val="20"/>
          <w:lang w:eastAsia="en-CA"/>
        </w:rPr>
        <w:t xml:space="preserve">Calculating </w:t>
      </w:r>
      <w:r w:rsidR="0076280C">
        <w:rPr>
          <w:rFonts w:ascii="Times New Roman" w:eastAsia="Times New Roman" w:hAnsi="Times New Roman" w:cs="Times New Roman"/>
          <w:b/>
          <w:i/>
          <w:color w:val="000000"/>
          <w:sz w:val="20"/>
          <w:szCs w:val="20"/>
          <w:lang w:eastAsia="en-CA"/>
        </w:rPr>
        <w:t>and Labelling R</w:t>
      </w:r>
      <w:r w:rsidRPr="00E349D9">
        <w:rPr>
          <w:rFonts w:ascii="Times New Roman" w:eastAsia="Times New Roman" w:hAnsi="Times New Roman" w:cs="Times New Roman"/>
          <w:b/>
          <w:i/>
          <w:color w:val="000000"/>
          <w:sz w:val="20"/>
          <w:szCs w:val="20"/>
          <w:lang w:eastAsia="en-CA"/>
        </w:rPr>
        <w:t>obustness</w:t>
      </w:r>
    </w:p>
    <w:p w14:paraId="214CD1AF" w14:textId="77777777" w:rsidR="00E349D9" w:rsidRDefault="00E349D9" w:rsidP="00A0522F">
      <w:pPr>
        <w:spacing w:after="0" w:line="240" w:lineRule="auto"/>
        <w:rPr>
          <w:rFonts w:ascii="Times New Roman" w:eastAsia="Times New Roman" w:hAnsi="Times New Roman" w:cs="Times New Roman"/>
          <w:bCs/>
          <w:iCs/>
          <w:color w:val="000000"/>
          <w:sz w:val="20"/>
          <w:szCs w:val="20"/>
          <w:lang w:eastAsia="en-CA"/>
        </w:rPr>
      </w:pPr>
    </w:p>
    <w:p w14:paraId="48B1BB76" w14:textId="412B77E7" w:rsidR="0076280C" w:rsidRDefault="00E349D9" w:rsidP="00A0522F">
      <w:pPr>
        <w:spacing w:after="0" w:line="240" w:lineRule="auto"/>
        <w:rPr>
          <w:rFonts w:ascii="Times New Roman" w:eastAsia="Times New Roman" w:hAnsi="Times New Roman" w:cs="Times New Roman"/>
          <w:bCs/>
          <w:iCs/>
          <w:color w:val="000000"/>
          <w:sz w:val="20"/>
          <w:szCs w:val="20"/>
          <w:lang w:eastAsia="en-CA"/>
        </w:rPr>
      </w:pPr>
      <w:r>
        <w:rPr>
          <w:rFonts w:ascii="Times New Roman" w:eastAsia="Times New Roman" w:hAnsi="Times New Roman" w:cs="Times New Roman"/>
          <w:bCs/>
          <w:iCs/>
          <w:color w:val="000000"/>
          <w:sz w:val="20"/>
          <w:szCs w:val="20"/>
          <w:lang w:eastAsia="en-CA"/>
        </w:rPr>
        <w:t>For each climate impact</w:t>
      </w:r>
      <w:r w:rsidR="0076280C">
        <w:rPr>
          <w:rFonts w:ascii="Times New Roman" w:eastAsia="Times New Roman" w:hAnsi="Times New Roman" w:cs="Times New Roman"/>
          <w:bCs/>
          <w:iCs/>
          <w:color w:val="000000"/>
          <w:sz w:val="20"/>
          <w:szCs w:val="20"/>
          <w:lang w:eastAsia="en-CA"/>
        </w:rPr>
        <w:t>,</w:t>
      </w:r>
      <w:r>
        <w:rPr>
          <w:rFonts w:ascii="Times New Roman" w:eastAsia="Times New Roman" w:hAnsi="Times New Roman" w:cs="Times New Roman"/>
          <w:bCs/>
          <w:iCs/>
          <w:color w:val="000000"/>
          <w:sz w:val="20"/>
          <w:szCs w:val="20"/>
          <w:lang w:eastAsia="en-CA"/>
        </w:rPr>
        <w:t xml:space="preserve"> multiple operating models were specified each with an increasing level of impact</w:t>
      </w:r>
      <w:r w:rsidR="0076280C">
        <w:rPr>
          <w:rFonts w:ascii="Times New Roman" w:eastAsia="Times New Roman" w:hAnsi="Times New Roman" w:cs="Times New Roman"/>
          <w:bCs/>
          <w:iCs/>
          <w:color w:val="000000"/>
          <w:sz w:val="20"/>
          <w:szCs w:val="20"/>
          <w:lang w:eastAsia="en-CA"/>
        </w:rPr>
        <w:t xml:space="preserve"> in the projection years</w:t>
      </w:r>
      <w:r>
        <w:rPr>
          <w:rFonts w:ascii="Times New Roman" w:eastAsia="Times New Roman" w:hAnsi="Times New Roman" w:cs="Times New Roman"/>
          <w:bCs/>
          <w:iCs/>
          <w:color w:val="000000"/>
          <w:sz w:val="20"/>
          <w:szCs w:val="20"/>
          <w:lang w:eastAsia="en-CA"/>
        </w:rPr>
        <w:t>.</w:t>
      </w:r>
      <w:r w:rsidR="0076280C">
        <w:rPr>
          <w:rFonts w:ascii="Times New Roman" w:eastAsia="Times New Roman" w:hAnsi="Times New Roman" w:cs="Times New Roman"/>
          <w:bCs/>
          <w:iCs/>
          <w:color w:val="000000"/>
          <w:sz w:val="20"/>
          <w:szCs w:val="20"/>
          <w:lang w:eastAsia="en-CA"/>
        </w:rPr>
        <w:t xml:space="preserve"> Closed-loop simulation was used to calculate spawning biomass outcomes for each level of impact and MP (Figure 1, lefthand panels). </w:t>
      </w:r>
    </w:p>
    <w:p w14:paraId="4F2973FC" w14:textId="77777777" w:rsidR="0076280C" w:rsidRDefault="0076280C" w:rsidP="00A0522F">
      <w:pPr>
        <w:spacing w:after="0" w:line="240" w:lineRule="auto"/>
        <w:rPr>
          <w:rFonts w:ascii="Times New Roman" w:eastAsia="Times New Roman" w:hAnsi="Times New Roman" w:cs="Times New Roman"/>
          <w:bCs/>
          <w:iCs/>
          <w:color w:val="000000"/>
          <w:sz w:val="20"/>
          <w:szCs w:val="20"/>
          <w:lang w:eastAsia="en-CA"/>
        </w:rPr>
      </w:pPr>
    </w:p>
    <w:p w14:paraId="5AE8C780" w14:textId="77777777" w:rsidR="0076280C" w:rsidRDefault="00E349D9" w:rsidP="00A0522F">
      <w:pPr>
        <w:spacing w:after="0" w:line="240" w:lineRule="auto"/>
        <w:rPr>
          <w:rFonts w:ascii="Times New Roman" w:eastAsia="Times New Roman" w:hAnsi="Times New Roman" w:cs="Times New Roman"/>
          <w:bCs/>
          <w:iCs/>
          <w:color w:val="000000"/>
          <w:sz w:val="20"/>
          <w:szCs w:val="20"/>
          <w:lang w:eastAsia="en-CA"/>
        </w:rPr>
      </w:pPr>
      <w:r>
        <w:rPr>
          <w:rFonts w:ascii="Times New Roman" w:eastAsia="Times New Roman" w:hAnsi="Times New Roman" w:cs="Times New Roman"/>
          <w:bCs/>
          <w:iCs/>
          <w:color w:val="000000"/>
          <w:sz w:val="20"/>
          <w:szCs w:val="20"/>
          <w:lang w:eastAsia="en-CA"/>
        </w:rPr>
        <w:t>Linear interpolation was used to determine the level of impact before the MP crossed the robustness threshold</w:t>
      </w:r>
      <w:r w:rsidR="0076280C">
        <w:rPr>
          <w:rFonts w:ascii="Times New Roman" w:eastAsia="Times New Roman" w:hAnsi="Times New Roman" w:cs="Times New Roman"/>
          <w:bCs/>
          <w:iCs/>
          <w:color w:val="000000"/>
          <w:sz w:val="20"/>
          <w:szCs w:val="20"/>
          <w:lang w:eastAsia="en-CA"/>
        </w:rPr>
        <w:t xml:space="preserve"> (Figure 1, righthand panels)</w:t>
      </w:r>
      <w:r>
        <w:rPr>
          <w:rFonts w:ascii="Times New Roman" w:eastAsia="Times New Roman" w:hAnsi="Times New Roman" w:cs="Times New Roman"/>
          <w:bCs/>
          <w:iCs/>
          <w:color w:val="000000"/>
          <w:sz w:val="20"/>
          <w:szCs w:val="20"/>
          <w:lang w:eastAsia="en-CA"/>
        </w:rPr>
        <w:t xml:space="preserve">. </w:t>
      </w:r>
    </w:p>
    <w:p w14:paraId="6C42BAC6" w14:textId="77777777" w:rsidR="0076280C" w:rsidRDefault="0076280C" w:rsidP="00A0522F">
      <w:pPr>
        <w:spacing w:after="0" w:line="240" w:lineRule="auto"/>
        <w:rPr>
          <w:rFonts w:ascii="Times New Roman" w:eastAsia="Times New Roman" w:hAnsi="Times New Roman" w:cs="Times New Roman"/>
          <w:bCs/>
          <w:iCs/>
          <w:color w:val="000000"/>
          <w:sz w:val="20"/>
          <w:szCs w:val="20"/>
          <w:lang w:eastAsia="en-CA"/>
        </w:rPr>
      </w:pPr>
    </w:p>
    <w:p w14:paraId="131C9F5E" w14:textId="2F3A57B0" w:rsidR="00E349D9" w:rsidRDefault="0076280C" w:rsidP="00A0522F">
      <w:pPr>
        <w:spacing w:after="0" w:line="240" w:lineRule="auto"/>
        <w:rPr>
          <w:rFonts w:ascii="Times New Roman" w:eastAsia="Times New Roman" w:hAnsi="Times New Roman" w:cs="Times New Roman"/>
          <w:bCs/>
          <w:iCs/>
          <w:color w:val="000000"/>
          <w:sz w:val="20"/>
          <w:szCs w:val="20"/>
          <w:lang w:eastAsia="en-CA"/>
        </w:rPr>
      </w:pPr>
      <w:r>
        <w:rPr>
          <w:rFonts w:ascii="Times New Roman" w:eastAsia="Times New Roman" w:hAnsi="Times New Roman" w:cs="Times New Roman"/>
          <w:bCs/>
          <w:iCs/>
          <w:color w:val="000000"/>
          <w:sz w:val="20"/>
          <w:szCs w:val="20"/>
          <w:lang w:eastAsia="en-CA"/>
        </w:rPr>
        <w:t xml:space="preserve">Robustness performance was labelled according to the impact and the lowest integer value of change achieved. For example, if an MP was robust up to an 18.92% change in natural mortality rate, that MP would be labelled as </w:t>
      </w:r>
      <w:r w:rsidRPr="0076280C">
        <w:rPr>
          <w:rFonts w:ascii="Times New Roman" w:eastAsia="Times New Roman" w:hAnsi="Times New Roman" w:cs="Times New Roman"/>
          <w:bCs/>
          <w:i/>
          <w:color w:val="000000"/>
          <w:sz w:val="20"/>
          <w:szCs w:val="20"/>
          <w:lang w:eastAsia="en-CA"/>
        </w:rPr>
        <w:t>M18 robust</w:t>
      </w:r>
      <w:r>
        <w:rPr>
          <w:rFonts w:ascii="Times New Roman" w:eastAsia="Times New Roman" w:hAnsi="Times New Roman" w:cs="Times New Roman"/>
          <w:bCs/>
          <w:iCs/>
          <w:color w:val="000000"/>
          <w:sz w:val="20"/>
          <w:szCs w:val="20"/>
          <w:lang w:eastAsia="en-CA"/>
        </w:rPr>
        <w:t xml:space="preserve">. </w:t>
      </w:r>
    </w:p>
    <w:p w14:paraId="09A1FA89" w14:textId="77777777" w:rsidR="00E349D9" w:rsidRDefault="00E349D9" w:rsidP="00A0522F">
      <w:pPr>
        <w:spacing w:after="0" w:line="240" w:lineRule="auto"/>
        <w:rPr>
          <w:rFonts w:ascii="Times New Roman" w:eastAsia="Times New Roman" w:hAnsi="Times New Roman" w:cs="Times New Roman"/>
          <w:b/>
          <w:iCs/>
          <w:color w:val="000000"/>
          <w:sz w:val="20"/>
          <w:szCs w:val="20"/>
          <w:lang w:eastAsia="en-CA"/>
        </w:rPr>
      </w:pPr>
    </w:p>
    <w:p w14:paraId="27889AA0" w14:textId="77777777" w:rsidR="00BC6F8E" w:rsidRDefault="00BC6F8E" w:rsidP="00A0522F">
      <w:pPr>
        <w:spacing w:after="0" w:line="240" w:lineRule="auto"/>
        <w:rPr>
          <w:rFonts w:ascii="Times New Roman" w:eastAsia="Times New Roman" w:hAnsi="Times New Roman" w:cs="Times New Roman"/>
          <w:b/>
          <w:iCs/>
          <w:color w:val="000000"/>
          <w:sz w:val="20"/>
          <w:szCs w:val="20"/>
          <w:lang w:eastAsia="en-CA"/>
        </w:rPr>
      </w:pPr>
    </w:p>
    <w:p w14:paraId="1B479E6D" w14:textId="42927E29" w:rsidR="0076280C" w:rsidRDefault="0076280C" w:rsidP="00A0522F">
      <w:pPr>
        <w:spacing w:after="0" w:line="240" w:lineRule="auto"/>
        <w:rPr>
          <w:rFonts w:ascii="Times New Roman" w:eastAsia="Times New Roman" w:hAnsi="Times New Roman" w:cs="Times New Roman"/>
          <w:b/>
          <w:iCs/>
          <w:color w:val="000000"/>
          <w:sz w:val="20"/>
          <w:szCs w:val="20"/>
          <w:lang w:eastAsia="en-CA"/>
        </w:rPr>
      </w:pPr>
      <w:r>
        <w:rPr>
          <w:rFonts w:ascii="Times New Roman" w:eastAsia="Times New Roman" w:hAnsi="Times New Roman" w:cs="Times New Roman"/>
          <w:b/>
          <w:iCs/>
          <w:color w:val="000000"/>
          <w:sz w:val="20"/>
          <w:szCs w:val="20"/>
          <w:lang w:eastAsia="en-CA"/>
        </w:rPr>
        <w:lastRenderedPageBreak/>
        <w:t>Software and Code</w:t>
      </w:r>
    </w:p>
    <w:p w14:paraId="2EF10770" w14:textId="77777777" w:rsidR="0076280C" w:rsidRDefault="0076280C" w:rsidP="00A0522F">
      <w:pPr>
        <w:spacing w:after="0" w:line="240" w:lineRule="auto"/>
        <w:rPr>
          <w:rFonts w:ascii="Times New Roman" w:eastAsia="Times New Roman" w:hAnsi="Times New Roman" w:cs="Times New Roman"/>
          <w:b/>
          <w:iCs/>
          <w:color w:val="000000"/>
          <w:sz w:val="20"/>
          <w:szCs w:val="20"/>
          <w:lang w:eastAsia="en-CA"/>
        </w:rPr>
      </w:pPr>
    </w:p>
    <w:p w14:paraId="6051F19C" w14:textId="4DAC0499" w:rsidR="0076280C" w:rsidRDefault="0076280C" w:rsidP="00A0522F">
      <w:pPr>
        <w:spacing w:after="0" w:line="240" w:lineRule="auto"/>
        <w:rPr>
          <w:rFonts w:ascii="Times New Roman" w:eastAsia="Times New Roman" w:hAnsi="Times New Roman" w:cs="Times New Roman"/>
          <w:b/>
          <w:iCs/>
          <w:color w:val="000000"/>
          <w:sz w:val="20"/>
          <w:szCs w:val="20"/>
          <w:lang w:eastAsia="en-CA"/>
        </w:rPr>
      </w:pPr>
      <w:r>
        <w:rPr>
          <w:rFonts w:ascii="Times New Roman" w:eastAsia="Times New Roman" w:hAnsi="Times New Roman" w:cs="Times New Roman"/>
          <w:bCs/>
          <w:iCs/>
          <w:color w:val="000000"/>
          <w:sz w:val="20"/>
          <w:szCs w:val="20"/>
          <w:lang w:eastAsia="en-CA"/>
        </w:rPr>
        <w:t xml:space="preserve">Operating model specification, MP design, closed-loop simulation and metric calculation was carried out </w:t>
      </w:r>
      <w:r>
        <w:rPr>
          <w:rFonts w:ascii="Times New Roman" w:eastAsia="Times New Roman" w:hAnsi="Times New Roman" w:cs="Times New Roman"/>
          <w:bCs/>
          <w:iCs/>
          <w:color w:val="000000"/>
          <w:sz w:val="20"/>
          <w:szCs w:val="20"/>
          <w:lang w:eastAsia="en-CA"/>
        </w:rPr>
        <w:t>using the openMSE package (Hordyk et al. 2024)</w:t>
      </w:r>
      <w:r>
        <w:rPr>
          <w:rFonts w:ascii="Times New Roman" w:eastAsia="Times New Roman" w:hAnsi="Times New Roman" w:cs="Times New Roman"/>
          <w:bCs/>
          <w:iCs/>
          <w:color w:val="000000"/>
          <w:sz w:val="20"/>
          <w:szCs w:val="20"/>
          <w:lang w:eastAsia="en-CA"/>
        </w:rPr>
        <w:t xml:space="preserve">. The code for completing these analyses is available from the Climate Test repository, </w:t>
      </w:r>
      <w:r w:rsidRPr="0076280C">
        <w:rPr>
          <w:rFonts w:ascii="Times New Roman" w:eastAsia="Times New Roman" w:hAnsi="Times New Roman" w:cs="Times New Roman"/>
          <w:bCs/>
          <w:iCs/>
          <w:color w:val="000000"/>
          <w:sz w:val="20"/>
          <w:szCs w:val="20"/>
          <w:lang w:eastAsia="en-CA"/>
        </w:rPr>
        <w:t>github.com/Blue-Matter/</w:t>
      </w:r>
      <w:proofErr w:type="spellStart"/>
      <w:r w:rsidRPr="0076280C">
        <w:rPr>
          <w:rFonts w:ascii="Times New Roman" w:eastAsia="Times New Roman" w:hAnsi="Times New Roman" w:cs="Times New Roman"/>
          <w:bCs/>
          <w:iCs/>
          <w:color w:val="000000"/>
          <w:sz w:val="20"/>
          <w:szCs w:val="20"/>
          <w:lang w:eastAsia="en-CA"/>
        </w:rPr>
        <w:t>ClimateTest</w:t>
      </w:r>
      <w:proofErr w:type="spellEnd"/>
      <w:r>
        <w:rPr>
          <w:rFonts w:ascii="Times New Roman" w:eastAsia="Times New Roman" w:hAnsi="Times New Roman" w:cs="Times New Roman"/>
          <w:bCs/>
          <w:iCs/>
          <w:color w:val="000000"/>
          <w:sz w:val="20"/>
          <w:szCs w:val="20"/>
          <w:lang w:eastAsia="en-CA"/>
        </w:rPr>
        <w:t xml:space="preserve">. </w:t>
      </w:r>
    </w:p>
    <w:p w14:paraId="400A244D" w14:textId="77777777" w:rsidR="00E349D9" w:rsidRDefault="00E349D9" w:rsidP="00A0522F">
      <w:pPr>
        <w:spacing w:after="0" w:line="240" w:lineRule="auto"/>
        <w:rPr>
          <w:rFonts w:ascii="Times New Roman" w:eastAsia="Times New Roman" w:hAnsi="Times New Roman" w:cs="Times New Roman"/>
          <w:b/>
          <w:iCs/>
          <w:color w:val="000000"/>
          <w:sz w:val="20"/>
          <w:szCs w:val="20"/>
          <w:lang w:eastAsia="en-CA"/>
        </w:rPr>
      </w:pPr>
    </w:p>
    <w:p w14:paraId="479C76B4" w14:textId="77777777" w:rsidR="00BC6F8E" w:rsidRDefault="00BC6F8E" w:rsidP="00A0522F">
      <w:pPr>
        <w:spacing w:after="0" w:line="240" w:lineRule="auto"/>
        <w:rPr>
          <w:rFonts w:ascii="Times New Roman" w:eastAsia="Times New Roman" w:hAnsi="Times New Roman" w:cs="Times New Roman"/>
          <w:b/>
          <w:iCs/>
          <w:color w:val="000000"/>
          <w:sz w:val="20"/>
          <w:szCs w:val="20"/>
          <w:lang w:eastAsia="en-CA"/>
        </w:rPr>
      </w:pPr>
    </w:p>
    <w:p w14:paraId="472BDBEE" w14:textId="444574FC" w:rsidR="005C36DC" w:rsidRDefault="005C36DC" w:rsidP="00A0522F">
      <w:pPr>
        <w:spacing w:after="0" w:line="240" w:lineRule="auto"/>
        <w:rPr>
          <w:rFonts w:ascii="Times New Roman" w:eastAsia="Times New Roman" w:hAnsi="Times New Roman" w:cs="Times New Roman"/>
          <w:b/>
          <w:iCs/>
          <w:color w:val="000000"/>
          <w:sz w:val="20"/>
          <w:szCs w:val="20"/>
          <w:lang w:eastAsia="en-CA"/>
        </w:rPr>
      </w:pPr>
      <w:r w:rsidRPr="005C36DC">
        <w:rPr>
          <w:rFonts w:ascii="Times New Roman" w:eastAsia="Times New Roman" w:hAnsi="Times New Roman" w:cs="Times New Roman"/>
          <w:b/>
          <w:iCs/>
          <w:color w:val="000000"/>
          <w:sz w:val="20"/>
          <w:szCs w:val="20"/>
          <w:lang w:eastAsia="en-CA"/>
        </w:rPr>
        <w:t>Results</w:t>
      </w:r>
    </w:p>
    <w:p w14:paraId="640C6289" w14:textId="77777777" w:rsidR="00E349D9" w:rsidRDefault="00E349D9" w:rsidP="00A0522F">
      <w:pPr>
        <w:spacing w:after="0" w:line="240" w:lineRule="auto"/>
        <w:rPr>
          <w:rFonts w:ascii="Times New Roman" w:eastAsia="Times New Roman" w:hAnsi="Times New Roman" w:cs="Times New Roman"/>
          <w:b/>
          <w:iCs/>
          <w:color w:val="000000"/>
          <w:sz w:val="20"/>
          <w:szCs w:val="20"/>
          <w:lang w:eastAsia="en-CA"/>
        </w:rPr>
      </w:pPr>
    </w:p>
    <w:p w14:paraId="3A745934" w14:textId="77777777" w:rsidR="00BC6F8E" w:rsidRDefault="00BC6F8E" w:rsidP="006F5590">
      <w:pPr>
        <w:spacing w:after="0" w:line="240" w:lineRule="auto"/>
        <w:rPr>
          <w:rFonts w:ascii="Times New Roman" w:eastAsia="Times New Roman" w:hAnsi="Times New Roman" w:cs="Times New Roman"/>
          <w:bCs/>
          <w:color w:val="000000"/>
          <w:sz w:val="20"/>
          <w:szCs w:val="20"/>
          <w:lang w:eastAsia="en-CA"/>
        </w:rPr>
      </w:pPr>
      <w:r>
        <w:rPr>
          <w:rFonts w:ascii="Times New Roman" w:eastAsia="Times New Roman" w:hAnsi="Times New Roman" w:cs="Times New Roman"/>
          <w:bCs/>
          <w:color w:val="000000"/>
          <w:sz w:val="20"/>
          <w:szCs w:val="20"/>
          <w:lang w:eastAsia="en-CA"/>
        </w:rPr>
        <w:t xml:space="preserve">Natural mortality rate was the toughest test of climate resilience </w:t>
      </w:r>
      <w:r>
        <w:rPr>
          <w:rFonts w:ascii="Times New Roman" w:eastAsia="Times New Roman" w:hAnsi="Times New Roman" w:cs="Times New Roman"/>
          <w:bCs/>
          <w:color w:val="000000"/>
          <w:sz w:val="20"/>
          <w:szCs w:val="20"/>
          <w:lang w:eastAsia="en-CA"/>
        </w:rPr>
        <w:t xml:space="preserve">(M column, Table 1). </w:t>
      </w:r>
      <w:r>
        <w:rPr>
          <w:rFonts w:ascii="Times New Roman" w:eastAsia="Times New Roman" w:hAnsi="Times New Roman" w:cs="Times New Roman"/>
          <w:bCs/>
          <w:color w:val="000000"/>
          <w:sz w:val="20"/>
          <w:szCs w:val="20"/>
          <w:lang w:eastAsia="en-CA"/>
        </w:rPr>
        <w:t xml:space="preserve">This impact type provided the most consistent robustness results among MPs. </w:t>
      </w:r>
    </w:p>
    <w:p w14:paraId="30A853CB" w14:textId="77777777" w:rsidR="00BC6F8E" w:rsidRDefault="00BC6F8E" w:rsidP="006F5590">
      <w:pPr>
        <w:spacing w:after="0" w:line="240" w:lineRule="auto"/>
        <w:rPr>
          <w:rFonts w:ascii="Times New Roman" w:eastAsia="Times New Roman" w:hAnsi="Times New Roman" w:cs="Times New Roman"/>
          <w:bCs/>
          <w:color w:val="000000"/>
          <w:sz w:val="20"/>
          <w:szCs w:val="20"/>
          <w:lang w:eastAsia="en-CA"/>
        </w:rPr>
      </w:pPr>
    </w:p>
    <w:p w14:paraId="268FE869" w14:textId="601917BB" w:rsidR="006F5590" w:rsidRDefault="00BC6F8E" w:rsidP="006F5590">
      <w:pPr>
        <w:spacing w:after="0" w:line="240" w:lineRule="auto"/>
        <w:rPr>
          <w:rFonts w:ascii="Times New Roman" w:eastAsia="Times New Roman" w:hAnsi="Times New Roman" w:cs="Times New Roman"/>
          <w:bCs/>
          <w:color w:val="000000"/>
          <w:sz w:val="20"/>
          <w:szCs w:val="20"/>
          <w:lang w:eastAsia="en-CA"/>
        </w:rPr>
      </w:pPr>
      <w:r>
        <w:rPr>
          <w:rFonts w:ascii="Times New Roman" w:eastAsia="Times New Roman" w:hAnsi="Times New Roman" w:cs="Times New Roman"/>
          <w:bCs/>
          <w:color w:val="000000"/>
          <w:sz w:val="20"/>
          <w:szCs w:val="20"/>
          <w:lang w:eastAsia="en-CA"/>
        </w:rPr>
        <w:t xml:space="preserve">The least challenging test of climate robustness and the impact with the highest variability in MP results was condition factor (weight at age, C column, Table 1). </w:t>
      </w:r>
    </w:p>
    <w:p w14:paraId="03C0E14D" w14:textId="77777777" w:rsidR="00BC6F8E" w:rsidRDefault="00BC6F8E" w:rsidP="006F5590">
      <w:pPr>
        <w:spacing w:after="0" w:line="240" w:lineRule="auto"/>
        <w:rPr>
          <w:rFonts w:ascii="Times New Roman" w:eastAsia="Times New Roman" w:hAnsi="Times New Roman" w:cs="Times New Roman"/>
          <w:bCs/>
          <w:color w:val="000000"/>
          <w:sz w:val="20"/>
          <w:szCs w:val="20"/>
          <w:lang w:eastAsia="en-CA"/>
        </w:rPr>
      </w:pPr>
    </w:p>
    <w:p w14:paraId="432903B8" w14:textId="666D8D2F" w:rsidR="00BC6F8E" w:rsidRDefault="00BC6F8E" w:rsidP="006F5590">
      <w:pPr>
        <w:spacing w:after="0" w:line="240" w:lineRule="auto"/>
        <w:rPr>
          <w:rFonts w:ascii="Times New Roman" w:eastAsia="Times New Roman" w:hAnsi="Times New Roman" w:cs="Times New Roman"/>
          <w:bCs/>
          <w:color w:val="000000"/>
          <w:sz w:val="20"/>
          <w:szCs w:val="20"/>
          <w:lang w:eastAsia="en-CA"/>
        </w:rPr>
      </w:pPr>
      <w:r>
        <w:rPr>
          <w:rFonts w:ascii="Times New Roman" w:eastAsia="Times New Roman" w:hAnsi="Times New Roman" w:cs="Times New Roman"/>
          <w:bCs/>
          <w:color w:val="000000"/>
          <w:sz w:val="20"/>
          <w:szCs w:val="20"/>
          <w:lang w:eastAsia="en-CA"/>
        </w:rPr>
        <w:t xml:space="preserve">The index target MP archetype was somewhat more climate resilient than the index ratio MP archetype. Both were substantially more climate robust across all impacts than the index slope MP. </w:t>
      </w:r>
    </w:p>
    <w:p w14:paraId="6663FFE9" w14:textId="77777777" w:rsidR="00BC6F8E" w:rsidRDefault="00BC6F8E" w:rsidP="006F5590">
      <w:pPr>
        <w:spacing w:after="0" w:line="240" w:lineRule="auto"/>
        <w:rPr>
          <w:rFonts w:ascii="Times New Roman" w:eastAsia="Times New Roman" w:hAnsi="Times New Roman" w:cs="Times New Roman"/>
          <w:bCs/>
          <w:color w:val="000000"/>
          <w:sz w:val="20"/>
          <w:szCs w:val="20"/>
          <w:lang w:eastAsia="en-CA"/>
        </w:rPr>
      </w:pPr>
    </w:p>
    <w:p w14:paraId="0C9123A0" w14:textId="4BF6FC1A" w:rsidR="00BC6F8E" w:rsidRDefault="00BC6F8E" w:rsidP="006F5590">
      <w:pPr>
        <w:spacing w:after="0" w:line="240" w:lineRule="auto"/>
        <w:rPr>
          <w:rFonts w:ascii="Times New Roman" w:eastAsia="Times New Roman" w:hAnsi="Times New Roman" w:cs="Times New Roman"/>
          <w:bCs/>
          <w:color w:val="000000"/>
          <w:sz w:val="20"/>
          <w:szCs w:val="20"/>
          <w:lang w:eastAsia="en-CA"/>
        </w:rPr>
      </w:pPr>
      <w:r>
        <w:rPr>
          <w:rFonts w:ascii="Times New Roman" w:eastAsia="Times New Roman" w:hAnsi="Times New Roman" w:cs="Times New Roman"/>
          <w:bCs/>
          <w:color w:val="000000"/>
          <w:sz w:val="20"/>
          <w:szCs w:val="20"/>
          <w:lang w:eastAsia="en-CA"/>
        </w:rPr>
        <w:t xml:space="preserve">The 10% maximum TAC change derivatives always outperformed the 5% maximum TAC change derivatives across all MPs archetypes and climate tests. </w:t>
      </w:r>
    </w:p>
    <w:p w14:paraId="744025EA" w14:textId="77777777" w:rsidR="00BC6F8E" w:rsidRDefault="00BC6F8E" w:rsidP="006F5590">
      <w:pPr>
        <w:spacing w:after="0" w:line="240" w:lineRule="auto"/>
        <w:rPr>
          <w:rFonts w:ascii="Times New Roman" w:eastAsia="Times New Roman" w:hAnsi="Times New Roman" w:cs="Times New Roman"/>
          <w:bCs/>
          <w:color w:val="000000"/>
          <w:sz w:val="20"/>
          <w:szCs w:val="20"/>
          <w:lang w:eastAsia="en-CA"/>
        </w:rPr>
      </w:pPr>
    </w:p>
    <w:p w14:paraId="57554AAE" w14:textId="4434BF52" w:rsidR="00BC6F8E" w:rsidRDefault="00BC6F8E" w:rsidP="006F5590">
      <w:pPr>
        <w:spacing w:after="0" w:line="240" w:lineRule="auto"/>
        <w:rPr>
          <w:rFonts w:ascii="Times New Roman" w:eastAsia="Times New Roman" w:hAnsi="Times New Roman" w:cs="Times New Roman"/>
          <w:bCs/>
          <w:color w:val="000000"/>
          <w:sz w:val="20"/>
          <w:szCs w:val="20"/>
          <w:lang w:eastAsia="en-CA"/>
        </w:rPr>
      </w:pPr>
      <w:r>
        <w:rPr>
          <w:rFonts w:ascii="Times New Roman" w:eastAsia="Times New Roman" w:hAnsi="Times New Roman" w:cs="Times New Roman"/>
          <w:bCs/>
          <w:color w:val="000000"/>
          <w:sz w:val="20"/>
          <w:szCs w:val="20"/>
          <w:lang w:eastAsia="en-CA"/>
        </w:rPr>
        <w:t xml:space="preserve">The index target MP with 10% maximum TAC change was consistently the climate robust across all climate impact types. </w:t>
      </w:r>
    </w:p>
    <w:p w14:paraId="4758AB36" w14:textId="7C3EC972" w:rsidR="000D7006" w:rsidRDefault="000D7006" w:rsidP="006F5590">
      <w:pPr>
        <w:spacing w:after="0" w:line="240" w:lineRule="auto"/>
        <w:rPr>
          <w:rFonts w:ascii="Times New Roman" w:eastAsia="Times New Roman" w:hAnsi="Times New Roman" w:cs="Times New Roman"/>
          <w:bCs/>
          <w:color w:val="000000"/>
          <w:sz w:val="20"/>
          <w:szCs w:val="20"/>
          <w:lang w:eastAsia="en-CA"/>
        </w:rPr>
      </w:pPr>
    </w:p>
    <w:p w14:paraId="23A3F4D0" w14:textId="77777777" w:rsidR="00BC6F8E" w:rsidRDefault="00BC6F8E" w:rsidP="006F5590">
      <w:pPr>
        <w:spacing w:after="0" w:line="240" w:lineRule="auto"/>
        <w:rPr>
          <w:rFonts w:ascii="Times New Roman" w:eastAsia="Times New Roman" w:hAnsi="Times New Roman" w:cs="Times New Roman"/>
          <w:b/>
          <w:color w:val="000000"/>
          <w:sz w:val="20"/>
          <w:szCs w:val="20"/>
          <w:lang w:eastAsia="en-CA"/>
        </w:rPr>
      </w:pPr>
    </w:p>
    <w:p w14:paraId="72D9690F" w14:textId="1AA76A41" w:rsidR="00C5254B" w:rsidRPr="00C5254B" w:rsidRDefault="00C5254B" w:rsidP="006F5590">
      <w:pPr>
        <w:spacing w:after="0" w:line="240" w:lineRule="auto"/>
        <w:rPr>
          <w:rFonts w:ascii="Times New Roman" w:eastAsia="Times New Roman" w:hAnsi="Times New Roman" w:cs="Times New Roman"/>
          <w:b/>
          <w:color w:val="000000"/>
          <w:sz w:val="20"/>
          <w:szCs w:val="20"/>
          <w:lang w:eastAsia="en-CA"/>
        </w:rPr>
      </w:pPr>
      <w:r w:rsidRPr="00C5254B">
        <w:rPr>
          <w:rFonts w:ascii="Times New Roman" w:eastAsia="Times New Roman" w:hAnsi="Times New Roman" w:cs="Times New Roman"/>
          <w:b/>
          <w:color w:val="000000"/>
          <w:sz w:val="20"/>
          <w:szCs w:val="20"/>
          <w:lang w:eastAsia="en-CA"/>
        </w:rPr>
        <w:t>Discussion</w:t>
      </w:r>
    </w:p>
    <w:p w14:paraId="0DF051E4" w14:textId="77777777" w:rsidR="00C5254B" w:rsidRDefault="00C5254B" w:rsidP="006F5590">
      <w:pPr>
        <w:spacing w:after="0" w:line="240" w:lineRule="auto"/>
        <w:rPr>
          <w:rFonts w:ascii="Times New Roman" w:eastAsia="Times New Roman" w:hAnsi="Times New Roman" w:cs="Times New Roman"/>
          <w:bCs/>
          <w:color w:val="000000"/>
          <w:sz w:val="20"/>
          <w:szCs w:val="20"/>
          <w:lang w:eastAsia="en-CA"/>
        </w:rPr>
      </w:pPr>
    </w:p>
    <w:p w14:paraId="37E2267F" w14:textId="34AD8072" w:rsidR="00BC6F8E" w:rsidRDefault="00BC6F8E" w:rsidP="006F5590">
      <w:pPr>
        <w:spacing w:after="0" w:line="240" w:lineRule="auto"/>
        <w:rPr>
          <w:rFonts w:ascii="Times New Roman" w:eastAsia="Times New Roman" w:hAnsi="Times New Roman" w:cs="Times New Roman"/>
          <w:bCs/>
          <w:color w:val="000000"/>
          <w:sz w:val="20"/>
          <w:szCs w:val="20"/>
          <w:lang w:eastAsia="en-CA"/>
        </w:rPr>
      </w:pPr>
      <w:r>
        <w:rPr>
          <w:rFonts w:ascii="Times New Roman" w:eastAsia="Times New Roman" w:hAnsi="Times New Roman" w:cs="Times New Roman"/>
          <w:bCs/>
          <w:color w:val="000000"/>
          <w:sz w:val="20"/>
          <w:szCs w:val="20"/>
          <w:lang w:eastAsia="en-CA"/>
        </w:rPr>
        <w:t xml:space="preserve">In this analysis the robustness threshold was chosen arbitrarily in terms of the level of decline and time horizon (30% decline after 20 years) but spawning biomass was selected to deliberately avoid the complicating issue of fishery reference points (e.g., FMSY, SSBMSY) that can change to varying degrees depending on the climate impact. Mean yield is an alternative to spawning biomass that also does not require reference point calculations. To conduct a climate test of MPs for a robustness threshold of say 30% decline in mean yields after 20 years, it would first be necessary to tune MPs to a stable mean yield after 20 years (as was done in this demo for spawning biomass). </w:t>
      </w:r>
    </w:p>
    <w:p w14:paraId="4FC25ECF" w14:textId="77777777" w:rsidR="00BC6F8E" w:rsidRDefault="00BC6F8E" w:rsidP="006F5590">
      <w:pPr>
        <w:spacing w:after="0" w:line="240" w:lineRule="auto"/>
        <w:rPr>
          <w:rFonts w:ascii="Times New Roman" w:eastAsia="Times New Roman" w:hAnsi="Times New Roman" w:cs="Times New Roman"/>
          <w:bCs/>
          <w:color w:val="000000"/>
          <w:sz w:val="20"/>
          <w:szCs w:val="20"/>
          <w:lang w:eastAsia="en-CA"/>
        </w:rPr>
      </w:pPr>
    </w:p>
    <w:p w14:paraId="6F1C3E85" w14:textId="397B6312" w:rsidR="008C6B58" w:rsidRDefault="008C6B58" w:rsidP="006F5590">
      <w:pPr>
        <w:spacing w:after="0" w:line="240" w:lineRule="auto"/>
        <w:rPr>
          <w:rFonts w:ascii="Times New Roman" w:eastAsia="Times New Roman" w:hAnsi="Times New Roman" w:cs="Times New Roman"/>
          <w:bCs/>
          <w:color w:val="000000"/>
          <w:sz w:val="20"/>
          <w:szCs w:val="20"/>
          <w:lang w:eastAsia="en-CA"/>
        </w:rPr>
      </w:pPr>
      <w:r>
        <w:rPr>
          <w:rFonts w:ascii="Times New Roman" w:eastAsia="Times New Roman" w:hAnsi="Times New Roman" w:cs="Times New Roman"/>
          <w:bCs/>
          <w:color w:val="000000"/>
          <w:sz w:val="20"/>
          <w:szCs w:val="20"/>
          <w:lang w:eastAsia="en-CA"/>
        </w:rPr>
        <w:t xml:space="preserve">Asking managers </w:t>
      </w:r>
      <w:r w:rsidR="00BC6F8E">
        <w:rPr>
          <w:rFonts w:ascii="Times New Roman" w:eastAsia="Times New Roman" w:hAnsi="Times New Roman" w:cs="Times New Roman"/>
          <w:bCs/>
          <w:color w:val="000000"/>
          <w:sz w:val="20"/>
          <w:szCs w:val="20"/>
          <w:lang w:eastAsia="en-CA"/>
        </w:rPr>
        <w:t>for the robustness threshold provided top-down information that could be used to</w:t>
      </w:r>
      <w:r>
        <w:rPr>
          <w:rFonts w:ascii="Times New Roman" w:eastAsia="Times New Roman" w:hAnsi="Times New Roman" w:cs="Times New Roman"/>
          <w:bCs/>
          <w:color w:val="000000"/>
          <w:sz w:val="20"/>
          <w:szCs w:val="20"/>
          <w:lang w:eastAsia="en-CA"/>
        </w:rPr>
        <w:t xml:space="preserve"> identify climate </w:t>
      </w:r>
      <w:r w:rsidR="00BC6F8E">
        <w:rPr>
          <w:rFonts w:ascii="Times New Roman" w:eastAsia="Times New Roman" w:hAnsi="Times New Roman" w:cs="Times New Roman"/>
          <w:bCs/>
          <w:color w:val="000000"/>
          <w:sz w:val="20"/>
          <w:szCs w:val="20"/>
          <w:lang w:eastAsia="en-CA"/>
        </w:rPr>
        <w:t xml:space="preserve">resilient MPs. This type of top-down guidance could provide an opportunity to dramatically </w:t>
      </w:r>
      <w:proofErr w:type="gramStart"/>
      <w:r w:rsidR="00BC6F8E">
        <w:rPr>
          <w:rFonts w:ascii="Times New Roman" w:eastAsia="Times New Roman" w:hAnsi="Times New Roman" w:cs="Times New Roman"/>
          <w:bCs/>
          <w:color w:val="000000"/>
          <w:sz w:val="20"/>
          <w:szCs w:val="20"/>
          <w:lang w:eastAsia="en-CA"/>
        </w:rPr>
        <w:t xml:space="preserve">streamline </w:t>
      </w:r>
      <w:r>
        <w:rPr>
          <w:rFonts w:ascii="Times New Roman" w:eastAsia="Times New Roman" w:hAnsi="Times New Roman" w:cs="Times New Roman"/>
          <w:bCs/>
          <w:color w:val="000000"/>
          <w:sz w:val="20"/>
          <w:szCs w:val="20"/>
          <w:lang w:eastAsia="en-CA"/>
        </w:rPr>
        <w:t xml:space="preserve"> </w:t>
      </w:r>
      <w:r w:rsidR="00BC6F8E">
        <w:rPr>
          <w:rFonts w:ascii="Times New Roman" w:eastAsia="Times New Roman" w:hAnsi="Times New Roman" w:cs="Times New Roman"/>
          <w:bCs/>
          <w:color w:val="000000"/>
          <w:sz w:val="20"/>
          <w:szCs w:val="20"/>
          <w:lang w:eastAsia="en-CA"/>
        </w:rPr>
        <w:t>MSE</w:t>
      </w:r>
      <w:proofErr w:type="gramEnd"/>
      <w:r w:rsidR="00BC6F8E">
        <w:rPr>
          <w:rFonts w:ascii="Times New Roman" w:eastAsia="Times New Roman" w:hAnsi="Times New Roman" w:cs="Times New Roman"/>
          <w:bCs/>
          <w:color w:val="000000"/>
          <w:sz w:val="20"/>
          <w:szCs w:val="20"/>
          <w:lang w:eastAsia="en-CA"/>
        </w:rPr>
        <w:t xml:space="preserve"> development. For example, if managers could instead define </w:t>
      </w:r>
      <w:r>
        <w:rPr>
          <w:rFonts w:ascii="Times New Roman" w:eastAsia="Times New Roman" w:hAnsi="Times New Roman" w:cs="Times New Roman"/>
          <w:bCs/>
          <w:color w:val="000000"/>
          <w:sz w:val="20"/>
          <w:szCs w:val="20"/>
          <w:lang w:eastAsia="en-CA"/>
        </w:rPr>
        <w:t xml:space="preserve">‘ignorable difference’ </w:t>
      </w:r>
      <w:r w:rsidR="00BC6F8E">
        <w:rPr>
          <w:rFonts w:ascii="Times New Roman" w:eastAsia="Times New Roman" w:hAnsi="Times New Roman" w:cs="Times New Roman"/>
          <w:bCs/>
          <w:color w:val="000000"/>
          <w:sz w:val="20"/>
          <w:szCs w:val="20"/>
          <w:lang w:eastAsia="en-CA"/>
        </w:rPr>
        <w:t xml:space="preserve">in MP performance, this </w:t>
      </w:r>
      <w:r>
        <w:rPr>
          <w:rFonts w:ascii="Times New Roman" w:eastAsia="Times New Roman" w:hAnsi="Times New Roman" w:cs="Times New Roman"/>
          <w:bCs/>
          <w:color w:val="000000"/>
          <w:sz w:val="20"/>
          <w:szCs w:val="20"/>
          <w:lang w:eastAsia="en-CA"/>
        </w:rPr>
        <w:t xml:space="preserve">could greatly reduce the passing of large amounts of irrelevant information between the technical team and the managers. For example, </w:t>
      </w:r>
      <w:r w:rsidR="00BC6F8E">
        <w:rPr>
          <w:rFonts w:ascii="Times New Roman" w:eastAsia="Times New Roman" w:hAnsi="Times New Roman" w:cs="Times New Roman"/>
          <w:bCs/>
          <w:color w:val="000000"/>
          <w:sz w:val="20"/>
          <w:szCs w:val="20"/>
          <w:lang w:eastAsia="en-CA"/>
        </w:rPr>
        <w:t xml:space="preserve">independently, the technical team cold reject </w:t>
      </w:r>
      <w:r>
        <w:rPr>
          <w:rFonts w:ascii="Times New Roman" w:eastAsia="Times New Roman" w:hAnsi="Times New Roman" w:cs="Times New Roman"/>
          <w:bCs/>
          <w:color w:val="000000"/>
          <w:sz w:val="20"/>
          <w:szCs w:val="20"/>
          <w:lang w:eastAsia="en-CA"/>
        </w:rPr>
        <w:t>certain MP archetypes</w:t>
      </w:r>
      <w:r w:rsidR="00BC6F8E">
        <w:rPr>
          <w:rFonts w:ascii="Times New Roman" w:eastAsia="Times New Roman" w:hAnsi="Times New Roman" w:cs="Times New Roman"/>
          <w:bCs/>
          <w:color w:val="000000"/>
          <w:sz w:val="20"/>
          <w:szCs w:val="20"/>
          <w:lang w:eastAsia="en-CA"/>
        </w:rPr>
        <w:t xml:space="preserve"> within the ‘ignorable difference’ of others</w:t>
      </w:r>
      <w:r>
        <w:rPr>
          <w:rFonts w:ascii="Times New Roman" w:eastAsia="Times New Roman" w:hAnsi="Times New Roman" w:cs="Times New Roman"/>
          <w:bCs/>
          <w:color w:val="000000"/>
          <w:sz w:val="20"/>
          <w:szCs w:val="20"/>
          <w:lang w:eastAsia="en-CA"/>
        </w:rPr>
        <w:t xml:space="preserve">, reduce the set of MPs presented to managers to only those spanning greater than the ‘ignorable </w:t>
      </w:r>
      <w:r w:rsidR="00BC6F8E">
        <w:rPr>
          <w:rFonts w:ascii="Times New Roman" w:eastAsia="Times New Roman" w:hAnsi="Times New Roman" w:cs="Times New Roman"/>
          <w:bCs/>
          <w:color w:val="000000"/>
          <w:sz w:val="20"/>
          <w:szCs w:val="20"/>
          <w:lang w:eastAsia="en-CA"/>
        </w:rPr>
        <w:t>difference’</w:t>
      </w:r>
      <w:r>
        <w:rPr>
          <w:rFonts w:ascii="Times New Roman" w:eastAsia="Times New Roman" w:hAnsi="Times New Roman" w:cs="Times New Roman"/>
          <w:bCs/>
          <w:color w:val="000000"/>
          <w:sz w:val="20"/>
          <w:szCs w:val="20"/>
          <w:lang w:eastAsia="en-CA"/>
        </w:rPr>
        <w:t>,</w:t>
      </w:r>
      <w:r w:rsidR="00BC6F8E">
        <w:rPr>
          <w:rFonts w:ascii="Times New Roman" w:eastAsia="Times New Roman" w:hAnsi="Times New Roman" w:cs="Times New Roman"/>
          <w:bCs/>
          <w:color w:val="000000"/>
          <w:sz w:val="20"/>
          <w:szCs w:val="20"/>
          <w:lang w:eastAsia="en-CA"/>
        </w:rPr>
        <w:t xml:space="preserve"> and reduce the set of</w:t>
      </w:r>
      <w:r>
        <w:rPr>
          <w:rFonts w:ascii="Times New Roman" w:eastAsia="Times New Roman" w:hAnsi="Times New Roman" w:cs="Times New Roman"/>
          <w:bCs/>
          <w:color w:val="000000"/>
          <w:sz w:val="20"/>
          <w:szCs w:val="20"/>
          <w:lang w:eastAsia="en-CA"/>
        </w:rPr>
        <w:t xml:space="preserve"> OMs </w:t>
      </w:r>
      <w:r w:rsidR="00BC6F8E">
        <w:rPr>
          <w:rFonts w:ascii="Times New Roman" w:eastAsia="Times New Roman" w:hAnsi="Times New Roman" w:cs="Times New Roman"/>
          <w:bCs/>
          <w:color w:val="000000"/>
          <w:sz w:val="20"/>
          <w:szCs w:val="20"/>
          <w:lang w:eastAsia="en-CA"/>
        </w:rPr>
        <w:t xml:space="preserve">to those spanning at least </w:t>
      </w:r>
      <w:proofErr w:type="spellStart"/>
      <w:r w:rsidR="00BC6F8E">
        <w:rPr>
          <w:rFonts w:ascii="Times New Roman" w:eastAsia="Times New Roman" w:hAnsi="Times New Roman" w:cs="Times New Roman"/>
          <w:bCs/>
          <w:color w:val="000000"/>
          <w:sz w:val="20"/>
          <w:szCs w:val="20"/>
          <w:lang w:eastAsia="en-CA"/>
        </w:rPr>
        <w:t>the</w:t>
      </w:r>
      <w:proofErr w:type="spellEnd"/>
      <w:r w:rsidR="00BC6F8E">
        <w:rPr>
          <w:rFonts w:ascii="Times New Roman" w:eastAsia="Times New Roman" w:hAnsi="Times New Roman" w:cs="Times New Roman"/>
          <w:bCs/>
          <w:color w:val="000000"/>
          <w:sz w:val="20"/>
          <w:szCs w:val="20"/>
          <w:lang w:eastAsia="en-CA"/>
        </w:rPr>
        <w:t xml:space="preserve"> ‘ignorable difference’. </w:t>
      </w:r>
      <w:r>
        <w:rPr>
          <w:rFonts w:ascii="Times New Roman" w:eastAsia="Times New Roman" w:hAnsi="Times New Roman" w:cs="Times New Roman"/>
          <w:bCs/>
          <w:color w:val="000000"/>
          <w:sz w:val="20"/>
          <w:szCs w:val="20"/>
          <w:lang w:eastAsia="en-CA"/>
        </w:rPr>
        <w:t xml:space="preserve"> </w:t>
      </w:r>
    </w:p>
    <w:p w14:paraId="3272033C" w14:textId="77777777" w:rsidR="008C6B58" w:rsidRDefault="008C6B58" w:rsidP="006F5590">
      <w:pPr>
        <w:spacing w:after="0" w:line="240" w:lineRule="auto"/>
        <w:rPr>
          <w:rFonts w:ascii="Times New Roman" w:eastAsia="Times New Roman" w:hAnsi="Times New Roman" w:cs="Times New Roman"/>
          <w:bCs/>
          <w:color w:val="000000"/>
          <w:sz w:val="20"/>
          <w:szCs w:val="20"/>
          <w:lang w:eastAsia="en-CA"/>
        </w:rPr>
      </w:pPr>
    </w:p>
    <w:p w14:paraId="38BDF25D" w14:textId="77777777" w:rsidR="00C5254B" w:rsidRDefault="00C5254B" w:rsidP="006F5590">
      <w:pPr>
        <w:spacing w:after="0" w:line="240" w:lineRule="auto"/>
        <w:rPr>
          <w:rFonts w:ascii="Times New Roman" w:eastAsia="Times New Roman" w:hAnsi="Times New Roman" w:cs="Times New Roman"/>
          <w:bCs/>
          <w:color w:val="000000"/>
          <w:sz w:val="20"/>
          <w:szCs w:val="20"/>
          <w:lang w:eastAsia="en-CA"/>
        </w:rPr>
      </w:pPr>
    </w:p>
    <w:p w14:paraId="220BEBF2" w14:textId="291B258F" w:rsidR="00BC6F8E" w:rsidRPr="00BC6F8E" w:rsidRDefault="00BC6F8E" w:rsidP="006F5590">
      <w:pPr>
        <w:spacing w:after="0" w:line="240" w:lineRule="auto"/>
        <w:rPr>
          <w:rFonts w:ascii="Times New Roman" w:eastAsia="Times New Roman" w:hAnsi="Times New Roman" w:cs="Times New Roman"/>
          <w:b/>
          <w:color w:val="000000"/>
          <w:sz w:val="20"/>
          <w:szCs w:val="20"/>
          <w:lang w:eastAsia="en-CA"/>
        </w:rPr>
      </w:pPr>
      <w:r w:rsidRPr="00BC6F8E">
        <w:rPr>
          <w:rFonts w:ascii="Times New Roman" w:eastAsia="Times New Roman" w:hAnsi="Times New Roman" w:cs="Times New Roman"/>
          <w:b/>
          <w:color w:val="000000"/>
          <w:sz w:val="20"/>
          <w:szCs w:val="20"/>
          <w:lang w:eastAsia="en-CA"/>
        </w:rPr>
        <w:t>Conclusion</w:t>
      </w:r>
    </w:p>
    <w:p w14:paraId="77E6D945" w14:textId="77777777" w:rsidR="00BC6F8E" w:rsidRDefault="00BC6F8E" w:rsidP="006F5590">
      <w:pPr>
        <w:spacing w:after="0" w:line="240" w:lineRule="auto"/>
        <w:rPr>
          <w:rFonts w:ascii="Times New Roman" w:eastAsia="Times New Roman" w:hAnsi="Times New Roman" w:cs="Times New Roman"/>
          <w:bCs/>
          <w:color w:val="000000"/>
          <w:sz w:val="20"/>
          <w:szCs w:val="20"/>
          <w:lang w:eastAsia="en-CA"/>
        </w:rPr>
      </w:pPr>
    </w:p>
    <w:p w14:paraId="7823BB46" w14:textId="0E807920" w:rsidR="00BC6F8E" w:rsidRDefault="00BC6F8E" w:rsidP="00BC6F8E">
      <w:pPr>
        <w:spacing w:after="0" w:line="240" w:lineRule="auto"/>
        <w:rPr>
          <w:rFonts w:ascii="Times New Roman" w:eastAsia="Times New Roman" w:hAnsi="Times New Roman" w:cs="Times New Roman"/>
          <w:bCs/>
          <w:color w:val="000000"/>
          <w:sz w:val="20"/>
          <w:szCs w:val="20"/>
          <w:lang w:eastAsia="en-CA"/>
        </w:rPr>
      </w:pPr>
      <w:bookmarkStart w:id="0" w:name="_Hlk175995220"/>
      <w:bookmarkStart w:id="1" w:name="_Hlk175995985"/>
      <w:r>
        <w:rPr>
          <w:rFonts w:ascii="Times New Roman" w:eastAsia="Times New Roman" w:hAnsi="Times New Roman" w:cs="Times New Roman"/>
          <w:bCs/>
          <w:color w:val="000000"/>
          <w:sz w:val="20"/>
          <w:szCs w:val="20"/>
          <w:lang w:eastAsia="en-CA"/>
        </w:rPr>
        <w:t xml:space="preserve">Shifting the focus away from establishing defensible climate forecasts and towards climate robustness performance metrics, provided information that could support the selection of MPs accounting for climate impacts. It was not necessary to know the exact type of impact (M, R, K or C in this demo) or the exact level of forecasted </w:t>
      </w:r>
      <w:r w:rsidR="00FC72C1">
        <w:rPr>
          <w:rFonts w:ascii="Times New Roman" w:eastAsia="Times New Roman" w:hAnsi="Times New Roman" w:cs="Times New Roman"/>
          <w:bCs/>
          <w:color w:val="000000"/>
          <w:sz w:val="20"/>
          <w:szCs w:val="20"/>
          <w:lang w:eastAsia="en-CA"/>
        </w:rPr>
        <w:t>impact</w:t>
      </w:r>
      <w:r>
        <w:rPr>
          <w:rFonts w:ascii="Times New Roman" w:eastAsia="Times New Roman" w:hAnsi="Times New Roman" w:cs="Times New Roman"/>
          <w:bCs/>
          <w:color w:val="000000"/>
          <w:sz w:val="20"/>
          <w:szCs w:val="20"/>
          <w:lang w:eastAsia="en-CA"/>
        </w:rPr>
        <w:t xml:space="preserve"> to </w:t>
      </w:r>
      <w:r w:rsidR="00B967AC">
        <w:rPr>
          <w:rFonts w:ascii="Times New Roman" w:eastAsia="Times New Roman" w:hAnsi="Times New Roman" w:cs="Times New Roman"/>
          <w:bCs/>
          <w:color w:val="000000"/>
          <w:sz w:val="20"/>
          <w:szCs w:val="20"/>
          <w:lang w:eastAsia="en-CA"/>
        </w:rPr>
        <w:t>identify an</w:t>
      </w:r>
      <w:r>
        <w:rPr>
          <w:rFonts w:ascii="Times New Roman" w:eastAsia="Times New Roman" w:hAnsi="Times New Roman" w:cs="Times New Roman"/>
          <w:bCs/>
          <w:color w:val="000000"/>
          <w:sz w:val="20"/>
          <w:szCs w:val="20"/>
          <w:lang w:eastAsia="en-CA"/>
        </w:rPr>
        <w:t xml:space="preserve"> MP </w:t>
      </w:r>
      <w:r w:rsidR="00B967AC">
        <w:rPr>
          <w:rFonts w:ascii="Times New Roman" w:eastAsia="Times New Roman" w:hAnsi="Times New Roman" w:cs="Times New Roman"/>
          <w:bCs/>
          <w:color w:val="000000"/>
          <w:sz w:val="20"/>
          <w:szCs w:val="20"/>
          <w:lang w:eastAsia="en-CA"/>
        </w:rPr>
        <w:t xml:space="preserve">that clearly and </w:t>
      </w:r>
      <w:r>
        <w:rPr>
          <w:rFonts w:ascii="Times New Roman" w:eastAsia="Times New Roman" w:hAnsi="Times New Roman" w:cs="Times New Roman"/>
          <w:bCs/>
          <w:color w:val="000000"/>
          <w:sz w:val="20"/>
          <w:szCs w:val="20"/>
          <w:lang w:eastAsia="en-CA"/>
        </w:rPr>
        <w:t>consistently outperform</w:t>
      </w:r>
      <w:r w:rsidR="00B967AC">
        <w:rPr>
          <w:rFonts w:ascii="Times New Roman" w:eastAsia="Times New Roman" w:hAnsi="Times New Roman" w:cs="Times New Roman"/>
          <w:bCs/>
          <w:color w:val="000000"/>
          <w:sz w:val="20"/>
          <w:szCs w:val="20"/>
          <w:lang w:eastAsia="en-CA"/>
        </w:rPr>
        <w:t>ed</w:t>
      </w:r>
      <w:r>
        <w:rPr>
          <w:rFonts w:ascii="Times New Roman" w:eastAsia="Times New Roman" w:hAnsi="Times New Roman" w:cs="Times New Roman"/>
          <w:bCs/>
          <w:color w:val="000000"/>
          <w:sz w:val="20"/>
          <w:szCs w:val="20"/>
          <w:lang w:eastAsia="en-CA"/>
        </w:rPr>
        <w:t xml:space="preserve"> the rest in terms of climate robustness (Index target with 10% maximum TAC change).</w:t>
      </w:r>
      <w:bookmarkEnd w:id="1"/>
    </w:p>
    <w:bookmarkEnd w:id="0"/>
    <w:p w14:paraId="5FEBE7AD" w14:textId="77777777" w:rsidR="00BC6F8E" w:rsidRDefault="00BC6F8E" w:rsidP="006F5590">
      <w:pPr>
        <w:spacing w:after="0" w:line="240" w:lineRule="auto"/>
        <w:rPr>
          <w:rFonts w:ascii="Times New Roman" w:eastAsia="Times New Roman" w:hAnsi="Times New Roman" w:cs="Times New Roman"/>
          <w:bCs/>
          <w:color w:val="000000"/>
          <w:sz w:val="20"/>
          <w:szCs w:val="20"/>
          <w:lang w:eastAsia="en-CA"/>
        </w:rPr>
      </w:pPr>
    </w:p>
    <w:p w14:paraId="1D5E8C85" w14:textId="77777777" w:rsidR="00BC6F8E" w:rsidRDefault="00BC6F8E" w:rsidP="006F5590">
      <w:pPr>
        <w:spacing w:after="0" w:line="240" w:lineRule="auto"/>
        <w:rPr>
          <w:rFonts w:ascii="Times New Roman" w:eastAsia="Times New Roman" w:hAnsi="Times New Roman" w:cs="Times New Roman"/>
          <w:bCs/>
          <w:color w:val="000000"/>
          <w:sz w:val="20"/>
          <w:szCs w:val="20"/>
          <w:lang w:eastAsia="en-CA"/>
        </w:rPr>
      </w:pPr>
    </w:p>
    <w:p w14:paraId="79A87673" w14:textId="0D078AEA" w:rsidR="004F41A8" w:rsidRPr="00693B7A" w:rsidRDefault="004F41A8" w:rsidP="00871FE4">
      <w:pPr>
        <w:spacing w:after="0" w:line="240" w:lineRule="auto"/>
        <w:jc w:val="both"/>
        <w:rPr>
          <w:rFonts w:ascii="Times New Roman" w:hAnsi="Times New Roman" w:cs="Times New Roman"/>
          <w:b/>
          <w:color w:val="000000" w:themeColor="text1"/>
          <w:sz w:val="20"/>
          <w:szCs w:val="20"/>
        </w:rPr>
      </w:pPr>
      <w:r w:rsidRPr="00693B7A">
        <w:rPr>
          <w:rFonts w:ascii="Times New Roman" w:hAnsi="Times New Roman" w:cs="Times New Roman"/>
          <w:b/>
          <w:color w:val="000000" w:themeColor="text1"/>
          <w:sz w:val="20"/>
          <w:szCs w:val="20"/>
        </w:rPr>
        <w:t>Acknowledgments</w:t>
      </w:r>
    </w:p>
    <w:p w14:paraId="4ED504C6" w14:textId="6D2837DD" w:rsidR="004F41A8" w:rsidRPr="00693B7A" w:rsidRDefault="004F41A8" w:rsidP="00871FE4">
      <w:pPr>
        <w:spacing w:after="0" w:line="240" w:lineRule="auto"/>
        <w:jc w:val="both"/>
        <w:rPr>
          <w:rFonts w:ascii="Times New Roman" w:hAnsi="Times New Roman" w:cs="Times New Roman"/>
          <w:b/>
          <w:color w:val="000000" w:themeColor="text1"/>
          <w:sz w:val="20"/>
          <w:szCs w:val="20"/>
        </w:rPr>
      </w:pPr>
    </w:p>
    <w:p w14:paraId="6ABCB64E" w14:textId="77777777" w:rsidR="0086028E" w:rsidRDefault="0086028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Many thanks to Shana Miller and Grantly Galland for their feedback on earlier concepts for climate robust performance metrics. </w:t>
      </w:r>
    </w:p>
    <w:p w14:paraId="6092ACB6" w14:textId="4D37A4DE" w:rsidR="004418B3" w:rsidRDefault="00774D0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This work was funded by The Ocean Foundation</w:t>
      </w:r>
      <w:r w:rsidR="004418B3" w:rsidRPr="00693B7A">
        <w:rPr>
          <w:rFonts w:ascii="Times New Roman" w:hAnsi="Times New Roman" w:cs="Times New Roman"/>
          <w:color w:val="000000" w:themeColor="text1"/>
          <w:sz w:val="20"/>
          <w:szCs w:val="20"/>
        </w:rPr>
        <w:t>.</w:t>
      </w:r>
    </w:p>
    <w:p w14:paraId="414C1DCB" w14:textId="1FB30140" w:rsidR="005C36DC" w:rsidRDefault="005C36DC">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References</w:t>
      </w:r>
    </w:p>
    <w:p w14:paraId="3B5169D3" w14:textId="73996664" w:rsidR="00F06E6D" w:rsidRDefault="00F06E6D" w:rsidP="00F06E6D">
      <w:pPr>
        <w:ind w:left="426" w:hanging="426"/>
        <w:rPr>
          <w:rFonts w:ascii="Times New Roman" w:hAnsi="Times New Roman" w:cs="Times New Roman"/>
          <w:color w:val="000000" w:themeColor="text1"/>
          <w:sz w:val="20"/>
          <w:szCs w:val="20"/>
          <w:lang w:val="en-CA"/>
        </w:rPr>
      </w:pPr>
      <w:r w:rsidRPr="00567DBC">
        <w:rPr>
          <w:rFonts w:ascii="Times New Roman" w:hAnsi="Times New Roman" w:cs="Times New Roman"/>
          <w:color w:val="000000" w:themeColor="text1"/>
          <w:sz w:val="20"/>
          <w:szCs w:val="20"/>
          <w:lang w:val="en-CA"/>
        </w:rPr>
        <w:lastRenderedPageBreak/>
        <w:t xml:space="preserve">Anonymous. 2021. </w:t>
      </w:r>
      <w:r>
        <w:rPr>
          <w:rFonts w:ascii="Times New Roman" w:hAnsi="Times New Roman" w:cs="Times New Roman"/>
          <w:color w:val="000000" w:themeColor="text1"/>
          <w:sz w:val="20"/>
          <w:szCs w:val="20"/>
          <w:lang w:val="en-CA"/>
        </w:rPr>
        <w:t>Report of the 2021 bigeye stock assessment meeting</w:t>
      </w:r>
      <w:r w:rsidRPr="00567DBC">
        <w:rPr>
          <w:rFonts w:ascii="Times New Roman" w:hAnsi="Times New Roman" w:cs="Times New Roman"/>
          <w:color w:val="000000" w:themeColor="text1"/>
          <w:sz w:val="20"/>
          <w:szCs w:val="20"/>
          <w:lang w:val="en-CA"/>
        </w:rPr>
        <w:t>. SCRS/2021/011. Collect. Vol. Sci. Pap. ICCAT, 78(2): 335-485.</w:t>
      </w:r>
    </w:p>
    <w:p w14:paraId="1201A6CE" w14:textId="7C71CBED" w:rsidR="0047560F" w:rsidRDefault="0047560F" w:rsidP="0047560F">
      <w:pPr>
        <w:ind w:left="426" w:hanging="426"/>
        <w:rPr>
          <w:rFonts w:ascii="Times New Roman" w:hAnsi="Times New Roman" w:cs="Times New Roman"/>
          <w:color w:val="000000" w:themeColor="text1"/>
          <w:sz w:val="20"/>
          <w:szCs w:val="20"/>
          <w:lang w:val="en-CA"/>
        </w:rPr>
      </w:pPr>
      <w:r>
        <w:rPr>
          <w:rFonts w:ascii="Times New Roman" w:hAnsi="Times New Roman" w:cs="Times New Roman"/>
          <w:color w:val="000000" w:themeColor="text1"/>
          <w:sz w:val="20"/>
          <w:szCs w:val="20"/>
          <w:lang w:val="en-CA"/>
        </w:rPr>
        <w:t xml:space="preserve">Algieri, B., </w:t>
      </w:r>
      <w:proofErr w:type="spellStart"/>
      <w:r>
        <w:rPr>
          <w:rFonts w:ascii="Times New Roman" w:hAnsi="Times New Roman" w:cs="Times New Roman"/>
          <w:color w:val="000000" w:themeColor="text1"/>
          <w:sz w:val="20"/>
          <w:szCs w:val="20"/>
          <w:lang w:val="en-CA"/>
        </w:rPr>
        <w:t>Iania</w:t>
      </w:r>
      <w:proofErr w:type="spellEnd"/>
      <w:r>
        <w:rPr>
          <w:rFonts w:ascii="Times New Roman" w:hAnsi="Times New Roman" w:cs="Times New Roman"/>
          <w:color w:val="000000" w:themeColor="text1"/>
          <w:sz w:val="20"/>
          <w:szCs w:val="20"/>
          <w:lang w:val="en-CA"/>
        </w:rPr>
        <w:t xml:space="preserve">, L, </w:t>
      </w:r>
      <w:proofErr w:type="spellStart"/>
      <w:r>
        <w:rPr>
          <w:rFonts w:ascii="Times New Roman" w:hAnsi="Times New Roman" w:cs="Times New Roman"/>
          <w:color w:val="000000" w:themeColor="text1"/>
          <w:sz w:val="20"/>
          <w:szCs w:val="20"/>
          <w:lang w:val="en-CA"/>
        </w:rPr>
        <w:t>Leccadito</w:t>
      </w:r>
      <w:proofErr w:type="spellEnd"/>
      <w:r>
        <w:rPr>
          <w:rFonts w:ascii="Times New Roman" w:hAnsi="Times New Roman" w:cs="Times New Roman"/>
          <w:color w:val="000000" w:themeColor="text1"/>
          <w:sz w:val="20"/>
          <w:szCs w:val="20"/>
          <w:lang w:val="en-CA"/>
        </w:rPr>
        <w:t xml:space="preserve">, A. 2023. Looking ahead: forecasting total energy carbon dioxide emissions. Cleaner Environmental Systems. 9. </w:t>
      </w:r>
      <w:hyperlink r:id="rId8" w:history="1">
        <w:r w:rsidRPr="00E72692">
          <w:rPr>
            <w:rStyle w:val="Hyperlink"/>
            <w:rFonts w:ascii="Times New Roman" w:hAnsi="Times New Roman" w:cs="Times New Roman"/>
            <w:sz w:val="20"/>
            <w:szCs w:val="20"/>
            <w:lang w:val="en-CA"/>
          </w:rPr>
          <w:t>https://doi.org/10.1016/j.cesys.2023.100112</w:t>
        </w:r>
      </w:hyperlink>
    </w:p>
    <w:p w14:paraId="64DAC99A" w14:textId="77777777" w:rsidR="0047560F" w:rsidRDefault="0047560F" w:rsidP="0047560F">
      <w:pPr>
        <w:ind w:left="426" w:hanging="426"/>
        <w:rPr>
          <w:rFonts w:ascii="Times New Roman" w:hAnsi="Times New Roman" w:cs="Times New Roman"/>
          <w:color w:val="000000" w:themeColor="text1"/>
          <w:sz w:val="20"/>
          <w:szCs w:val="20"/>
          <w:lang w:val="en-CA"/>
        </w:rPr>
      </w:pPr>
      <w:r w:rsidRPr="00E036FB">
        <w:rPr>
          <w:rFonts w:ascii="Times New Roman" w:hAnsi="Times New Roman" w:cs="Times New Roman"/>
          <w:color w:val="000000" w:themeColor="text1"/>
          <w:sz w:val="20"/>
          <w:szCs w:val="20"/>
          <w:lang w:val="en-CA"/>
        </w:rPr>
        <w:t xml:space="preserve">Beaugrand, G., and Kirby, R. R. 2010. Spatial changes in the sensitivity of Atlantic cod to climate-driven effects in the plankton. Clim. Res. 41, 15–19. </w:t>
      </w:r>
      <w:proofErr w:type="spellStart"/>
      <w:r w:rsidRPr="00E036FB">
        <w:rPr>
          <w:rFonts w:ascii="Times New Roman" w:hAnsi="Times New Roman" w:cs="Times New Roman"/>
          <w:color w:val="000000" w:themeColor="text1"/>
          <w:sz w:val="20"/>
          <w:szCs w:val="20"/>
          <w:lang w:val="en-CA"/>
        </w:rPr>
        <w:t>doi</w:t>
      </w:r>
      <w:proofErr w:type="spellEnd"/>
      <w:r w:rsidRPr="00E036FB">
        <w:rPr>
          <w:rFonts w:ascii="Times New Roman" w:hAnsi="Times New Roman" w:cs="Times New Roman"/>
          <w:color w:val="000000" w:themeColor="text1"/>
          <w:sz w:val="20"/>
          <w:szCs w:val="20"/>
          <w:lang w:val="en-CA"/>
        </w:rPr>
        <w:t>: 10.3354/cr00838</w:t>
      </w:r>
    </w:p>
    <w:p w14:paraId="7784FEA9" w14:textId="77777777" w:rsidR="0047560F" w:rsidRDefault="0047560F" w:rsidP="0047560F">
      <w:pPr>
        <w:ind w:left="426" w:hanging="426"/>
        <w:rPr>
          <w:rFonts w:ascii="Times New Roman" w:hAnsi="Times New Roman" w:cs="Times New Roman"/>
          <w:color w:val="000000" w:themeColor="text1"/>
          <w:sz w:val="20"/>
          <w:szCs w:val="20"/>
          <w:lang w:val="en-CA"/>
        </w:rPr>
      </w:pPr>
      <w:r w:rsidRPr="005A3C70">
        <w:rPr>
          <w:rFonts w:ascii="Times New Roman" w:hAnsi="Times New Roman" w:cs="Times New Roman"/>
          <w:color w:val="000000" w:themeColor="text1"/>
          <w:sz w:val="20"/>
          <w:szCs w:val="20"/>
          <w:lang w:val="en-CA"/>
        </w:rPr>
        <w:t>Bushnell</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 xml:space="preserve"> P</w:t>
      </w:r>
      <w:r>
        <w:rPr>
          <w:rFonts w:ascii="Times New Roman" w:hAnsi="Times New Roman" w:cs="Times New Roman"/>
          <w:color w:val="000000" w:themeColor="text1"/>
          <w:sz w:val="20"/>
          <w:szCs w:val="20"/>
          <w:lang w:val="en-CA"/>
        </w:rPr>
        <w:t xml:space="preserve">. </w:t>
      </w:r>
      <w:r w:rsidRPr="005A3C70">
        <w:rPr>
          <w:rFonts w:ascii="Times New Roman" w:hAnsi="Times New Roman" w:cs="Times New Roman"/>
          <w:color w:val="000000" w:themeColor="text1"/>
          <w:sz w:val="20"/>
          <w:szCs w:val="20"/>
          <w:lang w:val="en-CA"/>
        </w:rPr>
        <w:t>G</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 xml:space="preserve"> and Brill</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 xml:space="preserve"> R</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W</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 xml:space="preserve"> 1991 Responses of swimming skipjack (Katsuwonus pelamis)</w:t>
      </w:r>
      <w:r>
        <w:rPr>
          <w:rFonts w:ascii="Times New Roman" w:hAnsi="Times New Roman" w:cs="Times New Roman"/>
          <w:color w:val="000000" w:themeColor="text1"/>
          <w:sz w:val="20"/>
          <w:szCs w:val="20"/>
          <w:lang w:val="en-CA"/>
        </w:rPr>
        <w:t xml:space="preserve"> </w:t>
      </w:r>
      <w:r w:rsidRPr="005A3C70">
        <w:rPr>
          <w:rFonts w:ascii="Times New Roman" w:hAnsi="Times New Roman" w:cs="Times New Roman"/>
          <w:color w:val="000000" w:themeColor="text1"/>
          <w:sz w:val="20"/>
          <w:szCs w:val="20"/>
          <w:lang w:val="en-CA"/>
        </w:rPr>
        <w:t xml:space="preserve">and yellowfin (Thunnus </w:t>
      </w:r>
      <w:proofErr w:type="spellStart"/>
      <w:r w:rsidRPr="005A3C70">
        <w:rPr>
          <w:rFonts w:ascii="Times New Roman" w:hAnsi="Times New Roman" w:cs="Times New Roman"/>
          <w:color w:val="000000" w:themeColor="text1"/>
          <w:sz w:val="20"/>
          <w:szCs w:val="20"/>
          <w:lang w:val="en-CA"/>
        </w:rPr>
        <w:t>albacares</w:t>
      </w:r>
      <w:proofErr w:type="spellEnd"/>
      <w:r w:rsidRPr="005A3C70">
        <w:rPr>
          <w:rFonts w:ascii="Times New Roman" w:hAnsi="Times New Roman" w:cs="Times New Roman"/>
          <w:color w:val="000000" w:themeColor="text1"/>
          <w:sz w:val="20"/>
          <w:szCs w:val="20"/>
          <w:lang w:val="en-CA"/>
        </w:rPr>
        <w:t>) tunas exposed to acute hypoxia, and a model of their</w:t>
      </w:r>
      <w:r>
        <w:rPr>
          <w:rFonts w:ascii="Times New Roman" w:hAnsi="Times New Roman" w:cs="Times New Roman"/>
          <w:color w:val="000000" w:themeColor="text1"/>
          <w:sz w:val="20"/>
          <w:szCs w:val="20"/>
          <w:lang w:val="en-CA"/>
        </w:rPr>
        <w:t xml:space="preserve"> </w:t>
      </w:r>
      <w:r w:rsidRPr="005A3C70">
        <w:rPr>
          <w:rFonts w:ascii="Times New Roman" w:hAnsi="Times New Roman" w:cs="Times New Roman"/>
          <w:color w:val="000000" w:themeColor="text1"/>
          <w:sz w:val="20"/>
          <w:szCs w:val="20"/>
          <w:lang w:val="en-CA"/>
        </w:rPr>
        <w:t>cardiorespiratory function. Physiological Zoology</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 xml:space="preserve"> 64, 787–811.</w:t>
      </w:r>
    </w:p>
    <w:p w14:paraId="487DFEC0" w14:textId="3C4D20ED" w:rsidR="00F06E6D" w:rsidRDefault="00B83780" w:rsidP="00BC6F8E">
      <w:pPr>
        <w:ind w:left="426" w:hanging="426"/>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Carruthers, T.R. 2024. Developing the Climate Test: Robustness Trials for Climate-Ready Management Procedures. SCRS/2024</w:t>
      </w:r>
      <w:r w:rsidR="00BC6F8E">
        <w:rPr>
          <w:rFonts w:ascii="Times New Roman" w:hAnsi="Times New Roman" w:cs="Times New Roman"/>
          <w:color w:val="000000" w:themeColor="text1"/>
          <w:sz w:val="20"/>
          <w:szCs w:val="20"/>
        </w:rPr>
        <w:t xml:space="preserve">/104. </w:t>
      </w:r>
    </w:p>
    <w:p w14:paraId="160E7320" w14:textId="77777777" w:rsidR="0047560F" w:rsidRDefault="0047560F" w:rsidP="0047560F">
      <w:pPr>
        <w:ind w:left="426" w:hanging="426"/>
        <w:rPr>
          <w:rFonts w:ascii="Times New Roman" w:hAnsi="Times New Roman" w:cs="Times New Roman"/>
          <w:color w:val="000000" w:themeColor="text1"/>
          <w:sz w:val="20"/>
          <w:szCs w:val="20"/>
          <w:lang w:val="en-CA"/>
        </w:rPr>
      </w:pPr>
      <w:proofErr w:type="spellStart"/>
      <w:r w:rsidRPr="00AD3EC1">
        <w:rPr>
          <w:rFonts w:ascii="Times New Roman" w:hAnsi="Times New Roman" w:cs="Times New Roman"/>
          <w:color w:val="000000" w:themeColor="text1"/>
          <w:sz w:val="20"/>
          <w:szCs w:val="20"/>
          <w:lang w:val="en-CA"/>
        </w:rPr>
        <w:t>Cayré</w:t>
      </w:r>
      <w:proofErr w:type="spellEnd"/>
      <w:r>
        <w:rPr>
          <w:rFonts w:ascii="Times New Roman" w:hAnsi="Times New Roman" w:cs="Times New Roman"/>
          <w:color w:val="000000" w:themeColor="text1"/>
          <w:sz w:val="20"/>
          <w:szCs w:val="20"/>
          <w:lang w:val="en-CA"/>
        </w:rPr>
        <w:t>,</w:t>
      </w:r>
      <w:r w:rsidRPr="00AD3EC1">
        <w:rPr>
          <w:rFonts w:ascii="Times New Roman" w:hAnsi="Times New Roman" w:cs="Times New Roman"/>
          <w:color w:val="000000" w:themeColor="text1"/>
          <w:sz w:val="20"/>
          <w:szCs w:val="20"/>
          <w:lang w:val="en-CA"/>
        </w:rPr>
        <w:t xml:space="preserve"> P</w:t>
      </w:r>
      <w:r>
        <w:rPr>
          <w:rFonts w:ascii="Times New Roman" w:hAnsi="Times New Roman" w:cs="Times New Roman"/>
          <w:color w:val="000000" w:themeColor="text1"/>
          <w:sz w:val="20"/>
          <w:szCs w:val="20"/>
          <w:lang w:val="en-CA"/>
        </w:rPr>
        <w:t>.</w:t>
      </w:r>
      <w:r w:rsidRPr="00AD3EC1">
        <w:rPr>
          <w:rFonts w:ascii="Times New Roman" w:hAnsi="Times New Roman" w:cs="Times New Roman"/>
          <w:color w:val="000000" w:themeColor="text1"/>
          <w:sz w:val="20"/>
          <w:szCs w:val="20"/>
          <w:lang w:val="en-CA"/>
        </w:rPr>
        <w:t>F</w:t>
      </w:r>
      <w:r>
        <w:rPr>
          <w:rFonts w:ascii="Times New Roman" w:hAnsi="Times New Roman" w:cs="Times New Roman"/>
          <w:color w:val="000000" w:themeColor="text1"/>
          <w:sz w:val="20"/>
          <w:szCs w:val="20"/>
          <w:lang w:val="en-CA"/>
        </w:rPr>
        <w:t>.,</w:t>
      </w:r>
      <w:r w:rsidRPr="00AD3EC1">
        <w:rPr>
          <w:rFonts w:ascii="Times New Roman" w:hAnsi="Times New Roman" w:cs="Times New Roman"/>
          <w:color w:val="000000" w:themeColor="text1"/>
          <w:sz w:val="20"/>
          <w:szCs w:val="20"/>
          <w:lang w:val="en-CA"/>
        </w:rPr>
        <w:t xml:space="preserve"> Marsac</w:t>
      </w:r>
      <w:r>
        <w:rPr>
          <w:rFonts w:ascii="Times New Roman" w:hAnsi="Times New Roman" w:cs="Times New Roman"/>
          <w:color w:val="000000" w:themeColor="text1"/>
          <w:sz w:val="20"/>
          <w:szCs w:val="20"/>
          <w:lang w:val="en-CA"/>
        </w:rPr>
        <w:t>,</w:t>
      </w:r>
      <w:r w:rsidRPr="00AD3EC1">
        <w:rPr>
          <w:rFonts w:ascii="Times New Roman" w:hAnsi="Times New Roman" w:cs="Times New Roman"/>
          <w:color w:val="000000" w:themeColor="text1"/>
          <w:sz w:val="20"/>
          <w:szCs w:val="20"/>
          <w:lang w:val="en-CA"/>
        </w:rPr>
        <w:t xml:space="preserve"> F</w:t>
      </w:r>
      <w:r>
        <w:rPr>
          <w:rFonts w:ascii="Times New Roman" w:hAnsi="Times New Roman" w:cs="Times New Roman"/>
          <w:color w:val="000000" w:themeColor="text1"/>
          <w:sz w:val="20"/>
          <w:szCs w:val="20"/>
          <w:lang w:val="en-CA"/>
        </w:rPr>
        <w:t>.</w:t>
      </w:r>
      <w:r w:rsidRPr="00AD3EC1">
        <w:rPr>
          <w:rFonts w:ascii="Times New Roman" w:hAnsi="Times New Roman" w:cs="Times New Roman"/>
          <w:color w:val="000000" w:themeColor="text1"/>
          <w:sz w:val="20"/>
          <w:szCs w:val="20"/>
          <w:lang w:val="en-CA"/>
        </w:rPr>
        <w:t xml:space="preserve"> 1993</w:t>
      </w:r>
      <w:r>
        <w:rPr>
          <w:rFonts w:ascii="Times New Roman" w:hAnsi="Times New Roman" w:cs="Times New Roman"/>
          <w:color w:val="000000" w:themeColor="text1"/>
          <w:sz w:val="20"/>
          <w:szCs w:val="20"/>
          <w:lang w:val="en-CA"/>
        </w:rPr>
        <w:t>.</w:t>
      </w:r>
      <w:r w:rsidRPr="00AD3EC1">
        <w:rPr>
          <w:rFonts w:ascii="Times New Roman" w:hAnsi="Times New Roman" w:cs="Times New Roman"/>
          <w:color w:val="000000" w:themeColor="text1"/>
          <w:sz w:val="20"/>
          <w:szCs w:val="20"/>
          <w:lang w:val="en-CA"/>
        </w:rPr>
        <w:t xml:space="preserve"> Modelling the yellowfin tuna (Thunnus </w:t>
      </w:r>
      <w:proofErr w:type="spellStart"/>
      <w:r w:rsidRPr="00AD3EC1">
        <w:rPr>
          <w:rFonts w:ascii="Times New Roman" w:hAnsi="Times New Roman" w:cs="Times New Roman"/>
          <w:color w:val="000000" w:themeColor="text1"/>
          <w:sz w:val="20"/>
          <w:szCs w:val="20"/>
          <w:lang w:val="en-CA"/>
        </w:rPr>
        <w:t>albacares</w:t>
      </w:r>
      <w:proofErr w:type="spellEnd"/>
      <w:r w:rsidRPr="00AD3EC1">
        <w:rPr>
          <w:rFonts w:ascii="Times New Roman" w:hAnsi="Times New Roman" w:cs="Times New Roman"/>
          <w:color w:val="000000" w:themeColor="text1"/>
          <w:sz w:val="20"/>
          <w:szCs w:val="20"/>
          <w:lang w:val="en-CA"/>
        </w:rPr>
        <w:t>) vertical</w:t>
      </w:r>
      <w:r>
        <w:rPr>
          <w:rFonts w:ascii="Times New Roman" w:hAnsi="Times New Roman" w:cs="Times New Roman"/>
          <w:color w:val="000000" w:themeColor="text1"/>
          <w:sz w:val="20"/>
          <w:szCs w:val="20"/>
          <w:lang w:val="en-CA"/>
        </w:rPr>
        <w:t xml:space="preserve"> </w:t>
      </w:r>
      <w:r w:rsidRPr="00AD3EC1">
        <w:rPr>
          <w:rFonts w:ascii="Times New Roman" w:hAnsi="Times New Roman" w:cs="Times New Roman"/>
          <w:color w:val="000000" w:themeColor="text1"/>
          <w:sz w:val="20"/>
          <w:szCs w:val="20"/>
          <w:lang w:val="en-CA"/>
        </w:rPr>
        <w:t>distribution using sonic tagging results and local environmental parameters. Aquatic</w:t>
      </w:r>
      <w:r>
        <w:rPr>
          <w:rFonts w:ascii="Times New Roman" w:hAnsi="Times New Roman" w:cs="Times New Roman"/>
          <w:color w:val="000000" w:themeColor="text1"/>
          <w:sz w:val="20"/>
          <w:szCs w:val="20"/>
          <w:lang w:val="en-CA"/>
        </w:rPr>
        <w:t xml:space="preserve"> </w:t>
      </w:r>
      <w:r w:rsidRPr="00AD3EC1">
        <w:rPr>
          <w:rFonts w:ascii="Times New Roman" w:hAnsi="Times New Roman" w:cs="Times New Roman"/>
          <w:color w:val="000000" w:themeColor="text1"/>
          <w:sz w:val="20"/>
          <w:szCs w:val="20"/>
          <w:lang w:val="en-CA"/>
        </w:rPr>
        <w:t>Living Resources 6, 1–14.</w:t>
      </w:r>
    </w:p>
    <w:p w14:paraId="0540CF7F" w14:textId="77777777" w:rsidR="0047560F" w:rsidRDefault="0047560F" w:rsidP="0047560F">
      <w:pPr>
        <w:ind w:left="426" w:hanging="426"/>
        <w:rPr>
          <w:rFonts w:ascii="Times New Roman" w:hAnsi="Times New Roman" w:cs="Times New Roman"/>
          <w:color w:val="000000" w:themeColor="text1"/>
          <w:sz w:val="20"/>
          <w:szCs w:val="20"/>
          <w:lang w:val="en-CA"/>
        </w:rPr>
      </w:pPr>
      <w:r w:rsidRPr="005A3C70">
        <w:rPr>
          <w:rFonts w:ascii="Times New Roman" w:hAnsi="Times New Roman" w:cs="Times New Roman"/>
          <w:color w:val="000000" w:themeColor="text1"/>
          <w:sz w:val="20"/>
          <w:szCs w:val="20"/>
          <w:lang w:val="en-CA"/>
        </w:rPr>
        <w:t>Checkley</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 xml:space="preserve"> D</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M</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 xml:space="preserve"> Jr, Dickson</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 xml:space="preserve"> A</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G</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 Takahash</w:t>
      </w:r>
      <w:r>
        <w:rPr>
          <w:rFonts w:ascii="Times New Roman" w:hAnsi="Times New Roman" w:cs="Times New Roman"/>
          <w:color w:val="000000" w:themeColor="text1"/>
          <w:sz w:val="20"/>
          <w:szCs w:val="20"/>
          <w:lang w:val="en-CA"/>
        </w:rPr>
        <w:t>i, I.</w:t>
      </w:r>
      <w:r w:rsidRPr="005A3C70">
        <w:rPr>
          <w:rFonts w:ascii="Times New Roman" w:hAnsi="Times New Roman" w:cs="Times New Roman"/>
          <w:color w:val="000000" w:themeColor="text1"/>
          <w:sz w:val="20"/>
          <w:szCs w:val="20"/>
          <w:lang w:val="en-CA"/>
        </w:rPr>
        <w:t xml:space="preserve"> M</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 Radich</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 xml:space="preserve"> J</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A</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 xml:space="preserve"> </w:t>
      </w:r>
      <w:r>
        <w:rPr>
          <w:rFonts w:ascii="Times New Roman" w:hAnsi="Times New Roman" w:cs="Times New Roman"/>
          <w:color w:val="000000" w:themeColor="text1"/>
          <w:sz w:val="20"/>
          <w:szCs w:val="20"/>
          <w:lang w:val="en-CA"/>
        </w:rPr>
        <w:t>et al.</w:t>
      </w:r>
      <w:r w:rsidRPr="005A3C70">
        <w:rPr>
          <w:rFonts w:ascii="Times New Roman" w:hAnsi="Times New Roman" w:cs="Times New Roman"/>
          <w:color w:val="000000" w:themeColor="text1"/>
          <w:sz w:val="20"/>
          <w:szCs w:val="20"/>
          <w:lang w:val="en-CA"/>
        </w:rPr>
        <w:t xml:space="preserve"> 2009</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 xml:space="preserve"> Elevated CO2</w:t>
      </w:r>
      <w:r>
        <w:rPr>
          <w:rFonts w:ascii="Times New Roman" w:hAnsi="Times New Roman" w:cs="Times New Roman"/>
          <w:color w:val="000000" w:themeColor="text1"/>
          <w:sz w:val="20"/>
          <w:szCs w:val="20"/>
          <w:lang w:val="en-CA"/>
        </w:rPr>
        <w:t xml:space="preserve"> </w:t>
      </w:r>
      <w:r w:rsidRPr="005A3C70">
        <w:rPr>
          <w:rFonts w:ascii="Times New Roman" w:hAnsi="Times New Roman" w:cs="Times New Roman"/>
          <w:color w:val="000000" w:themeColor="text1"/>
          <w:sz w:val="20"/>
          <w:szCs w:val="20"/>
          <w:lang w:val="en-CA"/>
        </w:rPr>
        <w:t>enhances growth in young fish. Science</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 xml:space="preserve"> 324, 1683.</w:t>
      </w:r>
    </w:p>
    <w:p w14:paraId="62070B5C" w14:textId="77777777" w:rsidR="0047560F" w:rsidRDefault="0047560F" w:rsidP="0047560F">
      <w:pPr>
        <w:ind w:left="426" w:hanging="426"/>
        <w:rPr>
          <w:rFonts w:ascii="Times New Roman" w:hAnsi="Times New Roman" w:cs="Times New Roman"/>
          <w:color w:val="000000" w:themeColor="text1"/>
          <w:sz w:val="20"/>
          <w:szCs w:val="20"/>
          <w:lang w:val="en-CA"/>
        </w:rPr>
      </w:pPr>
      <w:r w:rsidRPr="005A3C70">
        <w:rPr>
          <w:rFonts w:ascii="Times New Roman" w:hAnsi="Times New Roman" w:cs="Times New Roman"/>
          <w:color w:val="000000" w:themeColor="text1"/>
          <w:sz w:val="20"/>
          <w:szCs w:val="20"/>
          <w:lang w:val="en-CA"/>
        </w:rPr>
        <w:t>Gooding</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 xml:space="preserve"> R</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G</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 Neill</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 xml:space="preserve"> W</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H</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 xml:space="preserve"> and Dizon</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 xml:space="preserve"> A</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E</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 xml:space="preserve"> 1981</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 xml:space="preserve"> Respiration rates and low-oxygen tolerance</w:t>
      </w:r>
      <w:r>
        <w:rPr>
          <w:rFonts w:ascii="Times New Roman" w:hAnsi="Times New Roman" w:cs="Times New Roman"/>
          <w:color w:val="000000" w:themeColor="text1"/>
          <w:sz w:val="20"/>
          <w:szCs w:val="20"/>
          <w:lang w:val="en-CA"/>
        </w:rPr>
        <w:t xml:space="preserve"> </w:t>
      </w:r>
      <w:r w:rsidRPr="005A3C70">
        <w:rPr>
          <w:rFonts w:ascii="Times New Roman" w:hAnsi="Times New Roman" w:cs="Times New Roman"/>
          <w:color w:val="000000" w:themeColor="text1"/>
          <w:sz w:val="20"/>
          <w:szCs w:val="20"/>
          <w:lang w:val="en-CA"/>
        </w:rPr>
        <w:t>limits in skipjack tuna, Katsuwonus pelamis. Fishery Bulletin US 79, 31–47.</w:t>
      </w:r>
    </w:p>
    <w:p w14:paraId="434BC374" w14:textId="77777777" w:rsidR="0047560F" w:rsidRDefault="0047560F" w:rsidP="0047560F">
      <w:pPr>
        <w:ind w:left="426" w:hanging="426"/>
        <w:rPr>
          <w:rFonts w:ascii="Times New Roman" w:hAnsi="Times New Roman" w:cs="Times New Roman"/>
          <w:color w:val="000000" w:themeColor="text1"/>
          <w:sz w:val="20"/>
          <w:szCs w:val="20"/>
          <w:lang w:val="en-CA"/>
        </w:rPr>
      </w:pPr>
      <w:r w:rsidRPr="005A3C70">
        <w:rPr>
          <w:rFonts w:ascii="Times New Roman" w:hAnsi="Times New Roman" w:cs="Times New Roman"/>
          <w:color w:val="000000" w:themeColor="text1"/>
          <w:sz w:val="20"/>
          <w:szCs w:val="20"/>
          <w:lang w:val="en-CA"/>
        </w:rPr>
        <w:t>Graham</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 xml:space="preserve"> J</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B</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 Lowell</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 xml:space="preserve"> R</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W</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 Lai N</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C</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 xml:space="preserve"> Laurs</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 xml:space="preserve"> R</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M</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 xml:space="preserve"> 1989</w:t>
      </w:r>
      <w:r>
        <w:rPr>
          <w:rFonts w:ascii="Times New Roman" w:hAnsi="Times New Roman" w:cs="Times New Roman"/>
          <w:color w:val="000000" w:themeColor="text1"/>
          <w:sz w:val="20"/>
          <w:szCs w:val="20"/>
          <w:lang w:val="en-CA"/>
        </w:rPr>
        <w:t>.</w:t>
      </w:r>
      <w:r w:rsidRPr="005A3C70">
        <w:rPr>
          <w:rFonts w:ascii="Times New Roman" w:hAnsi="Times New Roman" w:cs="Times New Roman"/>
          <w:color w:val="000000" w:themeColor="text1"/>
          <w:sz w:val="20"/>
          <w:szCs w:val="20"/>
          <w:lang w:val="en-CA"/>
        </w:rPr>
        <w:t xml:space="preserve"> O2 tension, swimming velocity, and</w:t>
      </w:r>
      <w:r>
        <w:rPr>
          <w:rFonts w:ascii="Times New Roman" w:hAnsi="Times New Roman" w:cs="Times New Roman"/>
          <w:color w:val="000000" w:themeColor="text1"/>
          <w:sz w:val="20"/>
          <w:szCs w:val="20"/>
          <w:lang w:val="en-CA"/>
        </w:rPr>
        <w:t xml:space="preserve"> </w:t>
      </w:r>
      <w:r w:rsidRPr="005A3C70">
        <w:rPr>
          <w:rFonts w:ascii="Times New Roman" w:hAnsi="Times New Roman" w:cs="Times New Roman"/>
          <w:color w:val="000000" w:themeColor="text1"/>
          <w:sz w:val="20"/>
          <w:szCs w:val="20"/>
          <w:lang w:val="en-CA"/>
        </w:rPr>
        <w:t>thermal effects on the metabolic rate of the Pacific albacore, Thunnus alalunga. Experimental</w:t>
      </w:r>
      <w:r>
        <w:rPr>
          <w:rFonts w:ascii="Times New Roman" w:hAnsi="Times New Roman" w:cs="Times New Roman"/>
          <w:color w:val="000000" w:themeColor="text1"/>
          <w:sz w:val="20"/>
          <w:szCs w:val="20"/>
          <w:lang w:val="en-CA"/>
        </w:rPr>
        <w:t xml:space="preserve"> </w:t>
      </w:r>
      <w:r w:rsidRPr="005A3C70">
        <w:rPr>
          <w:rFonts w:ascii="Times New Roman" w:hAnsi="Times New Roman" w:cs="Times New Roman"/>
          <w:color w:val="000000" w:themeColor="text1"/>
          <w:sz w:val="20"/>
          <w:szCs w:val="20"/>
          <w:lang w:val="en-CA"/>
        </w:rPr>
        <w:t>Biology 48, 89–94.</w:t>
      </w:r>
    </w:p>
    <w:p w14:paraId="245EE7FA" w14:textId="1BC948DA" w:rsidR="00BC6F8E" w:rsidRDefault="00BC6F8E" w:rsidP="00BC6F8E">
      <w:pPr>
        <w:ind w:left="426" w:hanging="426"/>
        <w:rPr>
          <w:rFonts w:ascii="Times New Roman" w:hAnsi="Times New Roman" w:cs="Times New Roman"/>
          <w:color w:val="000000" w:themeColor="text1"/>
          <w:sz w:val="20"/>
          <w:szCs w:val="20"/>
        </w:rPr>
      </w:pPr>
      <w:r w:rsidRPr="00BC6F8E">
        <w:rPr>
          <w:rFonts w:ascii="Times New Roman" w:hAnsi="Times New Roman" w:cs="Times New Roman"/>
          <w:color w:val="000000" w:themeColor="text1"/>
          <w:sz w:val="20"/>
          <w:szCs w:val="20"/>
        </w:rPr>
        <w:t xml:space="preserve">Hordyk, A.R., Huynh Q., Carruthers, </w:t>
      </w:r>
      <w:proofErr w:type="gramStart"/>
      <w:r w:rsidRPr="00BC6F8E">
        <w:rPr>
          <w:rFonts w:ascii="Times New Roman" w:hAnsi="Times New Roman" w:cs="Times New Roman"/>
          <w:color w:val="000000" w:themeColor="text1"/>
          <w:sz w:val="20"/>
          <w:szCs w:val="20"/>
        </w:rPr>
        <w:t>T.R..</w:t>
      </w:r>
      <w:proofErr w:type="gramEnd"/>
      <w:r w:rsidRPr="00BC6F8E">
        <w:rPr>
          <w:rFonts w:ascii="Times New Roman" w:hAnsi="Times New Roman" w:cs="Times New Roman"/>
          <w:color w:val="000000" w:themeColor="text1"/>
          <w:sz w:val="20"/>
          <w:szCs w:val="20"/>
        </w:rPr>
        <w:t xml:space="preserve"> 2024. OpenMSE: open-source libraries for conducting management strategy evaluation. </w:t>
      </w:r>
      <w:hyperlink r:id="rId9" w:history="1">
        <w:r w:rsidRPr="00E72692">
          <w:rPr>
            <w:rStyle w:val="Hyperlink"/>
            <w:rFonts w:ascii="Times New Roman" w:hAnsi="Times New Roman" w:cs="Times New Roman"/>
            <w:sz w:val="20"/>
            <w:szCs w:val="20"/>
          </w:rPr>
          <w:t>www.openMSE.co</w:t>
        </w:r>
        <w:r w:rsidRPr="00E72692">
          <w:rPr>
            <w:rStyle w:val="Hyperlink"/>
            <w:rFonts w:ascii="Times New Roman" w:hAnsi="Times New Roman" w:cs="Times New Roman"/>
            <w:sz w:val="20"/>
            <w:szCs w:val="20"/>
          </w:rPr>
          <w:t>m</w:t>
        </w:r>
      </w:hyperlink>
    </w:p>
    <w:p w14:paraId="36EC7C64" w14:textId="11E29F26" w:rsidR="0047560F" w:rsidRDefault="0047560F" w:rsidP="00BC6F8E">
      <w:pPr>
        <w:ind w:left="426" w:hanging="426"/>
        <w:rPr>
          <w:rFonts w:ascii="Times New Roman" w:hAnsi="Times New Roman" w:cs="Times New Roman"/>
          <w:color w:val="000000" w:themeColor="text1"/>
          <w:sz w:val="20"/>
          <w:szCs w:val="20"/>
        </w:rPr>
      </w:pPr>
      <w:proofErr w:type="spellStart"/>
      <w:r w:rsidRPr="0047560F">
        <w:rPr>
          <w:rFonts w:ascii="Times New Roman" w:hAnsi="Times New Roman" w:cs="Times New Roman"/>
          <w:color w:val="000000" w:themeColor="text1"/>
          <w:sz w:val="20"/>
          <w:szCs w:val="20"/>
        </w:rPr>
        <w:t>Kawamiya</w:t>
      </w:r>
      <w:proofErr w:type="spellEnd"/>
      <w:r w:rsidRPr="0047560F">
        <w:rPr>
          <w:rFonts w:ascii="Times New Roman" w:hAnsi="Times New Roman" w:cs="Times New Roman"/>
          <w:color w:val="000000" w:themeColor="text1"/>
          <w:sz w:val="20"/>
          <w:szCs w:val="20"/>
        </w:rPr>
        <w:t xml:space="preserve">, M., Hajima, T., </w:t>
      </w:r>
      <w:proofErr w:type="spellStart"/>
      <w:r w:rsidRPr="0047560F">
        <w:rPr>
          <w:rFonts w:ascii="Times New Roman" w:hAnsi="Times New Roman" w:cs="Times New Roman"/>
          <w:color w:val="000000" w:themeColor="text1"/>
          <w:sz w:val="20"/>
          <w:szCs w:val="20"/>
        </w:rPr>
        <w:t>Tachiiri</w:t>
      </w:r>
      <w:proofErr w:type="spellEnd"/>
      <w:r w:rsidRPr="0047560F">
        <w:rPr>
          <w:rFonts w:ascii="Times New Roman" w:hAnsi="Times New Roman" w:cs="Times New Roman"/>
          <w:color w:val="000000" w:themeColor="text1"/>
          <w:sz w:val="20"/>
          <w:szCs w:val="20"/>
        </w:rPr>
        <w:t xml:space="preserve">, K. et al. 2020. Two decades of Earth system </w:t>
      </w:r>
      <w:proofErr w:type="spellStart"/>
      <w:r w:rsidRPr="0047560F">
        <w:rPr>
          <w:rFonts w:ascii="Times New Roman" w:hAnsi="Times New Roman" w:cs="Times New Roman"/>
          <w:color w:val="000000" w:themeColor="text1"/>
          <w:sz w:val="20"/>
          <w:szCs w:val="20"/>
        </w:rPr>
        <w:t>modeling</w:t>
      </w:r>
      <w:proofErr w:type="spellEnd"/>
      <w:r w:rsidRPr="0047560F">
        <w:rPr>
          <w:rFonts w:ascii="Times New Roman" w:hAnsi="Times New Roman" w:cs="Times New Roman"/>
          <w:color w:val="000000" w:themeColor="text1"/>
          <w:sz w:val="20"/>
          <w:szCs w:val="20"/>
        </w:rPr>
        <w:t xml:space="preserve"> with an emphasis on Model for Interdisciplinary Research on Climate (MIROC). Prog Earth Planet Sci 7, 64. </w:t>
      </w:r>
      <w:hyperlink r:id="rId10" w:history="1">
        <w:r w:rsidRPr="00E72692">
          <w:rPr>
            <w:rStyle w:val="Hyperlink"/>
            <w:rFonts w:ascii="Times New Roman" w:hAnsi="Times New Roman" w:cs="Times New Roman"/>
            <w:sz w:val="20"/>
            <w:szCs w:val="20"/>
          </w:rPr>
          <w:t>https://doi.org/10.1186/s40645-020-00369-5</w:t>
        </w:r>
      </w:hyperlink>
    </w:p>
    <w:p w14:paraId="4880BB8D" w14:textId="77777777" w:rsidR="0047560F" w:rsidRPr="0047560F" w:rsidRDefault="0047560F" w:rsidP="0047560F">
      <w:pPr>
        <w:ind w:left="426" w:hanging="426"/>
        <w:rPr>
          <w:rFonts w:ascii="Times New Roman" w:hAnsi="Times New Roman" w:cs="Times New Roman"/>
          <w:color w:val="000000" w:themeColor="text1"/>
          <w:sz w:val="20"/>
          <w:szCs w:val="20"/>
        </w:rPr>
      </w:pPr>
      <w:r w:rsidRPr="0047560F">
        <w:rPr>
          <w:rFonts w:ascii="Times New Roman" w:hAnsi="Times New Roman" w:cs="Times New Roman"/>
          <w:color w:val="000000" w:themeColor="text1"/>
          <w:sz w:val="20"/>
          <w:szCs w:val="20"/>
        </w:rPr>
        <w:t xml:space="preserve">Lehodey, P., Hampton, J., Brill, R. W., Nicol, S., </w:t>
      </w:r>
      <w:proofErr w:type="spellStart"/>
      <w:r w:rsidRPr="0047560F">
        <w:rPr>
          <w:rFonts w:ascii="Times New Roman" w:hAnsi="Times New Roman" w:cs="Times New Roman"/>
          <w:color w:val="000000" w:themeColor="text1"/>
          <w:sz w:val="20"/>
          <w:szCs w:val="20"/>
        </w:rPr>
        <w:t>Senina</w:t>
      </w:r>
      <w:proofErr w:type="spellEnd"/>
      <w:r w:rsidRPr="0047560F">
        <w:rPr>
          <w:rFonts w:ascii="Times New Roman" w:hAnsi="Times New Roman" w:cs="Times New Roman"/>
          <w:color w:val="000000" w:themeColor="text1"/>
          <w:sz w:val="20"/>
          <w:szCs w:val="20"/>
        </w:rPr>
        <w:t xml:space="preserve">, I., </w:t>
      </w:r>
      <w:proofErr w:type="spellStart"/>
      <w:r w:rsidRPr="0047560F">
        <w:rPr>
          <w:rFonts w:ascii="Times New Roman" w:hAnsi="Times New Roman" w:cs="Times New Roman"/>
          <w:color w:val="000000" w:themeColor="text1"/>
          <w:sz w:val="20"/>
          <w:szCs w:val="20"/>
        </w:rPr>
        <w:t>Calmettes</w:t>
      </w:r>
      <w:proofErr w:type="spellEnd"/>
      <w:r w:rsidRPr="0047560F">
        <w:rPr>
          <w:rFonts w:ascii="Times New Roman" w:hAnsi="Times New Roman" w:cs="Times New Roman"/>
          <w:color w:val="000000" w:themeColor="text1"/>
          <w:sz w:val="20"/>
          <w:szCs w:val="20"/>
        </w:rPr>
        <w:t>, B., et al. 2011. “Vulnerability of oceanic fisheries in the tropical Pacific to climate change,” in Vulnerability of tropical pacific fisheries and aquaculture to climate change. Eds. Bell J., Johnson J. E., Hobday A. J. (</w:t>
      </w:r>
      <w:proofErr w:type="spellStart"/>
      <w:r w:rsidRPr="0047560F">
        <w:rPr>
          <w:rFonts w:ascii="Times New Roman" w:hAnsi="Times New Roman" w:cs="Times New Roman"/>
          <w:color w:val="000000" w:themeColor="text1"/>
          <w:sz w:val="20"/>
          <w:szCs w:val="20"/>
        </w:rPr>
        <w:t>Noumea</w:t>
      </w:r>
      <w:proofErr w:type="spellEnd"/>
      <w:r w:rsidRPr="0047560F">
        <w:rPr>
          <w:rFonts w:ascii="Times New Roman" w:hAnsi="Times New Roman" w:cs="Times New Roman"/>
          <w:color w:val="000000" w:themeColor="text1"/>
          <w:sz w:val="20"/>
          <w:szCs w:val="20"/>
        </w:rPr>
        <w:t>: Secretariat of the Pacific Community), 447–506.</w:t>
      </w:r>
    </w:p>
    <w:p w14:paraId="2488B2D4" w14:textId="0DA7FC6C" w:rsidR="0047560F" w:rsidRDefault="0047560F" w:rsidP="0047560F">
      <w:pPr>
        <w:ind w:left="426" w:hanging="426"/>
        <w:rPr>
          <w:rFonts w:ascii="Times New Roman" w:hAnsi="Times New Roman" w:cs="Times New Roman"/>
          <w:color w:val="000000" w:themeColor="text1"/>
          <w:sz w:val="20"/>
          <w:szCs w:val="20"/>
        </w:rPr>
      </w:pPr>
      <w:r w:rsidRPr="0047560F">
        <w:rPr>
          <w:rFonts w:ascii="Times New Roman" w:hAnsi="Times New Roman" w:cs="Times New Roman"/>
          <w:color w:val="000000" w:themeColor="text1"/>
          <w:sz w:val="20"/>
          <w:szCs w:val="20"/>
        </w:rPr>
        <w:t xml:space="preserve">Lehodey P, Murtugudde R and </w:t>
      </w:r>
      <w:proofErr w:type="spellStart"/>
      <w:r w:rsidRPr="0047560F">
        <w:rPr>
          <w:rFonts w:ascii="Times New Roman" w:hAnsi="Times New Roman" w:cs="Times New Roman"/>
          <w:color w:val="000000" w:themeColor="text1"/>
          <w:sz w:val="20"/>
          <w:szCs w:val="20"/>
        </w:rPr>
        <w:t>Senina</w:t>
      </w:r>
      <w:proofErr w:type="spellEnd"/>
      <w:r w:rsidRPr="0047560F">
        <w:rPr>
          <w:rFonts w:ascii="Times New Roman" w:hAnsi="Times New Roman" w:cs="Times New Roman"/>
          <w:color w:val="000000" w:themeColor="text1"/>
          <w:sz w:val="20"/>
          <w:szCs w:val="20"/>
        </w:rPr>
        <w:t xml:space="preserve"> I. 2010. Bridging the gap from ocean models to population dynamics of large marine predators: A model of mid-trophic functional groups. Progress in Oceanography 84, 69–74.</w:t>
      </w:r>
    </w:p>
    <w:p w14:paraId="7B1B18AE" w14:textId="77777777" w:rsidR="0047560F" w:rsidRDefault="0047560F" w:rsidP="0047560F">
      <w:pPr>
        <w:ind w:left="426" w:hanging="426"/>
        <w:rPr>
          <w:rFonts w:ascii="Times New Roman" w:hAnsi="Times New Roman" w:cs="Times New Roman"/>
          <w:color w:val="000000" w:themeColor="text1"/>
          <w:sz w:val="20"/>
          <w:szCs w:val="20"/>
          <w:lang w:val="en-CA"/>
        </w:rPr>
      </w:pPr>
      <w:r>
        <w:rPr>
          <w:rFonts w:ascii="Times New Roman" w:hAnsi="Times New Roman" w:cs="Times New Roman"/>
          <w:color w:val="000000" w:themeColor="text1"/>
          <w:sz w:val="20"/>
          <w:szCs w:val="20"/>
          <w:lang w:val="en-CA"/>
        </w:rPr>
        <w:t xml:space="preserve">Wang, J., Wu, C., Liu, C., Gu, G. 2017. Integrated Assessment models of climate change economics. Springer. Singapore. </w:t>
      </w:r>
    </w:p>
    <w:p w14:paraId="4E179E27" w14:textId="77777777" w:rsidR="0047560F" w:rsidRDefault="0047560F" w:rsidP="00BC6F8E">
      <w:pPr>
        <w:ind w:left="426" w:hanging="426"/>
        <w:rPr>
          <w:rFonts w:ascii="Times New Roman" w:hAnsi="Times New Roman" w:cs="Times New Roman"/>
          <w:color w:val="000000" w:themeColor="text1"/>
          <w:sz w:val="20"/>
          <w:szCs w:val="20"/>
        </w:rPr>
      </w:pPr>
    </w:p>
    <w:p w14:paraId="7ADE8362" w14:textId="77777777" w:rsidR="00BC6F8E" w:rsidRPr="00B83780" w:rsidRDefault="00BC6F8E" w:rsidP="00BC6F8E">
      <w:pPr>
        <w:ind w:left="426" w:hanging="426"/>
        <w:rPr>
          <w:rFonts w:ascii="Times New Roman" w:hAnsi="Times New Roman" w:cs="Times New Roman"/>
          <w:color w:val="000000" w:themeColor="text1"/>
          <w:sz w:val="20"/>
          <w:szCs w:val="20"/>
        </w:rPr>
      </w:pPr>
    </w:p>
    <w:p w14:paraId="42E5C3C1" w14:textId="77777777" w:rsidR="0047560F" w:rsidRDefault="0047560F">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br w:type="page"/>
      </w:r>
    </w:p>
    <w:p w14:paraId="72892799" w14:textId="454D55EA" w:rsidR="00392CE5" w:rsidRPr="00BC6F8E" w:rsidRDefault="0083348A" w:rsidP="00BC6F8E">
      <w:pPr>
        <w:rPr>
          <w:rFonts w:ascii="Times New Roman" w:hAnsi="Times New Roman" w:cs="Times New Roman"/>
          <w:color w:val="000000" w:themeColor="text1"/>
          <w:sz w:val="20"/>
          <w:szCs w:val="20"/>
        </w:rPr>
      </w:pPr>
      <w:r>
        <w:rPr>
          <w:rFonts w:ascii="Times New Roman" w:hAnsi="Times New Roman" w:cs="Times New Roman"/>
          <w:b/>
          <w:bCs/>
          <w:color w:val="000000" w:themeColor="text1"/>
          <w:sz w:val="20"/>
          <w:szCs w:val="20"/>
        </w:rPr>
        <w:lastRenderedPageBreak/>
        <w:t>Figures</w:t>
      </w:r>
    </w:p>
    <w:p w14:paraId="35B46E37" w14:textId="7DEBF2EA" w:rsidR="00467562" w:rsidRDefault="0076280C" w:rsidP="00467562">
      <w:pPr>
        <w:spacing w:after="0" w:line="240" w:lineRule="auto"/>
        <w:jc w:val="both"/>
        <w:rPr>
          <w:rFonts w:ascii="Times New Roman" w:hAnsi="Times New Roman" w:cs="Times New Roman"/>
          <w:bCs/>
          <w:sz w:val="20"/>
          <w:szCs w:val="20"/>
        </w:rPr>
      </w:pPr>
      <w:bookmarkStart w:id="2" w:name="_Hlk175731463"/>
      <w:r>
        <w:rPr>
          <w:rFonts w:ascii="Times New Roman" w:hAnsi="Times New Roman" w:cs="Times New Roman"/>
          <w:bCs/>
          <w:noProof/>
          <w:sz w:val="20"/>
          <w:szCs w:val="20"/>
        </w:rPr>
        <w:drawing>
          <wp:inline distT="0" distB="0" distL="0" distR="0" wp14:anchorId="5FD2F98F" wp14:editId="792B5370">
            <wp:extent cx="5731510" cy="5015230"/>
            <wp:effectExtent l="0" t="0" r="2540" b="0"/>
            <wp:docPr id="16903405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40528" name="Picture 169034052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015230"/>
                    </a:xfrm>
                    <a:prstGeom prst="rect">
                      <a:avLst/>
                    </a:prstGeom>
                  </pic:spPr>
                </pic:pic>
              </a:graphicData>
            </a:graphic>
          </wp:inline>
        </w:drawing>
      </w:r>
      <w:r w:rsidR="00467562" w:rsidRPr="00467562">
        <w:rPr>
          <w:rFonts w:ascii="Times New Roman" w:hAnsi="Times New Roman" w:cs="Times New Roman"/>
          <w:bCs/>
          <w:sz w:val="20"/>
          <w:szCs w:val="20"/>
        </w:rPr>
        <w:t>Figure 1.</w:t>
      </w:r>
      <w:r w:rsidR="00293BE2">
        <w:rPr>
          <w:rFonts w:ascii="Times New Roman" w:hAnsi="Times New Roman" w:cs="Times New Roman"/>
          <w:bCs/>
          <w:sz w:val="20"/>
          <w:szCs w:val="20"/>
        </w:rPr>
        <w:t xml:space="preserve"> Derivation of climate robustness scores based on linear interpolation of MSE projections. The coloured time series lines represent the mean spawning stock biomass outcome under various MSE projections where the somatic growth parameter K declines by various percentages after 20 projection years (between 0 and 24% declines). MP It_10 (index target allowing for 10% changes in TAC between years) (bottom) is more robust (given this definition) in that it takes a much larger decrease in somatic growth (K) to drop below the critical level of spawning biomass (30% decline in biomass from today). Given this definition of robustness, MP It_5 (up to 5% changes in TAC) is ‘K8’ robust, it is only robust to 8% declines in somatic growth compared with 18% for the MP It_10. </w:t>
      </w:r>
    </w:p>
    <w:bookmarkEnd w:id="2"/>
    <w:p w14:paraId="1F4E4069" w14:textId="77777777" w:rsidR="002B2D24" w:rsidRPr="00467562" w:rsidRDefault="002B2D24" w:rsidP="00467562">
      <w:pPr>
        <w:spacing w:after="0" w:line="240" w:lineRule="auto"/>
        <w:jc w:val="both"/>
        <w:rPr>
          <w:rFonts w:ascii="Times New Roman" w:hAnsi="Times New Roman" w:cs="Times New Roman"/>
          <w:bCs/>
          <w:sz w:val="20"/>
          <w:szCs w:val="20"/>
        </w:rPr>
      </w:pPr>
    </w:p>
    <w:p w14:paraId="19E0D357" w14:textId="77777777" w:rsidR="000D7006" w:rsidRDefault="000D7006">
      <w:pPr>
        <w:rPr>
          <w:rFonts w:ascii="Times New Roman" w:eastAsia="Times New Roman" w:hAnsi="Times New Roman" w:cs="Times New Roman"/>
          <w:b/>
          <w:bCs/>
          <w:color w:val="000000"/>
          <w:sz w:val="20"/>
          <w:szCs w:val="20"/>
          <w:lang w:eastAsia="en-CA"/>
        </w:rPr>
      </w:pPr>
      <w:r>
        <w:rPr>
          <w:rFonts w:ascii="Times New Roman" w:eastAsia="Times New Roman" w:hAnsi="Times New Roman" w:cs="Times New Roman"/>
          <w:b/>
          <w:bCs/>
          <w:color w:val="000000"/>
          <w:sz w:val="20"/>
          <w:szCs w:val="20"/>
          <w:lang w:eastAsia="en-CA"/>
        </w:rPr>
        <w:br w:type="page"/>
      </w:r>
    </w:p>
    <w:p w14:paraId="1912420C" w14:textId="1DA3397B" w:rsidR="0089683D" w:rsidRDefault="0089683D" w:rsidP="0089683D">
      <w:pPr>
        <w:spacing w:after="0" w:line="240" w:lineRule="auto"/>
        <w:jc w:val="both"/>
        <w:rPr>
          <w:rFonts w:ascii="Times New Roman" w:eastAsia="Times New Roman" w:hAnsi="Times New Roman" w:cs="Times New Roman"/>
          <w:b/>
          <w:bCs/>
          <w:color w:val="000000"/>
          <w:sz w:val="20"/>
          <w:szCs w:val="20"/>
          <w:lang w:eastAsia="en-CA"/>
        </w:rPr>
      </w:pPr>
      <w:r w:rsidRPr="00392CE5">
        <w:rPr>
          <w:rFonts w:ascii="Times New Roman" w:eastAsia="Times New Roman" w:hAnsi="Times New Roman" w:cs="Times New Roman"/>
          <w:b/>
          <w:bCs/>
          <w:color w:val="000000"/>
          <w:sz w:val="20"/>
          <w:szCs w:val="20"/>
          <w:lang w:eastAsia="en-CA"/>
        </w:rPr>
        <w:lastRenderedPageBreak/>
        <w:t>Tables</w:t>
      </w:r>
    </w:p>
    <w:p w14:paraId="376FAB46" w14:textId="77777777" w:rsidR="00392CE5" w:rsidRPr="00392CE5" w:rsidRDefault="00392CE5" w:rsidP="00392CE5">
      <w:pPr>
        <w:spacing w:after="0" w:line="240" w:lineRule="auto"/>
        <w:jc w:val="both"/>
        <w:rPr>
          <w:rFonts w:ascii="Times New Roman" w:eastAsia="Times New Roman" w:hAnsi="Times New Roman" w:cs="Times New Roman"/>
          <w:b/>
          <w:bCs/>
          <w:color w:val="000000"/>
          <w:sz w:val="20"/>
          <w:szCs w:val="20"/>
          <w:lang w:eastAsia="en-CA"/>
        </w:rPr>
      </w:pPr>
    </w:p>
    <w:p w14:paraId="2B3C49BD" w14:textId="6E4EB329" w:rsidR="00392CE5" w:rsidRPr="006C35D4" w:rsidRDefault="00392CE5" w:rsidP="00565744">
      <w:pPr>
        <w:pStyle w:val="NormalWeb"/>
        <w:spacing w:before="0" w:beforeAutospacing="0" w:after="120" w:afterAutospacing="0"/>
        <w:ind w:right="-357"/>
        <w:rPr>
          <w:sz w:val="20"/>
          <w:szCs w:val="20"/>
        </w:rPr>
      </w:pPr>
      <w:r w:rsidRPr="006C35D4">
        <w:rPr>
          <w:color w:val="000000"/>
          <w:sz w:val="20"/>
          <w:szCs w:val="20"/>
        </w:rPr>
        <w:t xml:space="preserve">Table 1. </w:t>
      </w:r>
      <w:r w:rsidR="00B83780">
        <w:rPr>
          <w:color w:val="000000"/>
          <w:sz w:val="20"/>
          <w:szCs w:val="20"/>
        </w:rPr>
        <w:t xml:space="preserve">Climate robustness metrics. Tabulated numbers are the percentage change in each impact before the robustness threshold is reached. Higher percentages that are shaded green represent higher robustness. Shading is scaled per climate test (by column) according to the maximum robustness (highest %) achieved by one of the tabulated MPs. For example, the top lefthand cell is 7%: the Index target MP with up to a 5% change in TAC between years is M7 robust – it can withstand a 7% increase in natural mortality rate before reaching the performance threshold. In this demonstration, the performance threshold is a 30% decline in SSB from current levels after 20 years. </w:t>
      </w:r>
    </w:p>
    <w:p w14:paraId="42E592B4" w14:textId="3CDC0099" w:rsidR="00392CE5" w:rsidRDefault="00565744" w:rsidP="00392CE5">
      <w:pPr>
        <w:pStyle w:val="NormalWeb"/>
        <w:spacing w:before="0" w:beforeAutospacing="0" w:after="0" w:afterAutospacing="0"/>
        <w:ind w:right="-360"/>
      </w:pPr>
      <w:r w:rsidRPr="00565744">
        <w:drawing>
          <wp:inline distT="0" distB="0" distL="0" distR="0" wp14:anchorId="5F0FB177" wp14:editId="2734AE99">
            <wp:extent cx="4227037" cy="2183130"/>
            <wp:effectExtent l="0" t="0" r="2540" b="7620"/>
            <wp:docPr id="1250153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53186" name=""/>
                    <pic:cNvPicPr/>
                  </pic:nvPicPr>
                  <pic:blipFill>
                    <a:blip r:embed="rId12"/>
                    <a:stretch>
                      <a:fillRect/>
                    </a:stretch>
                  </pic:blipFill>
                  <pic:spPr>
                    <a:xfrm>
                      <a:off x="0" y="0"/>
                      <a:ext cx="4236592" cy="2188065"/>
                    </a:xfrm>
                    <a:prstGeom prst="rect">
                      <a:avLst/>
                    </a:prstGeom>
                  </pic:spPr>
                </pic:pic>
              </a:graphicData>
            </a:graphic>
          </wp:inline>
        </w:drawing>
      </w:r>
    </w:p>
    <w:p w14:paraId="2621336D" w14:textId="77777777" w:rsidR="00392CE5" w:rsidRDefault="00392CE5" w:rsidP="00392CE5">
      <w:pPr>
        <w:spacing w:after="0" w:line="240" w:lineRule="auto"/>
        <w:jc w:val="both"/>
        <w:rPr>
          <w:rFonts w:ascii="Times New Roman" w:eastAsia="Times New Roman" w:hAnsi="Times New Roman" w:cs="Times New Roman"/>
          <w:color w:val="000000"/>
          <w:sz w:val="18"/>
          <w:szCs w:val="18"/>
          <w:lang w:eastAsia="en-CA"/>
        </w:rPr>
      </w:pPr>
    </w:p>
    <w:p w14:paraId="6D8F244C" w14:textId="77777777" w:rsidR="00366298" w:rsidRDefault="00366298" w:rsidP="00392CE5">
      <w:pPr>
        <w:spacing w:after="0" w:line="240" w:lineRule="auto"/>
        <w:jc w:val="both"/>
        <w:rPr>
          <w:rFonts w:ascii="Times New Roman" w:eastAsia="Times New Roman" w:hAnsi="Times New Roman" w:cs="Times New Roman"/>
          <w:color w:val="000000"/>
          <w:sz w:val="18"/>
          <w:szCs w:val="18"/>
          <w:lang w:eastAsia="en-CA"/>
        </w:rPr>
      </w:pPr>
    </w:p>
    <w:p w14:paraId="1E2A757C" w14:textId="77777777" w:rsidR="00366298" w:rsidRDefault="00366298" w:rsidP="00392CE5">
      <w:pPr>
        <w:spacing w:after="0" w:line="240" w:lineRule="auto"/>
        <w:jc w:val="both"/>
        <w:rPr>
          <w:rFonts w:ascii="Times New Roman" w:eastAsia="Times New Roman" w:hAnsi="Times New Roman" w:cs="Times New Roman"/>
          <w:color w:val="000000"/>
          <w:sz w:val="18"/>
          <w:szCs w:val="18"/>
          <w:lang w:eastAsia="en-CA"/>
        </w:rPr>
      </w:pPr>
    </w:p>
    <w:sectPr w:rsidR="00366298" w:rsidSect="00FD7DBD">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8F2E1F" w14:textId="77777777" w:rsidR="00246514" w:rsidRDefault="00246514" w:rsidP="00FD7DBD">
      <w:pPr>
        <w:spacing w:after="0" w:line="240" w:lineRule="auto"/>
      </w:pPr>
      <w:r>
        <w:separator/>
      </w:r>
    </w:p>
  </w:endnote>
  <w:endnote w:type="continuationSeparator" w:id="0">
    <w:p w14:paraId="545BE475" w14:textId="77777777" w:rsidR="00246514" w:rsidRDefault="00246514" w:rsidP="00FD7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5660361"/>
      <w:docPartObj>
        <w:docPartGallery w:val="Page Numbers (Bottom of Page)"/>
        <w:docPartUnique/>
      </w:docPartObj>
    </w:sdtPr>
    <w:sdtEndPr>
      <w:rPr>
        <w:noProof/>
      </w:rPr>
    </w:sdtEndPr>
    <w:sdtContent>
      <w:p w14:paraId="49347A8B" w14:textId="02B27155" w:rsidR="00B71E6A" w:rsidRDefault="00B71E6A">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7D4E1264" w14:textId="77777777" w:rsidR="00B71E6A" w:rsidRDefault="00B71E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649E9D" w14:textId="77777777" w:rsidR="00246514" w:rsidRDefault="00246514" w:rsidP="00FD7DBD">
      <w:pPr>
        <w:spacing w:after="0" w:line="240" w:lineRule="auto"/>
      </w:pPr>
      <w:r>
        <w:separator/>
      </w:r>
    </w:p>
  </w:footnote>
  <w:footnote w:type="continuationSeparator" w:id="0">
    <w:p w14:paraId="09A4EF92" w14:textId="77777777" w:rsidR="00246514" w:rsidRDefault="00246514" w:rsidP="00FD7DBD">
      <w:pPr>
        <w:spacing w:after="0" w:line="240" w:lineRule="auto"/>
      </w:pPr>
      <w:r>
        <w:continuationSeparator/>
      </w:r>
    </w:p>
  </w:footnote>
  <w:footnote w:id="1">
    <w:p w14:paraId="279F87D4" w14:textId="72E10865" w:rsidR="00392CE5" w:rsidRPr="00467562" w:rsidRDefault="00B71E6A">
      <w:pPr>
        <w:pStyle w:val="FootnoteText"/>
        <w:rPr>
          <w:sz w:val="18"/>
          <w:szCs w:val="18"/>
        </w:rPr>
      </w:pPr>
      <w:r>
        <w:rPr>
          <w:rStyle w:val="FootnoteReference"/>
        </w:rPr>
        <w:footnoteRef/>
      </w:r>
      <w:r>
        <w:t xml:space="preserve"> </w:t>
      </w:r>
      <w:r w:rsidR="001A469D">
        <w:rPr>
          <w:sz w:val="18"/>
          <w:szCs w:val="18"/>
        </w:rPr>
        <w:t>Blue Matter Science Ltd</w:t>
      </w:r>
      <w:r>
        <w:rPr>
          <w:sz w:val="18"/>
          <w:szCs w:val="18"/>
        </w:rPr>
        <w:t>.</w:t>
      </w:r>
      <w:r w:rsidR="001A469D">
        <w:rPr>
          <w:sz w:val="18"/>
          <w:szCs w:val="18"/>
        </w:rPr>
        <w:t xml:space="preserve"> 2150 Bridgman Ave, N. Vancouver. V7P 2T9.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60D08"/>
    <w:multiLevelType w:val="hybridMultilevel"/>
    <w:tmpl w:val="41A6CC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5A278A4"/>
    <w:multiLevelType w:val="hybridMultilevel"/>
    <w:tmpl w:val="FC3E94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E2A1F89"/>
    <w:multiLevelType w:val="hybridMultilevel"/>
    <w:tmpl w:val="2C0AF60A"/>
    <w:lvl w:ilvl="0" w:tplc="4C40807A">
      <w:start w:val="1"/>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EDA032E"/>
    <w:multiLevelType w:val="hybridMultilevel"/>
    <w:tmpl w:val="7B387E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F662124"/>
    <w:multiLevelType w:val="multilevel"/>
    <w:tmpl w:val="2504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9423567">
    <w:abstractNumId w:val="4"/>
  </w:num>
  <w:num w:numId="2" w16cid:durableId="1649047467">
    <w:abstractNumId w:val="1"/>
  </w:num>
  <w:num w:numId="3" w16cid:durableId="171146855">
    <w:abstractNumId w:val="0"/>
  </w:num>
  <w:num w:numId="4" w16cid:durableId="1188445486">
    <w:abstractNumId w:val="3"/>
  </w:num>
  <w:num w:numId="5" w16cid:durableId="1689913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ZA" w:vendorID="64" w:dllVersion="6" w:nlCheck="1" w:checkStyle="1"/>
  <w:activeWritingStyle w:appName="MSWord" w:lang="en-CA" w:vendorID="64" w:dllVersion="6" w:nlCheck="1" w:checkStyle="1"/>
  <w:activeWritingStyle w:appName="MSWord" w:lang="en-ZA"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FE4"/>
    <w:rsid w:val="0000787B"/>
    <w:rsid w:val="00015962"/>
    <w:rsid w:val="00026F69"/>
    <w:rsid w:val="00031C0C"/>
    <w:rsid w:val="0004723E"/>
    <w:rsid w:val="00065601"/>
    <w:rsid w:val="00066F70"/>
    <w:rsid w:val="00075527"/>
    <w:rsid w:val="00083BD0"/>
    <w:rsid w:val="00085133"/>
    <w:rsid w:val="0009473A"/>
    <w:rsid w:val="000A130D"/>
    <w:rsid w:val="000A1C0D"/>
    <w:rsid w:val="000B126E"/>
    <w:rsid w:val="000B15A9"/>
    <w:rsid w:val="000B5E00"/>
    <w:rsid w:val="000C4F84"/>
    <w:rsid w:val="000D7006"/>
    <w:rsid w:val="0012390F"/>
    <w:rsid w:val="001346D0"/>
    <w:rsid w:val="001460A7"/>
    <w:rsid w:val="00165B15"/>
    <w:rsid w:val="00166A6D"/>
    <w:rsid w:val="00175661"/>
    <w:rsid w:val="001A4563"/>
    <w:rsid w:val="001A469D"/>
    <w:rsid w:val="001A5069"/>
    <w:rsid w:val="001C1C37"/>
    <w:rsid w:val="001C6E05"/>
    <w:rsid w:val="001F44AC"/>
    <w:rsid w:val="001F4EC9"/>
    <w:rsid w:val="00203478"/>
    <w:rsid w:val="00211960"/>
    <w:rsid w:val="00211C9B"/>
    <w:rsid w:val="00215356"/>
    <w:rsid w:val="00215DFB"/>
    <w:rsid w:val="002204A2"/>
    <w:rsid w:val="0023425F"/>
    <w:rsid w:val="00235E69"/>
    <w:rsid w:val="00241948"/>
    <w:rsid w:val="00246514"/>
    <w:rsid w:val="002736BE"/>
    <w:rsid w:val="00281A59"/>
    <w:rsid w:val="00282058"/>
    <w:rsid w:val="00293BE2"/>
    <w:rsid w:val="002A22DC"/>
    <w:rsid w:val="002A25BA"/>
    <w:rsid w:val="002B2D24"/>
    <w:rsid w:val="002B39DE"/>
    <w:rsid w:val="002C14BB"/>
    <w:rsid w:val="002F3239"/>
    <w:rsid w:val="002F3C23"/>
    <w:rsid w:val="00302397"/>
    <w:rsid w:val="003055DF"/>
    <w:rsid w:val="0031759E"/>
    <w:rsid w:val="00324177"/>
    <w:rsid w:val="00325699"/>
    <w:rsid w:val="00344160"/>
    <w:rsid w:val="00360D21"/>
    <w:rsid w:val="0036175C"/>
    <w:rsid w:val="00366298"/>
    <w:rsid w:val="0037728A"/>
    <w:rsid w:val="00392CE5"/>
    <w:rsid w:val="003B4E02"/>
    <w:rsid w:val="003B6CF4"/>
    <w:rsid w:val="003D42C8"/>
    <w:rsid w:val="003E1825"/>
    <w:rsid w:val="003F1C86"/>
    <w:rsid w:val="00402597"/>
    <w:rsid w:val="00406466"/>
    <w:rsid w:val="00415C7D"/>
    <w:rsid w:val="00425943"/>
    <w:rsid w:val="00427C96"/>
    <w:rsid w:val="00430D7C"/>
    <w:rsid w:val="00441685"/>
    <w:rsid w:val="004418B3"/>
    <w:rsid w:val="00441C62"/>
    <w:rsid w:val="00445E7E"/>
    <w:rsid w:val="004517A1"/>
    <w:rsid w:val="00451CE5"/>
    <w:rsid w:val="00467562"/>
    <w:rsid w:val="0047560F"/>
    <w:rsid w:val="00475D1E"/>
    <w:rsid w:val="00483D4E"/>
    <w:rsid w:val="00491D7D"/>
    <w:rsid w:val="00495A34"/>
    <w:rsid w:val="004A1E2B"/>
    <w:rsid w:val="004A71A4"/>
    <w:rsid w:val="004B0F56"/>
    <w:rsid w:val="004B29B0"/>
    <w:rsid w:val="004B2C67"/>
    <w:rsid w:val="004C070F"/>
    <w:rsid w:val="004E1DE5"/>
    <w:rsid w:val="004E33E8"/>
    <w:rsid w:val="004F41A8"/>
    <w:rsid w:val="00511273"/>
    <w:rsid w:val="005159FA"/>
    <w:rsid w:val="00522B15"/>
    <w:rsid w:val="005253F9"/>
    <w:rsid w:val="00532C21"/>
    <w:rsid w:val="00533E4C"/>
    <w:rsid w:val="00537A87"/>
    <w:rsid w:val="00542D7F"/>
    <w:rsid w:val="00550ACE"/>
    <w:rsid w:val="00553D73"/>
    <w:rsid w:val="005653CC"/>
    <w:rsid w:val="00565744"/>
    <w:rsid w:val="00567DBC"/>
    <w:rsid w:val="00572D4D"/>
    <w:rsid w:val="00572E2D"/>
    <w:rsid w:val="00575FBB"/>
    <w:rsid w:val="00577416"/>
    <w:rsid w:val="005811BC"/>
    <w:rsid w:val="00582AFC"/>
    <w:rsid w:val="00583B19"/>
    <w:rsid w:val="00585C1D"/>
    <w:rsid w:val="005871AC"/>
    <w:rsid w:val="00587C93"/>
    <w:rsid w:val="00594E2B"/>
    <w:rsid w:val="005A70C4"/>
    <w:rsid w:val="005B5270"/>
    <w:rsid w:val="005C36DC"/>
    <w:rsid w:val="005C633C"/>
    <w:rsid w:val="005D035F"/>
    <w:rsid w:val="005D2F54"/>
    <w:rsid w:val="005D4231"/>
    <w:rsid w:val="005D4DC8"/>
    <w:rsid w:val="005E0FF7"/>
    <w:rsid w:val="005E1988"/>
    <w:rsid w:val="00600584"/>
    <w:rsid w:val="006121D5"/>
    <w:rsid w:val="00620F41"/>
    <w:rsid w:val="00623DEF"/>
    <w:rsid w:val="00633110"/>
    <w:rsid w:val="0064333E"/>
    <w:rsid w:val="0064355A"/>
    <w:rsid w:val="0065306E"/>
    <w:rsid w:val="006558D4"/>
    <w:rsid w:val="00662F4D"/>
    <w:rsid w:val="00664119"/>
    <w:rsid w:val="0068188B"/>
    <w:rsid w:val="00693B7A"/>
    <w:rsid w:val="00695C6B"/>
    <w:rsid w:val="006B7490"/>
    <w:rsid w:val="006C35D4"/>
    <w:rsid w:val="006C7050"/>
    <w:rsid w:val="006C7A29"/>
    <w:rsid w:val="006E0836"/>
    <w:rsid w:val="006F17F1"/>
    <w:rsid w:val="006F5590"/>
    <w:rsid w:val="00706AEA"/>
    <w:rsid w:val="00706CF1"/>
    <w:rsid w:val="00742DAE"/>
    <w:rsid w:val="00752B47"/>
    <w:rsid w:val="0075773B"/>
    <w:rsid w:val="0076280C"/>
    <w:rsid w:val="007722E0"/>
    <w:rsid w:val="00774D07"/>
    <w:rsid w:val="007869B1"/>
    <w:rsid w:val="007900D0"/>
    <w:rsid w:val="00794817"/>
    <w:rsid w:val="00794C37"/>
    <w:rsid w:val="00797DD7"/>
    <w:rsid w:val="007A2D9F"/>
    <w:rsid w:val="007B3077"/>
    <w:rsid w:val="007B4D59"/>
    <w:rsid w:val="007B6650"/>
    <w:rsid w:val="007C017F"/>
    <w:rsid w:val="007C31F3"/>
    <w:rsid w:val="007C7F85"/>
    <w:rsid w:val="007E0DFC"/>
    <w:rsid w:val="007E3F2C"/>
    <w:rsid w:val="007F7738"/>
    <w:rsid w:val="00802F5C"/>
    <w:rsid w:val="00806E6C"/>
    <w:rsid w:val="00823679"/>
    <w:rsid w:val="00830709"/>
    <w:rsid w:val="0083348A"/>
    <w:rsid w:val="00835AFE"/>
    <w:rsid w:val="008479C6"/>
    <w:rsid w:val="0086028E"/>
    <w:rsid w:val="00866D94"/>
    <w:rsid w:val="008709A0"/>
    <w:rsid w:val="008717BA"/>
    <w:rsid w:val="00871FE4"/>
    <w:rsid w:val="00873B85"/>
    <w:rsid w:val="00876FD8"/>
    <w:rsid w:val="00880D05"/>
    <w:rsid w:val="00882504"/>
    <w:rsid w:val="0089191B"/>
    <w:rsid w:val="0089463D"/>
    <w:rsid w:val="0089683D"/>
    <w:rsid w:val="008B268D"/>
    <w:rsid w:val="008C1A89"/>
    <w:rsid w:val="008C3F18"/>
    <w:rsid w:val="008C6B58"/>
    <w:rsid w:val="008D4CAC"/>
    <w:rsid w:val="008F5378"/>
    <w:rsid w:val="00900C50"/>
    <w:rsid w:val="00904CA5"/>
    <w:rsid w:val="00911C53"/>
    <w:rsid w:val="009156BE"/>
    <w:rsid w:val="009160FB"/>
    <w:rsid w:val="009219A2"/>
    <w:rsid w:val="00922451"/>
    <w:rsid w:val="0094268C"/>
    <w:rsid w:val="00946C89"/>
    <w:rsid w:val="00957A7D"/>
    <w:rsid w:val="0096219D"/>
    <w:rsid w:val="00963135"/>
    <w:rsid w:val="00973F3D"/>
    <w:rsid w:val="009955DE"/>
    <w:rsid w:val="00995C6B"/>
    <w:rsid w:val="00996B7C"/>
    <w:rsid w:val="009A0530"/>
    <w:rsid w:val="009C4569"/>
    <w:rsid w:val="009E095E"/>
    <w:rsid w:val="009F6D7C"/>
    <w:rsid w:val="00A00ED9"/>
    <w:rsid w:val="00A0522F"/>
    <w:rsid w:val="00A22B32"/>
    <w:rsid w:val="00A27B74"/>
    <w:rsid w:val="00A30B06"/>
    <w:rsid w:val="00A337B1"/>
    <w:rsid w:val="00A47817"/>
    <w:rsid w:val="00A903D3"/>
    <w:rsid w:val="00A913D3"/>
    <w:rsid w:val="00A95B1F"/>
    <w:rsid w:val="00AA64B5"/>
    <w:rsid w:val="00AA6778"/>
    <w:rsid w:val="00AC32AA"/>
    <w:rsid w:val="00AD5BF4"/>
    <w:rsid w:val="00AE6FA1"/>
    <w:rsid w:val="00B0111D"/>
    <w:rsid w:val="00B35F69"/>
    <w:rsid w:val="00B37F1D"/>
    <w:rsid w:val="00B479A6"/>
    <w:rsid w:val="00B65ECC"/>
    <w:rsid w:val="00B71E6A"/>
    <w:rsid w:val="00B82CAF"/>
    <w:rsid w:val="00B83780"/>
    <w:rsid w:val="00B90B0B"/>
    <w:rsid w:val="00B967AC"/>
    <w:rsid w:val="00B973CA"/>
    <w:rsid w:val="00BA11E9"/>
    <w:rsid w:val="00BA5983"/>
    <w:rsid w:val="00BB56F3"/>
    <w:rsid w:val="00BB7ED0"/>
    <w:rsid w:val="00BC01B2"/>
    <w:rsid w:val="00BC113D"/>
    <w:rsid w:val="00BC6F8E"/>
    <w:rsid w:val="00BC7ECE"/>
    <w:rsid w:val="00BD1081"/>
    <w:rsid w:val="00BD31E1"/>
    <w:rsid w:val="00BD4F90"/>
    <w:rsid w:val="00BE67AD"/>
    <w:rsid w:val="00BF66E9"/>
    <w:rsid w:val="00C07D1D"/>
    <w:rsid w:val="00C153C3"/>
    <w:rsid w:val="00C159C7"/>
    <w:rsid w:val="00C26AB3"/>
    <w:rsid w:val="00C26C10"/>
    <w:rsid w:val="00C40798"/>
    <w:rsid w:val="00C42658"/>
    <w:rsid w:val="00C5254B"/>
    <w:rsid w:val="00C610B2"/>
    <w:rsid w:val="00C62FFC"/>
    <w:rsid w:val="00C6482A"/>
    <w:rsid w:val="00C72E9B"/>
    <w:rsid w:val="00C857D4"/>
    <w:rsid w:val="00C86B82"/>
    <w:rsid w:val="00C927C0"/>
    <w:rsid w:val="00C9521A"/>
    <w:rsid w:val="00CA2230"/>
    <w:rsid w:val="00CB2178"/>
    <w:rsid w:val="00CC611D"/>
    <w:rsid w:val="00CD0C7F"/>
    <w:rsid w:val="00CD1CE2"/>
    <w:rsid w:val="00CD5A58"/>
    <w:rsid w:val="00CF106F"/>
    <w:rsid w:val="00D1195D"/>
    <w:rsid w:val="00D163D9"/>
    <w:rsid w:val="00D26373"/>
    <w:rsid w:val="00D32627"/>
    <w:rsid w:val="00D326FC"/>
    <w:rsid w:val="00D50ACA"/>
    <w:rsid w:val="00D73E42"/>
    <w:rsid w:val="00D77619"/>
    <w:rsid w:val="00D77BBF"/>
    <w:rsid w:val="00D95139"/>
    <w:rsid w:val="00DA1A0E"/>
    <w:rsid w:val="00DA6A1A"/>
    <w:rsid w:val="00DB616D"/>
    <w:rsid w:val="00DC0A6D"/>
    <w:rsid w:val="00DC2A14"/>
    <w:rsid w:val="00DC2E3A"/>
    <w:rsid w:val="00DC530C"/>
    <w:rsid w:val="00DC5817"/>
    <w:rsid w:val="00DE6EDD"/>
    <w:rsid w:val="00DF4154"/>
    <w:rsid w:val="00DF46BE"/>
    <w:rsid w:val="00E04C15"/>
    <w:rsid w:val="00E17316"/>
    <w:rsid w:val="00E25ABF"/>
    <w:rsid w:val="00E2712F"/>
    <w:rsid w:val="00E271B8"/>
    <w:rsid w:val="00E2793E"/>
    <w:rsid w:val="00E329FA"/>
    <w:rsid w:val="00E349D9"/>
    <w:rsid w:val="00E362D4"/>
    <w:rsid w:val="00E42051"/>
    <w:rsid w:val="00E53DE6"/>
    <w:rsid w:val="00E63B35"/>
    <w:rsid w:val="00E63CA2"/>
    <w:rsid w:val="00E80033"/>
    <w:rsid w:val="00E833C1"/>
    <w:rsid w:val="00E84F0E"/>
    <w:rsid w:val="00E94F32"/>
    <w:rsid w:val="00EA52BC"/>
    <w:rsid w:val="00EA54A0"/>
    <w:rsid w:val="00EB6F76"/>
    <w:rsid w:val="00EC4D52"/>
    <w:rsid w:val="00ED6972"/>
    <w:rsid w:val="00EE1E21"/>
    <w:rsid w:val="00EE21C2"/>
    <w:rsid w:val="00EE289E"/>
    <w:rsid w:val="00EF3F9A"/>
    <w:rsid w:val="00EF761A"/>
    <w:rsid w:val="00F06E6D"/>
    <w:rsid w:val="00F26141"/>
    <w:rsid w:val="00F30043"/>
    <w:rsid w:val="00F47B1B"/>
    <w:rsid w:val="00F51A12"/>
    <w:rsid w:val="00F551D2"/>
    <w:rsid w:val="00F628AC"/>
    <w:rsid w:val="00F73560"/>
    <w:rsid w:val="00F877E8"/>
    <w:rsid w:val="00F91634"/>
    <w:rsid w:val="00F96F7E"/>
    <w:rsid w:val="00FA05B9"/>
    <w:rsid w:val="00FA164C"/>
    <w:rsid w:val="00FA1DE2"/>
    <w:rsid w:val="00FA2DFC"/>
    <w:rsid w:val="00FA5CC6"/>
    <w:rsid w:val="00FB5419"/>
    <w:rsid w:val="00FC4A53"/>
    <w:rsid w:val="00FC72C1"/>
    <w:rsid w:val="00FD2F7C"/>
    <w:rsid w:val="00FD5D36"/>
    <w:rsid w:val="00FD7DBD"/>
    <w:rsid w:val="00FF123C"/>
    <w:rsid w:val="00FF398D"/>
    <w:rsid w:val="00FF60BD"/>
    <w:rsid w:val="00FF7D90"/>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494BA2B"/>
  <w15:docId w15:val="{1E1A4984-0481-410E-817D-7A6AA404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D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105734326654151175msolistparagraph">
    <w:name w:val="m_-3105734326654151175msolistparagraph"/>
    <w:basedOn w:val="Normal"/>
    <w:rsid w:val="00871FE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Header">
    <w:name w:val="header"/>
    <w:basedOn w:val="Normal"/>
    <w:link w:val="HeaderChar"/>
    <w:uiPriority w:val="99"/>
    <w:unhideWhenUsed/>
    <w:rsid w:val="00FD7D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DBD"/>
  </w:style>
  <w:style w:type="paragraph" w:styleId="Footer">
    <w:name w:val="footer"/>
    <w:basedOn w:val="Normal"/>
    <w:link w:val="FooterChar"/>
    <w:uiPriority w:val="99"/>
    <w:unhideWhenUsed/>
    <w:rsid w:val="00FD7D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DBD"/>
  </w:style>
  <w:style w:type="paragraph" w:styleId="BalloonText">
    <w:name w:val="Balloon Text"/>
    <w:basedOn w:val="Normal"/>
    <w:link w:val="BalloonTextChar"/>
    <w:uiPriority w:val="99"/>
    <w:semiHidden/>
    <w:unhideWhenUsed/>
    <w:rsid w:val="00790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0D0"/>
    <w:rPr>
      <w:rFonts w:ascii="Tahoma" w:hAnsi="Tahoma" w:cs="Tahoma"/>
      <w:sz w:val="16"/>
      <w:szCs w:val="16"/>
    </w:rPr>
  </w:style>
  <w:style w:type="paragraph" w:styleId="FootnoteText">
    <w:name w:val="footnote text"/>
    <w:basedOn w:val="Normal"/>
    <w:link w:val="FootnoteTextChar"/>
    <w:uiPriority w:val="99"/>
    <w:semiHidden/>
    <w:unhideWhenUsed/>
    <w:rsid w:val="007E0D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0DFC"/>
    <w:rPr>
      <w:sz w:val="20"/>
      <w:szCs w:val="20"/>
    </w:rPr>
  </w:style>
  <w:style w:type="character" w:styleId="FootnoteReference">
    <w:name w:val="footnote reference"/>
    <w:basedOn w:val="DefaultParagraphFont"/>
    <w:uiPriority w:val="99"/>
    <w:semiHidden/>
    <w:unhideWhenUsed/>
    <w:rsid w:val="007E0DFC"/>
    <w:rPr>
      <w:vertAlign w:val="superscript"/>
    </w:rPr>
  </w:style>
  <w:style w:type="paragraph" w:styleId="EndnoteText">
    <w:name w:val="endnote text"/>
    <w:basedOn w:val="Normal"/>
    <w:link w:val="EndnoteTextChar"/>
    <w:uiPriority w:val="99"/>
    <w:semiHidden/>
    <w:unhideWhenUsed/>
    <w:rsid w:val="005811BC"/>
    <w:pPr>
      <w:snapToGrid w:val="0"/>
    </w:pPr>
  </w:style>
  <w:style w:type="character" w:customStyle="1" w:styleId="EndnoteTextChar">
    <w:name w:val="Endnote Text Char"/>
    <w:basedOn w:val="DefaultParagraphFont"/>
    <w:link w:val="EndnoteText"/>
    <w:uiPriority w:val="99"/>
    <w:semiHidden/>
    <w:rsid w:val="005811BC"/>
  </w:style>
  <w:style w:type="character" w:styleId="EndnoteReference">
    <w:name w:val="endnote reference"/>
    <w:basedOn w:val="DefaultParagraphFont"/>
    <w:uiPriority w:val="99"/>
    <w:semiHidden/>
    <w:unhideWhenUsed/>
    <w:rsid w:val="005811BC"/>
    <w:rPr>
      <w:vertAlign w:val="superscript"/>
    </w:rPr>
  </w:style>
  <w:style w:type="character" w:styleId="PlaceholderText">
    <w:name w:val="Placeholder Text"/>
    <w:basedOn w:val="DefaultParagraphFont"/>
    <w:uiPriority w:val="99"/>
    <w:semiHidden/>
    <w:rsid w:val="005811BC"/>
    <w:rPr>
      <w:color w:val="808080"/>
    </w:rPr>
  </w:style>
  <w:style w:type="paragraph" w:customStyle="1" w:styleId="Standard">
    <w:name w:val="Standard"/>
    <w:rsid w:val="006E0836"/>
    <w:pPr>
      <w:widowControl w:val="0"/>
      <w:suppressAutoHyphens/>
      <w:autoSpaceDN w:val="0"/>
      <w:spacing w:after="0" w:line="240" w:lineRule="auto"/>
      <w:textAlignment w:val="baseline"/>
    </w:pPr>
    <w:rPr>
      <w:rFonts w:ascii="Times New Roman" w:hAnsi="Times New Roman" w:cs="Tahoma"/>
      <w:kern w:val="3"/>
      <w:sz w:val="24"/>
      <w:szCs w:val="24"/>
      <w:lang w:val="de-DE" w:eastAsia="ja-JP" w:bidi="fa-IR"/>
    </w:rPr>
  </w:style>
  <w:style w:type="character" w:styleId="Hyperlink">
    <w:name w:val="Hyperlink"/>
    <w:basedOn w:val="DefaultParagraphFont"/>
    <w:uiPriority w:val="99"/>
    <w:unhideWhenUsed/>
    <w:rsid w:val="004418B3"/>
    <w:rPr>
      <w:color w:val="0563C1" w:themeColor="hyperlink"/>
      <w:u w:val="single"/>
    </w:rPr>
  </w:style>
  <w:style w:type="paragraph" w:styleId="Caption">
    <w:name w:val="caption"/>
    <w:basedOn w:val="Normal"/>
    <w:next w:val="Normal"/>
    <w:uiPriority w:val="35"/>
    <w:unhideWhenUsed/>
    <w:qFormat/>
    <w:rsid w:val="004418B3"/>
    <w:pPr>
      <w:spacing w:after="200" w:line="240" w:lineRule="auto"/>
    </w:pPr>
    <w:rPr>
      <w:rFonts w:eastAsiaTheme="minorHAnsi"/>
      <w:i/>
      <w:iCs/>
      <w:color w:val="44546A" w:themeColor="text2"/>
      <w:sz w:val="18"/>
      <w:szCs w:val="18"/>
      <w:lang w:val="en-CA"/>
    </w:rPr>
  </w:style>
  <w:style w:type="table" w:styleId="TableGrid">
    <w:name w:val="Table Grid"/>
    <w:basedOn w:val="TableNormal"/>
    <w:uiPriority w:val="39"/>
    <w:rsid w:val="004418B3"/>
    <w:pPr>
      <w:spacing w:after="0" w:line="240" w:lineRule="auto"/>
    </w:pPr>
    <w:rPr>
      <w:rFonts w:eastAsiaTheme="minorHAnsi"/>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41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418B3"/>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4418B3"/>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CommentText">
    <w:name w:val="annotation text"/>
    <w:basedOn w:val="Normal"/>
    <w:link w:val="CommentTextChar"/>
    <w:uiPriority w:val="99"/>
    <w:semiHidden/>
    <w:unhideWhenUsed/>
    <w:rsid w:val="00583B19"/>
    <w:pPr>
      <w:spacing w:line="240" w:lineRule="auto"/>
    </w:pPr>
    <w:rPr>
      <w:rFonts w:eastAsiaTheme="minorHAnsi"/>
      <w:sz w:val="20"/>
      <w:szCs w:val="20"/>
      <w:lang w:val="en-CA"/>
    </w:rPr>
  </w:style>
  <w:style w:type="character" w:customStyle="1" w:styleId="CommentTextChar">
    <w:name w:val="Comment Text Char"/>
    <w:basedOn w:val="DefaultParagraphFont"/>
    <w:link w:val="CommentText"/>
    <w:uiPriority w:val="99"/>
    <w:semiHidden/>
    <w:rsid w:val="00583B19"/>
    <w:rPr>
      <w:rFonts w:eastAsiaTheme="minorHAnsi"/>
      <w:sz w:val="20"/>
      <w:szCs w:val="20"/>
      <w:lang w:val="en-CA"/>
    </w:rPr>
  </w:style>
  <w:style w:type="character" w:customStyle="1" w:styleId="UnresolvedMention1">
    <w:name w:val="Unresolved Mention1"/>
    <w:basedOn w:val="DefaultParagraphFont"/>
    <w:uiPriority w:val="99"/>
    <w:semiHidden/>
    <w:unhideWhenUsed/>
    <w:rsid w:val="001346D0"/>
    <w:rPr>
      <w:color w:val="605E5C"/>
      <w:shd w:val="clear" w:color="auto" w:fill="E1DFDD"/>
    </w:rPr>
  </w:style>
  <w:style w:type="table" w:customStyle="1" w:styleId="TableGrid1">
    <w:name w:val="Table Grid1"/>
    <w:basedOn w:val="TableNormal"/>
    <w:next w:val="TableGrid"/>
    <w:uiPriority w:val="39"/>
    <w:rsid w:val="00475D1E"/>
    <w:pPr>
      <w:spacing w:line="256" w:lineRule="auto"/>
    </w:pPr>
    <w:rPr>
      <w:rFonts w:ascii="Times New Roma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C36DC"/>
    <w:rPr>
      <w:color w:val="605E5C"/>
      <w:shd w:val="clear" w:color="auto" w:fill="E1DFDD"/>
    </w:rPr>
  </w:style>
  <w:style w:type="paragraph" w:styleId="ListParagraph">
    <w:name w:val="List Paragraph"/>
    <w:basedOn w:val="Normal"/>
    <w:uiPriority w:val="34"/>
    <w:qFormat/>
    <w:rsid w:val="000D7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9883">
      <w:bodyDiv w:val="1"/>
      <w:marLeft w:val="0"/>
      <w:marRight w:val="0"/>
      <w:marTop w:val="0"/>
      <w:marBottom w:val="0"/>
      <w:divBdr>
        <w:top w:val="none" w:sz="0" w:space="0" w:color="auto"/>
        <w:left w:val="none" w:sz="0" w:space="0" w:color="auto"/>
        <w:bottom w:val="none" w:sz="0" w:space="0" w:color="auto"/>
        <w:right w:val="none" w:sz="0" w:space="0" w:color="auto"/>
      </w:divBdr>
    </w:div>
    <w:div w:id="75134037">
      <w:bodyDiv w:val="1"/>
      <w:marLeft w:val="0"/>
      <w:marRight w:val="0"/>
      <w:marTop w:val="0"/>
      <w:marBottom w:val="0"/>
      <w:divBdr>
        <w:top w:val="none" w:sz="0" w:space="0" w:color="auto"/>
        <w:left w:val="none" w:sz="0" w:space="0" w:color="auto"/>
        <w:bottom w:val="none" w:sz="0" w:space="0" w:color="auto"/>
        <w:right w:val="none" w:sz="0" w:space="0" w:color="auto"/>
      </w:divBdr>
    </w:div>
    <w:div w:id="135803601">
      <w:bodyDiv w:val="1"/>
      <w:marLeft w:val="0"/>
      <w:marRight w:val="0"/>
      <w:marTop w:val="0"/>
      <w:marBottom w:val="0"/>
      <w:divBdr>
        <w:top w:val="none" w:sz="0" w:space="0" w:color="auto"/>
        <w:left w:val="none" w:sz="0" w:space="0" w:color="auto"/>
        <w:bottom w:val="none" w:sz="0" w:space="0" w:color="auto"/>
        <w:right w:val="none" w:sz="0" w:space="0" w:color="auto"/>
      </w:divBdr>
      <w:divsChild>
        <w:div w:id="1570195017">
          <w:marLeft w:val="-270"/>
          <w:marRight w:val="0"/>
          <w:marTop w:val="0"/>
          <w:marBottom w:val="0"/>
          <w:divBdr>
            <w:top w:val="none" w:sz="0" w:space="0" w:color="auto"/>
            <w:left w:val="none" w:sz="0" w:space="0" w:color="auto"/>
            <w:bottom w:val="none" w:sz="0" w:space="0" w:color="auto"/>
            <w:right w:val="none" w:sz="0" w:space="0" w:color="auto"/>
          </w:divBdr>
        </w:div>
      </w:divsChild>
    </w:div>
    <w:div w:id="168713030">
      <w:bodyDiv w:val="1"/>
      <w:marLeft w:val="0"/>
      <w:marRight w:val="0"/>
      <w:marTop w:val="0"/>
      <w:marBottom w:val="0"/>
      <w:divBdr>
        <w:top w:val="none" w:sz="0" w:space="0" w:color="auto"/>
        <w:left w:val="none" w:sz="0" w:space="0" w:color="auto"/>
        <w:bottom w:val="none" w:sz="0" w:space="0" w:color="auto"/>
        <w:right w:val="none" w:sz="0" w:space="0" w:color="auto"/>
      </w:divBdr>
    </w:div>
    <w:div w:id="248390957">
      <w:bodyDiv w:val="1"/>
      <w:marLeft w:val="0"/>
      <w:marRight w:val="0"/>
      <w:marTop w:val="0"/>
      <w:marBottom w:val="0"/>
      <w:divBdr>
        <w:top w:val="none" w:sz="0" w:space="0" w:color="auto"/>
        <w:left w:val="none" w:sz="0" w:space="0" w:color="auto"/>
        <w:bottom w:val="none" w:sz="0" w:space="0" w:color="auto"/>
        <w:right w:val="none" w:sz="0" w:space="0" w:color="auto"/>
      </w:divBdr>
      <w:divsChild>
        <w:div w:id="443698358">
          <w:marLeft w:val="-270"/>
          <w:marRight w:val="0"/>
          <w:marTop w:val="0"/>
          <w:marBottom w:val="0"/>
          <w:divBdr>
            <w:top w:val="none" w:sz="0" w:space="0" w:color="auto"/>
            <w:left w:val="none" w:sz="0" w:space="0" w:color="auto"/>
            <w:bottom w:val="none" w:sz="0" w:space="0" w:color="auto"/>
            <w:right w:val="none" w:sz="0" w:space="0" w:color="auto"/>
          </w:divBdr>
        </w:div>
      </w:divsChild>
    </w:div>
    <w:div w:id="388189230">
      <w:bodyDiv w:val="1"/>
      <w:marLeft w:val="0"/>
      <w:marRight w:val="0"/>
      <w:marTop w:val="0"/>
      <w:marBottom w:val="0"/>
      <w:divBdr>
        <w:top w:val="none" w:sz="0" w:space="0" w:color="auto"/>
        <w:left w:val="none" w:sz="0" w:space="0" w:color="auto"/>
        <w:bottom w:val="none" w:sz="0" w:space="0" w:color="auto"/>
        <w:right w:val="none" w:sz="0" w:space="0" w:color="auto"/>
      </w:divBdr>
    </w:div>
    <w:div w:id="411120966">
      <w:bodyDiv w:val="1"/>
      <w:marLeft w:val="0"/>
      <w:marRight w:val="0"/>
      <w:marTop w:val="0"/>
      <w:marBottom w:val="0"/>
      <w:divBdr>
        <w:top w:val="none" w:sz="0" w:space="0" w:color="auto"/>
        <w:left w:val="none" w:sz="0" w:space="0" w:color="auto"/>
        <w:bottom w:val="none" w:sz="0" w:space="0" w:color="auto"/>
        <w:right w:val="none" w:sz="0" w:space="0" w:color="auto"/>
      </w:divBdr>
    </w:div>
    <w:div w:id="447045548">
      <w:bodyDiv w:val="1"/>
      <w:marLeft w:val="0"/>
      <w:marRight w:val="0"/>
      <w:marTop w:val="0"/>
      <w:marBottom w:val="0"/>
      <w:divBdr>
        <w:top w:val="none" w:sz="0" w:space="0" w:color="auto"/>
        <w:left w:val="none" w:sz="0" w:space="0" w:color="auto"/>
        <w:bottom w:val="none" w:sz="0" w:space="0" w:color="auto"/>
        <w:right w:val="none" w:sz="0" w:space="0" w:color="auto"/>
      </w:divBdr>
      <w:divsChild>
        <w:div w:id="622343716">
          <w:marLeft w:val="-270"/>
          <w:marRight w:val="0"/>
          <w:marTop w:val="0"/>
          <w:marBottom w:val="0"/>
          <w:divBdr>
            <w:top w:val="none" w:sz="0" w:space="0" w:color="auto"/>
            <w:left w:val="none" w:sz="0" w:space="0" w:color="auto"/>
            <w:bottom w:val="none" w:sz="0" w:space="0" w:color="auto"/>
            <w:right w:val="none" w:sz="0" w:space="0" w:color="auto"/>
          </w:divBdr>
        </w:div>
      </w:divsChild>
    </w:div>
    <w:div w:id="448352619">
      <w:bodyDiv w:val="1"/>
      <w:marLeft w:val="0"/>
      <w:marRight w:val="0"/>
      <w:marTop w:val="0"/>
      <w:marBottom w:val="0"/>
      <w:divBdr>
        <w:top w:val="none" w:sz="0" w:space="0" w:color="auto"/>
        <w:left w:val="none" w:sz="0" w:space="0" w:color="auto"/>
        <w:bottom w:val="none" w:sz="0" w:space="0" w:color="auto"/>
        <w:right w:val="none" w:sz="0" w:space="0" w:color="auto"/>
      </w:divBdr>
    </w:div>
    <w:div w:id="599215221">
      <w:bodyDiv w:val="1"/>
      <w:marLeft w:val="0"/>
      <w:marRight w:val="0"/>
      <w:marTop w:val="0"/>
      <w:marBottom w:val="0"/>
      <w:divBdr>
        <w:top w:val="none" w:sz="0" w:space="0" w:color="auto"/>
        <w:left w:val="none" w:sz="0" w:space="0" w:color="auto"/>
        <w:bottom w:val="none" w:sz="0" w:space="0" w:color="auto"/>
        <w:right w:val="none" w:sz="0" w:space="0" w:color="auto"/>
      </w:divBdr>
    </w:div>
    <w:div w:id="685712874">
      <w:bodyDiv w:val="1"/>
      <w:marLeft w:val="0"/>
      <w:marRight w:val="0"/>
      <w:marTop w:val="0"/>
      <w:marBottom w:val="0"/>
      <w:divBdr>
        <w:top w:val="none" w:sz="0" w:space="0" w:color="auto"/>
        <w:left w:val="none" w:sz="0" w:space="0" w:color="auto"/>
        <w:bottom w:val="none" w:sz="0" w:space="0" w:color="auto"/>
        <w:right w:val="none" w:sz="0" w:space="0" w:color="auto"/>
      </w:divBdr>
    </w:div>
    <w:div w:id="845828081">
      <w:bodyDiv w:val="1"/>
      <w:marLeft w:val="0"/>
      <w:marRight w:val="0"/>
      <w:marTop w:val="0"/>
      <w:marBottom w:val="0"/>
      <w:divBdr>
        <w:top w:val="none" w:sz="0" w:space="0" w:color="auto"/>
        <w:left w:val="none" w:sz="0" w:space="0" w:color="auto"/>
        <w:bottom w:val="none" w:sz="0" w:space="0" w:color="auto"/>
        <w:right w:val="none" w:sz="0" w:space="0" w:color="auto"/>
      </w:divBdr>
    </w:div>
    <w:div w:id="946354572">
      <w:bodyDiv w:val="1"/>
      <w:marLeft w:val="0"/>
      <w:marRight w:val="0"/>
      <w:marTop w:val="0"/>
      <w:marBottom w:val="0"/>
      <w:divBdr>
        <w:top w:val="none" w:sz="0" w:space="0" w:color="auto"/>
        <w:left w:val="none" w:sz="0" w:space="0" w:color="auto"/>
        <w:bottom w:val="none" w:sz="0" w:space="0" w:color="auto"/>
        <w:right w:val="none" w:sz="0" w:space="0" w:color="auto"/>
      </w:divBdr>
    </w:div>
    <w:div w:id="982077928">
      <w:bodyDiv w:val="1"/>
      <w:marLeft w:val="0"/>
      <w:marRight w:val="0"/>
      <w:marTop w:val="0"/>
      <w:marBottom w:val="0"/>
      <w:divBdr>
        <w:top w:val="none" w:sz="0" w:space="0" w:color="auto"/>
        <w:left w:val="none" w:sz="0" w:space="0" w:color="auto"/>
        <w:bottom w:val="none" w:sz="0" w:space="0" w:color="auto"/>
        <w:right w:val="none" w:sz="0" w:space="0" w:color="auto"/>
      </w:divBdr>
    </w:div>
    <w:div w:id="1014919909">
      <w:bodyDiv w:val="1"/>
      <w:marLeft w:val="0"/>
      <w:marRight w:val="0"/>
      <w:marTop w:val="0"/>
      <w:marBottom w:val="0"/>
      <w:divBdr>
        <w:top w:val="none" w:sz="0" w:space="0" w:color="auto"/>
        <w:left w:val="none" w:sz="0" w:space="0" w:color="auto"/>
        <w:bottom w:val="none" w:sz="0" w:space="0" w:color="auto"/>
        <w:right w:val="none" w:sz="0" w:space="0" w:color="auto"/>
      </w:divBdr>
    </w:div>
    <w:div w:id="1100293009">
      <w:bodyDiv w:val="1"/>
      <w:marLeft w:val="0"/>
      <w:marRight w:val="0"/>
      <w:marTop w:val="0"/>
      <w:marBottom w:val="0"/>
      <w:divBdr>
        <w:top w:val="none" w:sz="0" w:space="0" w:color="auto"/>
        <w:left w:val="none" w:sz="0" w:space="0" w:color="auto"/>
        <w:bottom w:val="none" w:sz="0" w:space="0" w:color="auto"/>
        <w:right w:val="none" w:sz="0" w:space="0" w:color="auto"/>
      </w:divBdr>
    </w:div>
    <w:div w:id="1135103123">
      <w:bodyDiv w:val="1"/>
      <w:marLeft w:val="0"/>
      <w:marRight w:val="0"/>
      <w:marTop w:val="0"/>
      <w:marBottom w:val="0"/>
      <w:divBdr>
        <w:top w:val="none" w:sz="0" w:space="0" w:color="auto"/>
        <w:left w:val="none" w:sz="0" w:space="0" w:color="auto"/>
        <w:bottom w:val="none" w:sz="0" w:space="0" w:color="auto"/>
        <w:right w:val="none" w:sz="0" w:space="0" w:color="auto"/>
      </w:divBdr>
    </w:div>
    <w:div w:id="1543595122">
      <w:bodyDiv w:val="1"/>
      <w:marLeft w:val="0"/>
      <w:marRight w:val="0"/>
      <w:marTop w:val="0"/>
      <w:marBottom w:val="0"/>
      <w:divBdr>
        <w:top w:val="none" w:sz="0" w:space="0" w:color="auto"/>
        <w:left w:val="none" w:sz="0" w:space="0" w:color="auto"/>
        <w:bottom w:val="none" w:sz="0" w:space="0" w:color="auto"/>
        <w:right w:val="none" w:sz="0" w:space="0" w:color="auto"/>
      </w:divBdr>
    </w:div>
    <w:div w:id="1687707709">
      <w:bodyDiv w:val="1"/>
      <w:marLeft w:val="0"/>
      <w:marRight w:val="0"/>
      <w:marTop w:val="0"/>
      <w:marBottom w:val="0"/>
      <w:divBdr>
        <w:top w:val="none" w:sz="0" w:space="0" w:color="auto"/>
        <w:left w:val="none" w:sz="0" w:space="0" w:color="auto"/>
        <w:bottom w:val="none" w:sz="0" w:space="0" w:color="auto"/>
        <w:right w:val="none" w:sz="0" w:space="0" w:color="auto"/>
      </w:divBdr>
    </w:div>
    <w:div w:id="1706835025">
      <w:bodyDiv w:val="1"/>
      <w:marLeft w:val="0"/>
      <w:marRight w:val="0"/>
      <w:marTop w:val="0"/>
      <w:marBottom w:val="0"/>
      <w:divBdr>
        <w:top w:val="none" w:sz="0" w:space="0" w:color="auto"/>
        <w:left w:val="none" w:sz="0" w:space="0" w:color="auto"/>
        <w:bottom w:val="none" w:sz="0" w:space="0" w:color="auto"/>
        <w:right w:val="none" w:sz="0" w:space="0" w:color="auto"/>
      </w:divBdr>
    </w:div>
    <w:div w:id="1891765413">
      <w:bodyDiv w:val="1"/>
      <w:marLeft w:val="0"/>
      <w:marRight w:val="0"/>
      <w:marTop w:val="0"/>
      <w:marBottom w:val="0"/>
      <w:divBdr>
        <w:top w:val="none" w:sz="0" w:space="0" w:color="auto"/>
        <w:left w:val="none" w:sz="0" w:space="0" w:color="auto"/>
        <w:bottom w:val="none" w:sz="0" w:space="0" w:color="auto"/>
        <w:right w:val="none" w:sz="0" w:space="0" w:color="auto"/>
      </w:divBdr>
    </w:div>
    <w:div w:id="1937786414">
      <w:bodyDiv w:val="1"/>
      <w:marLeft w:val="0"/>
      <w:marRight w:val="0"/>
      <w:marTop w:val="0"/>
      <w:marBottom w:val="0"/>
      <w:divBdr>
        <w:top w:val="none" w:sz="0" w:space="0" w:color="auto"/>
        <w:left w:val="none" w:sz="0" w:space="0" w:color="auto"/>
        <w:bottom w:val="none" w:sz="0" w:space="0" w:color="auto"/>
        <w:right w:val="none" w:sz="0" w:space="0" w:color="auto"/>
      </w:divBdr>
    </w:div>
    <w:div w:id="2099980805">
      <w:bodyDiv w:val="1"/>
      <w:marLeft w:val="0"/>
      <w:marRight w:val="0"/>
      <w:marTop w:val="0"/>
      <w:marBottom w:val="0"/>
      <w:divBdr>
        <w:top w:val="none" w:sz="0" w:space="0" w:color="auto"/>
        <w:left w:val="none" w:sz="0" w:space="0" w:color="auto"/>
        <w:bottom w:val="none" w:sz="0" w:space="0" w:color="auto"/>
        <w:right w:val="none" w:sz="0" w:space="0" w:color="auto"/>
      </w:divBdr>
      <w:divsChild>
        <w:div w:id="562179105">
          <w:marLeft w:val="-2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esys.2023.10011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186/s40645-020-00369-5" TargetMode="External"/><Relationship Id="rId4" Type="http://schemas.openxmlformats.org/officeDocument/2006/relationships/settings" Target="settings.xml"/><Relationship Id="rId9" Type="http://schemas.openxmlformats.org/officeDocument/2006/relationships/hyperlink" Target="http://www.openMS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9471A-5302-436F-B68E-CD6166266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3070</TotalTime>
  <Pages>7</Pages>
  <Words>2419</Words>
  <Characters>13794</Characters>
  <Application>Microsoft Office Word</Application>
  <DocSecurity>0</DocSecurity>
  <Lines>114</Lines>
  <Paragraphs>32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University of Cape Town</Company>
  <LinksUpToDate>false</LinksUpToDate>
  <CharactersWithSpaces>16181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rademeyer</dc:creator>
  <cp:keywords/>
  <dc:description/>
  <cp:lastModifiedBy>Thomas Carruthers</cp:lastModifiedBy>
  <cp:revision>3</cp:revision>
  <cp:lastPrinted>2020-11-26T22:09:00Z</cp:lastPrinted>
  <dcterms:created xsi:type="dcterms:W3CDTF">2024-09-02T14:00:00Z</dcterms:created>
  <dcterms:modified xsi:type="dcterms:W3CDTF">2024-09-04T17:26:00Z</dcterms:modified>
</cp:coreProperties>
</file>