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18zc8dfujkp" w:id="0"/>
      <w:bookmarkEnd w:id="0"/>
      <w:commentRangeStart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j440xygelja" w:id="1"/>
      <w:bookmarkEnd w:id="1"/>
      <w:commentRangeEnd w:id="0"/>
      <w:r w:rsidDel="00000000" w:rsidR="00000000" w:rsidRPr="00000000">
        <w:commentReference w:id="0"/>
      </w:r>
      <w:r w:rsidDel="00000000" w:rsidR="00000000" w:rsidRPr="00000000">
        <w:rPr>
          <w:b w:val="1"/>
          <w:bCs w:val="1"/>
          <w:sz w:val="46"/>
          <w:szCs w:val="46"/>
          <w:rtl w:val="0"/>
        </w:rPr>
        <w:t xml:space="preserve">Steuerbefreiung Türkei: Die richtige Struktur macht den Unterschied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9ifanb8kusq" w:id="2"/>
      <w:bookmarkEnd w:id="2"/>
      <w:r w:rsidDel="00000000" w:rsidR="00000000" w:rsidRPr="00000000">
        <w:rPr>
          <w:b w:val="1"/>
          <w:bCs w:val="1"/>
          <w:sz w:val="34"/>
          <w:szCs w:val="34"/>
          <w:rtl w:val="0"/>
        </w:rPr>
        <w:t xml:space="preserve">Die Türkei ist die Antwort. Die </w:t>
      </w:r>
      <w:r w:rsidDel="00000000" w:rsidR="00000000" w:rsidRPr="00000000">
        <w:rPr>
          <w:b w:val="1"/>
          <w:bCs w:val="1"/>
          <w:sz w:val="34"/>
          <w:szCs w:val="34"/>
          <w:rtl w:val="0"/>
        </w:rPr>
        <w:t xml:space="preserve">wichtige</w:t>
      </w:r>
      <w:r w:rsidDel="00000000" w:rsidR="00000000" w:rsidRPr="00000000">
        <w:rPr>
          <w:b w:val="1"/>
          <w:bCs w:val="1"/>
          <w:sz w:val="34"/>
          <w:szCs w:val="34"/>
          <w:rtl w:val="0"/>
        </w:rPr>
        <w:t xml:space="preserve"> Frage ist Ihre Struktur.</w:t>
      </w:r>
    </w:p>
    <w:p w:rsidR="00000000" w:rsidDel="00000000" w:rsidP="00000000" w:rsidRDefault="00000000" w:rsidRPr="00000000" w14:paraId="00000004">
      <w:pPr>
        <w:spacing w:after="240" w:before="240" w:lineRule="auto"/>
        <w:rPr/>
      </w:pPr>
      <w:r w:rsidDel="00000000" w:rsidR="00000000" w:rsidRPr="00000000">
        <w:rPr>
          <w:rtl w:val="0"/>
        </w:rPr>
        <w:t xml:space="preserve">Was passiert mit Ihren Beteiligungen, Ihrem Unternehmen, Ihrem geplanten Exit, Ihrem Depot oder Ihrem Krypto-Vermögen, wenn Sie Ihre steuerliche Ansässigkeit verlagern? Genau das prüfen wir — die Wechselwirkungen zwischen Ihrem Herkunftsland, den dortigen Wegzugsregeln </w:t>
      </w:r>
      <w:r w:rsidDel="00000000" w:rsidR="00000000" w:rsidRPr="00000000">
        <w:rPr>
          <w:rtl w:val="0"/>
        </w:rPr>
        <w:t xml:space="preserve">mit</w:t>
      </w:r>
      <w:r w:rsidDel="00000000" w:rsidR="00000000" w:rsidRPr="00000000">
        <w:rPr>
          <w:rtl w:val="0"/>
        </w:rPr>
        <w:t xml:space="preserve"> Ihrer möglichen Ansässigkeit in der Türkei. Und wenn die Struktur trägt, setzen wir sie auch um. Aus einer Hand.</w:t>
      </w:r>
    </w:p>
    <w:p w:rsidR="00000000" w:rsidDel="00000000" w:rsidP="00000000" w:rsidRDefault="00000000" w:rsidRPr="00000000" w14:paraId="00000005">
      <w:pPr>
        <w:spacing w:after="240" w:before="240" w:lineRule="auto"/>
        <w:rPr/>
      </w:pPr>
      <w:commentRangeStart w:id="1"/>
      <w:r w:rsidDel="00000000" w:rsidR="00000000" w:rsidRPr="00000000">
        <w:rPr>
          <w:rtl w:val="0"/>
        </w:rPr>
        <w:t xml:space="preserve">Mehr entdecken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slr3lzga9xz" w:id="3"/>
      <w:bookmarkEnd w:id="3"/>
      <w:r w:rsidDel="00000000" w:rsidR="00000000" w:rsidRPr="00000000">
        <w:rPr>
          <w:b w:val="1"/>
          <w:bCs w:val="1"/>
          <w:sz w:val="34"/>
          <w:szCs w:val="34"/>
          <w:rtl w:val="0"/>
        </w:rPr>
        <w:t xml:space="preserve">Nicht jede Struktur profitiert. Nicht jeder Wegzug ergibt Sinn.</w:t>
      </w:r>
    </w:p>
    <w:p w:rsidR="00000000" w:rsidDel="00000000" w:rsidP="00000000" w:rsidRDefault="00000000" w:rsidRPr="00000000" w14:paraId="00000007">
      <w:pPr>
        <w:spacing w:after="240" w:before="240" w:lineRule="auto"/>
        <w:rPr/>
      </w:pPr>
      <w:r w:rsidDel="00000000" w:rsidR="00000000" w:rsidRPr="00000000">
        <w:rPr>
          <w:rtl w:val="0"/>
        </w:rPr>
        <w:t xml:space="preserve">Die neue Regelung </w:t>
      </w:r>
      <w:r w:rsidDel="00000000" w:rsidR="00000000" w:rsidRPr="00000000">
        <w:rPr>
          <w:rtl w:val="0"/>
        </w:rPr>
        <w:t xml:space="preserve">wird </w:t>
      </w:r>
      <w:r w:rsidDel="00000000" w:rsidR="00000000" w:rsidRPr="00000000">
        <w:rPr>
          <w:rtl w:val="0"/>
        </w:rPr>
        <w:t xml:space="preserve">für </w:t>
      </w:r>
      <w:r w:rsidDel="00000000" w:rsidR="00000000" w:rsidRPr="00000000">
        <w:rPr>
          <w:rtl w:val="0"/>
        </w:rPr>
        <w:t xml:space="preserve">viele</w:t>
      </w:r>
      <w:r w:rsidDel="00000000" w:rsidR="00000000" w:rsidRPr="00000000">
        <w:rPr>
          <w:rtl w:val="0"/>
        </w:rPr>
        <w:t xml:space="preserve"> Unternehmer und Investoren außergewöhnlich attraktiv sein. Für </w:t>
      </w:r>
      <w:r w:rsidDel="00000000" w:rsidR="00000000" w:rsidRPr="00000000">
        <w:rPr>
          <w:rtl w:val="0"/>
        </w:rPr>
        <w:t xml:space="preserve">einige</w:t>
      </w:r>
      <w:r w:rsidDel="00000000" w:rsidR="00000000" w:rsidRPr="00000000">
        <w:rPr>
          <w:rtl w:val="0"/>
        </w:rPr>
        <w:t xml:space="preserve"> übersteigen Wegzugsbesteuerung, bestehende Beteiligungsstrukturen</w:t>
      </w:r>
      <w:r w:rsidDel="00000000" w:rsidR="00000000" w:rsidRPr="00000000">
        <w:rPr>
          <w:rtl w:val="0"/>
        </w:rPr>
        <w:t xml:space="preserve"> und viele</w:t>
      </w:r>
      <w:r w:rsidDel="00000000" w:rsidR="00000000" w:rsidRPr="00000000">
        <w:rPr>
          <w:rtl w:val="0"/>
        </w:rPr>
        <w:t xml:space="preserve"> Faktoren die möglichen Vorteile. Deshalb beginnen wir nicht mit dem </w:t>
      </w:r>
      <w:r w:rsidDel="00000000" w:rsidR="00000000" w:rsidRPr="00000000">
        <w:rPr>
          <w:rtl w:val="0"/>
        </w:rPr>
        <w:t xml:space="preserve">türkischen </w:t>
      </w:r>
      <w:r w:rsidDel="00000000" w:rsidR="00000000" w:rsidRPr="00000000">
        <w:rPr>
          <w:rtl w:val="0"/>
        </w:rPr>
        <w:t xml:space="preserve">Gesetz. Wir beginnen mit Ihrer </w:t>
      </w:r>
      <w:r w:rsidDel="00000000" w:rsidR="00000000" w:rsidRPr="00000000">
        <w:rPr>
          <w:rtl w:val="0"/>
        </w:rPr>
        <w:t xml:space="preserve">persönlichen</w:t>
      </w:r>
      <w:r w:rsidDel="00000000" w:rsidR="00000000" w:rsidRPr="00000000">
        <w:rPr>
          <w:rtl w:val="0"/>
        </w:rPr>
        <w:t xml:space="preserve"> Situation. Auch die Voraussetzungen und Pflichten unterscheiden sich je nach Ausgangslage.</w:t>
      </w:r>
    </w:p>
    <w:p w:rsidR="00000000" w:rsidDel="00000000" w:rsidP="00000000" w:rsidRDefault="00000000" w:rsidRPr="00000000" w14:paraId="00000008">
      <w:pPr>
        <w:numPr>
          <w:ilvl w:val="0"/>
          <w:numId w:val="4"/>
        </w:numPr>
        <w:spacing w:after="0" w:afterAutospacing="0" w:before="240" w:lineRule="auto"/>
        <w:ind w:left="720" w:hanging="360"/>
        <w:rPr/>
      </w:pPr>
      <w:r w:rsidDel="00000000" w:rsidR="00000000" w:rsidRPr="00000000">
        <w:rPr>
          <w:b w:val="1"/>
          <w:bCs w:val="1"/>
          <w:rtl w:val="0"/>
        </w:rPr>
        <w:t xml:space="preserve">Unternehmer &amp; Beteiligungsgesellschafter</w:t>
      </w:r>
      <w:r w:rsidDel="00000000" w:rsidR="00000000" w:rsidRPr="00000000">
        <w:rPr>
          <w:rtl w:val="0"/>
        </w:rPr>
        <w:t xml:space="preserve"> — GmbH-Anteile, Holdingstrukturen, Ausschüttungen und Unternehmensbeteiligungen</w:t>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b w:val="1"/>
          <w:bCs w:val="1"/>
          <w:rtl w:val="0"/>
        </w:rPr>
        <w:t xml:space="preserve">Founder vor einem Exit</w:t>
      </w:r>
      <w:r w:rsidDel="00000000" w:rsidR="00000000" w:rsidRPr="00000000">
        <w:rPr>
          <w:rtl w:val="0"/>
        </w:rPr>
        <w:t xml:space="preserve"> — SaaS, Agenturen, E-Commerce oder andere Beteiligungen vor einem geplanten Verkauf</w:t>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b w:val="1"/>
          <w:bCs w:val="1"/>
          <w:rtl w:val="0"/>
        </w:rPr>
        <w:t xml:space="preserve">Anleger mit größeren Wertpapierdepots</w:t>
      </w:r>
      <w:r w:rsidDel="00000000" w:rsidR="00000000" w:rsidRPr="00000000">
        <w:rPr>
          <w:rtl w:val="0"/>
        </w:rPr>
        <w:t xml:space="preserve"> — Aktien, ETFs, Fonds und langfristige Kapitalanlagen</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b w:val="1"/>
          <w:bCs w:val="1"/>
          <w:rtl w:val="0"/>
        </w:rPr>
        <w:t xml:space="preserve">Krypto-Investoren</w:t>
      </w:r>
      <w:r w:rsidDel="00000000" w:rsidR="00000000" w:rsidRPr="00000000">
        <w:rPr>
          <w:rtl w:val="0"/>
        </w:rPr>
        <w:t xml:space="preserve"> — hohe unrealisierte Gewinne und internationale Strukturen</w:t>
      </w:r>
    </w:p>
    <w:p w:rsidR="00000000" w:rsidDel="00000000" w:rsidP="00000000" w:rsidRDefault="00000000" w:rsidRPr="00000000" w14:paraId="0000000C">
      <w:pPr>
        <w:numPr>
          <w:ilvl w:val="0"/>
          <w:numId w:val="4"/>
        </w:numPr>
        <w:spacing w:after="0" w:afterAutospacing="0" w:before="0" w:beforeAutospacing="0" w:lineRule="auto"/>
        <w:ind w:left="720" w:hanging="360"/>
        <w:rPr/>
      </w:pPr>
      <w:r w:rsidDel="00000000" w:rsidR="00000000" w:rsidRPr="00000000">
        <w:rPr>
          <w:b w:val="1"/>
          <w:bCs w:val="1"/>
          <w:rtl w:val="0"/>
        </w:rPr>
        <w:t xml:space="preserve">Family Offices</w:t>
      </w:r>
      <w:r w:rsidDel="00000000" w:rsidR="00000000" w:rsidRPr="00000000">
        <w:rPr>
          <w:rtl w:val="0"/>
        </w:rPr>
        <w:t xml:space="preserve"> — komplexe Vermögens- und Beteiligungsstrukturen über mehrere Ebenen</w:t>
      </w:r>
    </w:p>
    <w:p w:rsidR="00000000" w:rsidDel="00000000" w:rsidP="00000000" w:rsidRDefault="00000000" w:rsidRPr="00000000" w14:paraId="0000000D">
      <w:pPr>
        <w:numPr>
          <w:ilvl w:val="0"/>
          <w:numId w:val="4"/>
        </w:numPr>
        <w:spacing w:after="240" w:before="0" w:beforeAutospacing="0" w:lineRule="auto"/>
        <w:ind w:left="720" w:hanging="360"/>
        <w:rPr/>
      </w:pPr>
      <w:r w:rsidDel="00000000" w:rsidR="00000000" w:rsidRPr="00000000">
        <w:rPr>
          <w:b w:val="1"/>
          <w:bCs w:val="1"/>
          <w:rtl w:val="0"/>
        </w:rPr>
        <w:t xml:space="preserve">Internationale Unternehmer</w:t>
      </w:r>
      <w:r w:rsidDel="00000000" w:rsidR="00000000" w:rsidRPr="00000000">
        <w:rPr>
          <w:rtl w:val="0"/>
        </w:rPr>
        <w:t xml:space="preserve"> — Strukturen mit mehreren Ländern, Gesellschaften oder steuerlichen Anknüpfungspunkten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i34v8l97hi" w:id="4"/>
      <w:bookmarkEnd w:id="4"/>
      <w:r w:rsidDel="00000000" w:rsidR="00000000" w:rsidRPr="00000000">
        <w:rPr>
          <w:b w:val="1"/>
          <w:bCs w:val="1"/>
          <w:sz w:val="34"/>
          <w:szCs w:val="34"/>
          <w:rtl w:val="0"/>
        </w:rPr>
        <w:t xml:space="preserve">Die meisten Fehler passieren vor dem Wegzug. Nicht danach</w:t>
      </w:r>
    </w:p>
    <w:p w:rsidR="00000000" w:rsidDel="00000000" w:rsidP="00000000" w:rsidRDefault="00000000" w:rsidRPr="00000000" w14:paraId="0000000F">
      <w:pPr>
        <w:spacing w:after="240" w:before="240" w:lineRule="auto"/>
        <w:rPr/>
      </w:pPr>
      <w:r w:rsidDel="00000000" w:rsidR="00000000" w:rsidRPr="00000000">
        <w:rPr>
          <w:rtl w:val="0"/>
        </w:rPr>
        <w:t xml:space="preserve">Die neue türkische Regelung verändert die steuerliche Behandlung bestimmter ausländischer Einkünfte und Kapitalgewinne grundlegend. Zugleich ist wichtig, politische Ankündigung, steuerliches Vorhaben und jeder strategische Schritt der Regierung klar von verbindlichem Recht zu trennen. Ob daraus ein tatsächlicher Vorteil entsteht, entscheidet sich jedoch außerhalb der Türkei in Verbindung mit der persönlichen Situation.</w:t>
      </w:r>
    </w:p>
    <w:p w:rsidR="00000000" w:rsidDel="00000000" w:rsidP="00000000" w:rsidRDefault="00000000" w:rsidRPr="00000000" w14:paraId="00000010">
      <w:pPr>
        <w:spacing w:after="240" w:before="240" w:lineRule="auto"/>
        <w:rPr/>
      </w:pPr>
      <w:r w:rsidDel="00000000" w:rsidR="00000000" w:rsidRPr="00000000">
        <w:rPr>
          <w:rtl w:val="0"/>
        </w:rPr>
        <w:t xml:space="preserve">Wegzugsbesteuerung, Beteiligungsstrukturen, bestehende Ansässigkeiten, internationale Meldepflichten und Gesellschaften, auch in grenzüberschreitenden Unternehmensgruppen, haben einen deutlich größeren Einfluss als die neue Regelung selbst.</w:t>
      </w:r>
    </w:p>
    <w:p w:rsidR="00000000" w:rsidDel="00000000" w:rsidP="00000000" w:rsidRDefault="00000000" w:rsidRPr="00000000" w14:paraId="00000011">
      <w:pPr>
        <w:spacing w:after="240" w:before="240" w:lineRule="auto"/>
        <w:rPr/>
      </w:pPr>
      <w:r w:rsidDel="00000000" w:rsidR="00000000" w:rsidRPr="00000000">
        <w:rPr>
          <w:rtl w:val="0"/>
        </w:rPr>
        <w:t xml:space="preserve">Deshalb betrachten wir immer beide Seiten: die Türkei — und das, was Sie zurücklassen.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165vykw1ba4" w:id="5"/>
      <w:bookmarkEnd w:id="5"/>
      <w:r w:rsidDel="00000000" w:rsidR="00000000" w:rsidRPr="00000000">
        <w:rPr>
          <w:b w:val="1"/>
          <w:bCs w:val="1"/>
          <w:sz w:val="34"/>
          <w:szCs w:val="34"/>
          <w:rtl w:val="0"/>
        </w:rPr>
        <w:t xml:space="preserve">PAKETE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vvpujy5iyd" w:id="6"/>
      <w:bookmarkEnd w:id="6"/>
      <w:r w:rsidDel="00000000" w:rsidR="00000000" w:rsidRPr="00000000">
        <w:rPr>
          <w:b w:val="1"/>
          <w:bCs w:val="1"/>
          <w:color w:val="000000"/>
          <w:sz w:val="26"/>
          <w:szCs w:val="26"/>
          <w:rtl w:val="0"/>
        </w:rPr>
        <w:t xml:space="preserve">Die richtige Entscheidung beginnt mit einer belastbaren Strukturprüfung.</w:t>
      </w:r>
    </w:p>
    <w:p w:rsidR="00000000" w:rsidDel="00000000" w:rsidP="00000000" w:rsidRDefault="00000000" w:rsidRPr="00000000" w14:paraId="00000014">
      <w:pPr>
        <w:spacing w:after="240" w:before="240" w:lineRule="auto"/>
        <w:rPr/>
      </w:pPr>
      <w:r w:rsidDel="00000000" w:rsidR="00000000" w:rsidRPr="00000000">
        <w:rPr>
          <w:rtl w:val="0"/>
        </w:rPr>
        <w:t xml:space="preserve">Jedes Paket basiert auf Ihrem konkreten Fall. Keine Standardantworten. Keine Modellrechnungen von der Stange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72uiwtp02j9" w:id="7"/>
      <w:bookmarkEnd w:id="7"/>
      <w:r w:rsidDel="00000000" w:rsidR="00000000" w:rsidRPr="00000000">
        <w:rPr>
          <w:b w:val="1"/>
          <w:bCs w:val="1"/>
          <w:color w:val="000000"/>
          <w:sz w:val="26"/>
          <w:szCs w:val="26"/>
          <w:rtl w:val="0"/>
        </w:rPr>
        <w:t xml:space="preserve">Basis Assessment — 990 €</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Für einzelne Themenbereiche</w:t>
      </w:r>
    </w:p>
    <w:p w:rsidR="00000000" w:rsidDel="00000000" w:rsidP="00000000" w:rsidRDefault="00000000" w:rsidRPr="00000000" w14:paraId="00000017">
      <w:pPr>
        <w:numPr>
          <w:ilvl w:val="0"/>
          <w:numId w:val="6"/>
        </w:numPr>
        <w:spacing w:after="0" w:afterAutospacing="0" w:before="240" w:lineRule="auto"/>
        <w:ind w:left="720" w:hanging="360"/>
        <w:rPr/>
      </w:pPr>
      <w:r w:rsidDel="00000000" w:rsidR="00000000" w:rsidRPr="00000000">
        <w:rPr>
          <w:rtl w:val="0"/>
        </w:rPr>
        <w:t xml:space="preserve">Analyse eines Vermögens- oder </w:t>
      </w:r>
      <w:r w:rsidDel="00000000" w:rsidR="00000000" w:rsidRPr="00000000">
        <w:rPr>
          <w:rtl w:val="0"/>
        </w:rPr>
        <w:t xml:space="preserve">Strukturhemas</w:t>
      </w:r>
    </w:p>
    <w:p w:rsidR="00000000" w:rsidDel="00000000" w:rsidP="00000000" w:rsidRDefault="00000000" w:rsidRPr="00000000" w14:paraId="00000018">
      <w:pPr>
        <w:numPr>
          <w:ilvl w:val="0"/>
          <w:numId w:val="6"/>
        </w:numPr>
        <w:spacing w:after="0" w:afterAutospacing="0" w:before="0" w:beforeAutospacing="0" w:lineRule="auto"/>
        <w:ind w:left="720" w:hanging="360"/>
        <w:rPr/>
      </w:pPr>
      <w:r w:rsidDel="00000000" w:rsidR="00000000" w:rsidRPr="00000000">
        <w:rPr>
          <w:rtl w:val="0"/>
        </w:rPr>
        <w:t xml:space="preserve">Einordnung der angekündigten türkischen Regelung</w:t>
      </w:r>
    </w:p>
    <w:p w:rsidR="00000000" w:rsidDel="00000000" w:rsidP="00000000" w:rsidRDefault="00000000" w:rsidRPr="00000000" w14:paraId="00000019">
      <w:pPr>
        <w:numPr>
          <w:ilvl w:val="0"/>
          <w:numId w:val="6"/>
        </w:numPr>
        <w:spacing w:after="0" w:afterAutospacing="0" w:before="0" w:beforeAutospacing="0" w:lineRule="auto"/>
        <w:ind w:left="720" w:hanging="360"/>
        <w:rPr/>
      </w:pPr>
      <w:r w:rsidDel="00000000" w:rsidR="00000000" w:rsidRPr="00000000">
        <w:rPr>
          <w:rtl w:val="0"/>
        </w:rPr>
        <w:t xml:space="preserve">Berücksichtigung relevanter Wegzugsregeln</w:t>
      </w:r>
    </w:p>
    <w:p w:rsidR="00000000" w:rsidDel="00000000" w:rsidP="00000000" w:rsidRDefault="00000000" w:rsidRPr="00000000" w14:paraId="0000001A">
      <w:pPr>
        <w:numPr>
          <w:ilvl w:val="0"/>
          <w:numId w:val="6"/>
        </w:numPr>
        <w:spacing w:after="0" w:afterAutospacing="0" w:before="0" w:beforeAutospacing="0" w:lineRule="auto"/>
        <w:ind w:left="720" w:hanging="360"/>
        <w:rPr/>
      </w:pPr>
      <w:r w:rsidDel="00000000" w:rsidR="00000000" w:rsidRPr="00000000">
        <w:rPr>
          <w:rtl w:val="0"/>
        </w:rPr>
        <w:t xml:space="preserve">Schriftliche Roadmap </w:t>
      </w:r>
      <w:r w:rsidDel="00000000" w:rsidR="00000000" w:rsidRPr="00000000">
        <w:rPr>
          <w:rtl w:val="0"/>
        </w:rPr>
        <w:t xml:space="preserve">mit Umsetzungsangebo</w:t>
      </w:r>
      <w:r w:rsidDel="00000000" w:rsidR="00000000" w:rsidRPr="00000000">
        <w:rPr>
          <w:rtl w:val="0"/>
        </w:rPr>
        <w:t xml:space="preserve">t</w:t>
      </w:r>
    </w:p>
    <w:p w:rsidR="00000000" w:rsidDel="00000000" w:rsidP="00000000" w:rsidRDefault="00000000" w:rsidRPr="00000000" w14:paraId="0000001B">
      <w:pPr>
        <w:numPr>
          <w:ilvl w:val="0"/>
          <w:numId w:val="6"/>
        </w:numPr>
        <w:spacing w:after="240" w:before="0" w:beforeAutospacing="0" w:lineRule="auto"/>
        <w:ind w:left="720" w:hanging="360"/>
        <w:rPr/>
      </w:pPr>
      <w:r w:rsidDel="00000000" w:rsidR="00000000" w:rsidRPr="00000000">
        <w:rPr>
          <w:rtl w:val="0"/>
        </w:rPr>
        <w:t xml:space="preserve">Erstgespräch und 60-Minuten-Strategiegespräch zur Analyse</w:t>
      </w:r>
    </w:p>
    <w:p w:rsidR="00000000" w:rsidDel="00000000" w:rsidP="00000000" w:rsidRDefault="00000000" w:rsidRPr="00000000" w14:paraId="0000001C">
      <w:pPr>
        <w:rPr/>
      </w:pPr>
      <w:r w:rsidDel="00000000" w:rsidR="00000000" w:rsidRPr="00000000">
        <w:rPr>
          <w:highlight w:val="cyan"/>
          <w:rtl w:val="0"/>
        </w:rPr>
        <w:t xml:space="preserve">Starten Sie jetzt</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pcmlrkwnkit5" w:id="8"/>
      <w:bookmarkEnd w:id="8"/>
      <w:r w:rsidDel="00000000" w:rsidR="00000000" w:rsidRPr="00000000">
        <w:rPr>
          <w:b w:val="1"/>
          <w:bCs w:val="1"/>
          <w:color w:val="000000"/>
          <w:sz w:val="26"/>
          <w:szCs w:val="26"/>
          <w:rtl w:val="0"/>
        </w:rPr>
        <w:t xml:space="preserve">Struktur Assessment — 2.990 €  </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Für Unternehmer und Investoren mit mehreren Themenfeldern</w:t>
      </w:r>
    </w:p>
    <w:p w:rsidR="00000000" w:rsidDel="00000000" w:rsidP="00000000" w:rsidRDefault="00000000" w:rsidRPr="00000000" w14:paraId="0000001F">
      <w:pPr>
        <w:numPr>
          <w:ilvl w:val="0"/>
          <w:numId w:val="1"/>
        </w:numPr>
        <w:spacing w:after="0" w:afterAutospacing="0" w:before="240" w:lineRule="auto"/>
        <w:ind w:left="720" w:hanging="360"/>
        <w:rPr/>
      </w:pPr>
      <w:r w:rsidDel="00000000" w:rsidR="00000000" w:rsidRPr="00000000">
        <w:rPr>
          <w:rtl w:val="0"/>
        </w:rPr>
        <w:t xml:space="preserve">Beteiligungen, Depot, Unternehmen und Krypto im Zusammenspiel</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Analyse mehrerer Strukturvarianten</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Wegzugs-Timing und Ansässigkeit</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Dokumentierte Handlungsempfehlung </w:t>
      </w:r>
      <w:r w:rsidDel="00000000" w:rsidR="00000000" w:rsidRPr="00000000">
        <w:rPr>
          <w:rtl w:val="0"/>
        </w:rPr>
        <w:t xml:space="preserve">mit Umsetzungsangebot</w:t>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tl w:val="0"/>
        </w:rPr>
        <w:t xml:space="preserve">Erst- und zweimal 90-Minuten-Strategiegespräch</w:t>
      </w:r>
    </w:p>
    <w:p w:rsidR="00000000" w:rsidDel="00000000" w:rsidP="00000000" w:rsidRDefault="00000000" w:rsidRPr="00000000" w14:paraId="00000024">
      <w:pPr>
        <w:numPr>
          <w:ilvl w:val="0"/>
          <w:numId w:val="1"/>
        </w:numPr>
        <w:spacing w:after="240" w:before="0" w:beforeAutospacing="0" w:lineRule="auto"/>
        <w:ind w:left="720" w:hanging="360"/>
        <w:rPr/>
      </w:pPr>
      <w:r w:rsidDel="00000000" w:rsidR="00000000" w:rsidRPr="00000000">
        <w:rPr>
          <w:rtl w:val="0"/>
        </w:rPr>
        <w:t xml:space="preserve">Vier Wochen Rückfragen</w:t>
      </w:r>
    </w:p>
    <w:p w:rsidR="00000000" w:rsidDel="00000000" w:rsidP="00000000" w:rsidRDefault="00000000" w:rsidRPr="00000000" w14:paraId="00000025">
      <w:pPr>
        <w:rPr/>
      </w:pPr>
      <w:r w:rsidDel="00000000" w:rsidR="00000000" w:rsidRPr="00000000">
        <w:rPr>
          <w:highlight w:val="cyan"/>
          <w:rtl w:val="0"/>
        </w:rPr>
        <w:t xml:space="preserve">Starten Sie jetzt</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yivi438yn8b" w:id="9"/>
      <w:bookmarkEnd w:id="9"/>
      <w:r w:rsidDel="00000000" w:rsidR="00000000" w:rsidRPr="00000000">
        <w:rPr>
          <w:b w:val="1"/>
          <w:bCs w:val="1"/>
          <w:color w:val="000000"/>
          <w:sz w:val="26"/>
          <w:szCs w:val="26"/>
          <w:rtl w:val="0"/>
        </w:rPr>
        <w:t xml:space="preserve">Family Office Assessment — 6.990 €</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Für größere und komplexe Strukturen</w:t>
      </w:r>
    </w:p>
    <w:p w:rsidR="00000000" w:rsidDel="00000000" w:rsidP="00000000" w:rsidRDefault="00000000" w:rsidRPr="00000000" w14:paraId="00000028">
      <w:pPr>
        <w:numPr>
          <w:ilvl w:val="0"/>
          <w:numId w:val="5"/>
        </w:numPr>
        <w:spacing w:after="0" w:afterAutospacing="0" w:before="240" w:lineRule="auto"/>
        <w:ind w:left="720" w:hanging="360"/>
        <w:rPr/>
      </w:pPr>
      <w:r w:rsidDel="00000000" w:rsidR="00000000" w:rsidRPr="00000000">
        <w:rPr>
          <w:rtl w:val="0"/>
        </w:rPr>
        <w:t xml:space="preserve">Mehrstufige Beteiligungen</w:t>
      </w:r>
    </w:p>
    <w:p w:rsidR="00000000" w:rsidDel="00000000" w:rsidP="00000000" w:rsidRDefault="00000000" w:rsidRPr="00000000" w14:paraId="00000029">
      <w:pPr>
        <w:numPr>
          <w:ilvl w:val="0"/>
          <w:numId w:val="5"/>
        </w:numPr>
        <w:spacing w:after="0" w:afterAutospacing="0" w:before="0" w:beforeAutospacing="0" w:lineRule="auto"/>
        <w:ind w:left="720" w:hanging="360"/>
        <w:rPr/>
      </w:pPr>
      <w:r w:rsidDel="00000000" w:rsidR="00000000" w:rsidRPr="00000000">
        <w:rPr>
          <w:rtl w:val="0"/>
        </w:rPr>
        <w:t xml:space="preserve">Holding- und Nachfolgefragen</w:t>
      </w:r>
    </w:p>
    <w:p w:rsidR="00000000" w:rsidDel="00000000" w:rsidP="00000000" w:rsidRDefault="00000000" w:rsidRPr="00000000" w14:paraId="0000002A">
      <w:pPr>
        <w:numPr>
          <w:ilvl w:val="0"/>
          <w:numId w:val="5"/>
        </w:numPr>
        <w:spacing w:after="0" w:afterAutospacing="0" w:before="0" w:beforeAutospacing="0" w:lineRule="auto"/>
        <w:ind w:left="720" w:hanging="360"/>
        <w:rPr/>
      </w:pPr>
      <w:r w:rsidDel="00000000" w:rsidR="00000000" w:rsidRPr="00000000">
        <w:rPr>
          <w:rtl w:val="0"/>
        </w:rPr>
        <w:t xml:space="preserve">Direkte Abstimmung mit bestehenden Beratern</w:t>
      </w:r>
    </w:p>
    <w:p w:rsidR="00000000" w:rsidDel="00000000" w:rsidP="00000000" w:rsidRDefault="00000000" w:rsidRPr="00000000" w14:paraId="0000002B">
      <w:pPr>
        <w:numPr>
          <w:ilvl w:val="0"/>
          <w:numId w:val="5"/>
        </w:numPr>
        <w:spacing w:after="0" w:afterAutospacing="0" w:before="0" w:beforeAutospacing="0" w:lineRule="auto"/>
        <w:ind w:left="720" w:hanging="360"/>
        <w:rPr/>
      </w:pPr>
      <w:r w:rsidDel="00000000" w:rsidR="00000000" w:rsidRPr="00000000">
        <w:rPr>
          <w:rtl w:val="0"/>
        </w:rPr>
        <w:t xml:space="preserve">Dokumentierte Handlungsempfehlung mit Umsetzungsangebot</w:t>
      </w:r>
    </w:p>
    <w:p w:rsidR="00000000" w:rsidDel="00000000" w:rsidP="00000000" w:rsidRDefault="00000000" w:rsidRPr="00000000" w14:paraId="0000002C">
      <w:pPr>
        <w:numPr>
          <w:ilvl w:val="0"/>
          <w:numId w:val="5"/>
        </w:numPr>
        <w:spacing w:after="0" w:afterAutospacing="0" w:before="0" w:beforeAutospacing="0" w:lineRule="auto"/>
        <w:ind w:left="720" w:hanging="360"/>
        <w:rPr/>
      </w:pPr>
      <w:r w:rsidDel="00000000" w:rsidR="00000000" w:rsidRPr="00000000">
        <w:rPr>
          <w:rtl w:val="0"/>
        </w:rPr>
        <w:t xml:space="preserve">Mehrere Strategiegespräche und laufende Abstimmung</w:t>
      </w:r>
    </w:p>
    <w:p w:rsidR="00000000" w:rsidDel="00000000" w:rsidP="00000000" w:rsidRDefault="00000000" w:rsidRPr="00000000" w14:paraId="0000002D">
      <w:pPr>
        <w:numPr>
          <w:ilvl w:val="0"/>
          <w:numId w:val="5"/>
        </w:numPr>
        <w:spacing w:after="240" w:before="0" w:beforeAutospacing="0" w:lineRule="auto"/>
        <w:ind w:left="720" w:hanging="360"/>
        <w:rPr/>
      </w:pPr>
      <w:r w:rsidDel="00000000" w:rsidR="00000000" w:rsidRPr="00000000">
        <w:rPr>
          <w:rtl w:val="0"/>
        </w:rPr>
        <w:t xml:space="preserve">12 Wochen Rückfragen</w:t>
      </w:r>
    </w:p>
    <w:p w:rsidR="00000000" w:rsidDel="00000000" w:rsidP="00000000" w:rsidRDefault="00000000" w:rsidRPr="00000000" w14:paraId="0000002E">
      <w:pPr>
        <w:rPr/>
      </w:pPr>
      <w:r w:rsidDel="00000000" w:rsidR="00000000" w:rsidRPr="00000000">
        <w:rPr>
          <w:highlight w:val="cyan"/>
          <w:rtl w:val="0"/>
        </w:rPr>
        <w:t xml:space="preserve">Starten Sie jetzt</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i w:val="1"/>
          <w:iCs w:val="1"/>
          <w:rtl w:val="0"/>
        </w:rPr>
        <w:t xml:space="preserve">Hinweis unter den Paketen:</w:t>
      </w:r>
      <w:r w:rsidDel="00000000" w:rsidR="00000000" w:rsidRPr="00000000">
        <w:rPr>
          <w:rtl w:val="0"/>
        </w:rPr>
        <w:t xml:space="preserve"> Jedes Assessment ist die Grundlage für eine mögliche Umsetzung. Trägt die Struktur, übernehmen wir die Umsetzung — die Umsetzung ist eine separate Leistung und nicht im Analysepreis enthalten.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cccvki14s77p" w:id="10"/>
      <w:bookmarkEnd w:id="10"/>
      <w:r w:rsidDel="00000000" w:rsidR="00000000" w:rsidRPr="00000000">
        <w:rPr>
          <w:b w:val="1"/>
          <w:bCs w:val="1"/>
          <w:sz w:val="34"/>
          <w:szCs w:val="34"/>
          <w:rtl w:val="0"/>
        </w:rPr>
        <w:t xml:space="preserve">SO ARBEITEN WIR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62blk175qdq" w:id="11"/>
      <w:bookmarkEnd w:id="11"/>
      <w:r w:rsidDel="00000000" w:rsidR="00000000" w:rsidRPr="00000000">
        <w:rPr>
          <w:b w:val="1"/>
          <w:bCs w:val="1"/>
          <w:color w:val="000000"/>
          <w:sz w:val="26"/>
          <w:szCs w:val="26"/>
          <w:rtl w:val="0"/>
        </w:rPr>
        <w:t xml:space="preserve">Denken. Strukturieren. Umsetzen. Aus einer Hand.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Ablauf eines Assessments:</w:t>
      </w:r>
    </w:p>
    <w:p w:rsidR="00000000" w:rsidDel="00000000" w:rsidP="00000000" w:rsidRDefault="00000000" w:rsidRPr="00000000" w14:paraId="00000033">
      <w:pPr>
        <w:numPr>
          <w:ilvl w:val="0"/>
          <w:numId w:val="2"/>
        </w:numPr>
        <w:spacing w:after="0" w:afterAutospacing="0" w:before="240" w:lineRule="auto"/>
        <w:ind w:left="720" w:hanging="360"/>
        <w:rPr/>
      </w:pPr>
      <w:r w:rsidDel="00000000" w:rsidR="00000000" w:rsidRPr="00000000">
        <w:rPr>
          <w:b w:val="1"/>
          <w:bCs w:val="1"/>
          <w:rtl w:val="0"/>
        </w:rPr>
        <w:t xml:space="preserve">Erstgespräch</w:t>
      </w:r>
      <w:r w:rsidDel="00000000" w:rsidR="00000000" w:rsidRPr="00000000">
        <w:rPr>
          <w:rtl w:val="0"/>
        </w:rPr>
        <w:t xml:space="preserve"> — wir erfassen Ihre Situation, Ihr Herkunftsland und Ihre Ziele.</w:t>
      </w:r>
    </w:p>
    <w:p w:rsidR="00000000" w:rsidDel="00000000" w:rsidP="00000000" w:rsidRDefault="00000000" w:rsidRPr="00000000" w14:paraId="00000034">
      <w:pPr>
        <w:numPr>
          <w:ilvl w:val="0"/>
          <w:numId w:val="2"/>
        </w:numPr>
        <w:spacing w:after="0" w:afterAutospacing="0" w:before="0" w:beforeAutospacing="0" w:lineRule="auto"/>
        <w:ind w:left="720" w:hanging="360"/>
        <w:rPr/>
      </w:pPr>
      <w:r w:rsidDel="00000000" w:rsidR="00000000" w:rsidRPr="00000000">
        <w:rPr>
          <w:b w:val="1"/>
          <w:bCs w:val="1"/>
          <w:rtl w:val="0"/>
        </w:rPr>
        <w:t xml:space="preserve">Analyse &amp; Dokument</w:t>
      </w:r>
      <w:r w:rsidDel="00000000" w:rsidR="00000000" w:rsidRPr="00000000">
        <w:rPr>
          <w:rtl w:val="0"/>
        </w:rPr>
        <w:t xml:space="preserve"> — wir rechnen Ihren Fall durch und liefern eine schriftliche, strukturierte Einschätzung.</w:t>
      </w:r>
    </w:p>
    <w:p w:rsidR="00000000" w:rsidDel="00000000" w:rsidP="00000000" w:rsidRDefault="00000000" w:rsidRPr="00000000" w14:paraId="00000035">
      <w:pPr>
        <w:numPr>
          <w:ilvl w:val="0"/>
          <w:numId w:val="2"/>
        </w:numPr>
        <w:spacing w:after="240" w:before="0" w:beforeAutospacing="0" w:lineRule="auto"/>
        <w:ind w:left="720" w:hanging="360"/>
        <w:rPr/>
      </w:pPr>
      <w:r w:rsidDel="00000000" w:rsidR="00000000" w:rsidRPr="00000000">
        <w:rPr>
          <w:b w:val="1"/>
          <w:bCs w:val="1"/>
          <w:rtl w:val="0"/>
        </w:rPr>
        <w:t xml:space="preserve">Zweites Gespräch</w:t>
      </w:r>
      <w:r w:rsidDel="00000000" w:rsidR="00000000" w:rsidRPr="00000000">
        <w:rPr>
          <w:rtl w:val="0"/>
        </w:rPr>
        <w:t xml:space="preserve"> — wir besprechen das Ergebnis, die Optionen und die nächsten Schritte. (In den größeren Paketen mehrere Gespräche und laufende Abstimmung.)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Vom Assessment zur Umsetzung:</w:t>
      </w:r>
      <w:r w:rsidDel="00000000" w:rsidR="00000000" w:rsidRPr="00000000">
        <w:rPr>
          <w:rtl w:val="0"/>
        </w:rPr>
        <w:t xml:space="preserve"> Das Assessment ist der Einstieg, nicht das Ende. Trägt Ihre Struktur, setzen wir sie um — Konzept, Strategie und Steuerung kommen von uns; die offizielle Ausführung übernehmen</w:t>
      </w:r>
      <w:r w:rsidDel="00000000" w:rsidR="00000000" w:rsidRPr="00000000">
        <w:rPr>
          <w:rtl w:val="0"/>
        </w:rPr>
        <w:t xml:space="preserve"> wo notwendig</w:t>
      </w:r>
      <w:r w:rsidDel="00000000" w:rsidR="00000000" w:rsidRPr="00000000">
        <w:rPr>
          <w:rtl w:val="0"/>
        </w:rPr>
        <w:t xml:space="preserve"> die zugelassenen Fachleute (Steuerberater, Rechtsanwälte, Notare, Treuhänder), die wir einbinden und führen.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dlsgza3trcyi" w:id="12"/>
      <w:bookmarkEnd w:id="12"/>
      <w:r w:rsidDel="00000000" w:rsidR="00000000" w:rsidRPr="00000000">
        <w:rPr>
          <w:b w:val="1"/>
          <w:bCs w:val="1"/>
          <w:sz w:val="34"/>
          <w:szCs w:val="34"/>
          <w:rtl w:val="0"/>
        </w:rPr>
        <w:t xml:space="preserve">LEISTUNGEN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319lsb5276b" w:id="13"/>
      <w:bookmarkEnd w:id="13"/>
      <w:r w:rsidDel="00000000" w:rsidR="00000000" w:rsidRPr="00000000">
        <w:rPr>
          <w:b w:val="1"/>
          <w:bCs w:val="1"/>
          <w:color w:val="000000"/>
          <w:sz w:val="26"/>
          <w:szCs w:val="26"/>
          <w:rtl w:val="0"/>
        </w:rPr>
        <w:t xml:space="preserve">Strukturiert. Durchgerechnet. Umsetzbar.</w:t>
      </w:r>
    </w:p>
    <w:p w:rsidR="00000000" w:rsidDel="00000000" w:rsidP="00000000" w:rsidRDefault="00000000" w:rsidRPr="00000000" w14:paraId="00000039">
      <w:pPr>
        <w:spacing w:after="240" w:before="240" w:lineRule="auto"/>
        <w:rPr/>
      </w:pPr>
      <w:r w:rsidDel="00000000" w:rsidR="00000000" w:rsidRPr="00000000">
        <w:rPr>
          <w:rtl w:val="0"/>
        </w:rPr>
        <w:t xml:space="preserve">Wir betrachten internationale Strukturen nicht isoliert. Wir analysieren, wie Herkunftsland, Wegzug und neue Ansässigkeit interagieren — und entwickeln daraus einen konkreten Handlungsplan; dabei prüfen wir stets den steuerrechtlichen rahmen, die steuerpflicht im In- und ausland sowie den bezug zu anwendbaren dba.</w:t>
      </w:r>
    </w:p>
    <w:p w:rsidR="00000000" w:rsidDel="00000000" w:rsidP="00000000" w:rsidRDefault="00000000" w:rsidRPr="00000000" w14:paraId="0000003A">
      <w:pPr>
        <w:spacing w:after="240" w:before="240" w:lineRule="auto"/>
        <w:rPr/>
      </w:pPr>
      <w:r w:rsidDel="00000000" w:rsidR="00000000" w:rsidRPr="00000000">
        <w:rPr>
          <w:rtl w:val="0"/>
        </w:rPr>
        <w:t xml:space="preserve">Das türkische steuersystem ordnen wir dabei als Teil der Gesamtanalyse ein und betrachten es im Zusammenspiel mit dem jeweiligen system.</w:t>
      </w:r>
    </w:p>
    <w:p w:rsidR="00000000" w:rsidDel="00000000" w:rsidP="00000000" w:rsidRDefault="00000000" w:rsidRPr="00000000" w14:paraId="0000003B">
      <w:pPr>
        <w:numPr>
          <w:ilvl w:val="0"/>
          <w:numId w:val="3"/>
        </w:numPr>
        <w:spacing w:after="0" w:afterAutospacing="0" w:before="240" w:lineRule="auto"/>
        <w:ind w:left="720" w:hanging="360"/>
        <w:rPr/>
      </w:pPr>
      <w:r w:rsidDel="00000000" w:rsidR="00000000" w:rsidRPr="00000000">
        <w:rPr>
          <w:b w:val="1"/>
          <w:bCs w:val="1"/>
          <w:rtl w:val="0"/>
        </w:rPr>
        <w:t xml:space="preserve">Unternehmer &amp; Holdings</w:t>
      </w:r>
    </w:p>
    <w:p w:rsidR="00000000" w:rsidDel="00000000" w:rsidP="00000000" w:rsidRDefault="00000000" w:rsidRPr="00000000" w14:paraId="0000003C">
      <w:pPr>
        <w:numPr>
          <w:ilvl w:val="0"/>
          <w:numId w:val="3"/>
        </w:numPr>
        <w:spacing w:after="0" w:afterAutospacing="0" w:before="0" w:beforeAutospacing="0" w:lineRule="auto"/>
        <w:ind w:left="720" w:hanging="360"/>
        <w:rPr/>
      </w:pPr>
      <w:r w:rsidDel="00000000" w:rsidR="00000000" w:rsidRPr="00000000">
        <w:rPr>
          <w:b w:val="1"/>
          <w:bCs w:val="1"/>
          <w:rtl w:val="0"/>
        </w:rPr>
        <w:t xml:space="preserve">Founder vor dem Exit</w:t>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b w:val="1"/>
          <w:bCs w:val="1"/>
          <w:rtl w:val="0"/>
        </w:rPr>
        <w:t xml:space="preserve">Depot &amp; ETF</w:t>
      </w:r>
    </w:p>
    <w:p w:rsidR="00000000" w:rsidDel="00000000" w:rsidP="00000000" w:rsidRDefault="00000000" w:rsidRPr="00000000" w14:paraId="0000003E">
      <w:pPr>
        <w:numPr>
          <w:ilvl w:val="0"/>
          <w:numId w:val="3"/>
        </w:numPr>
        <w:spacing w:after="0" w:afterAutospacing="0" w:before="0" w:beforeAutospacing="0" w:lineRule="auto"/>
        <w:ind w:left="720" w:hanging="360"/>
        <w:rPr/>
      </w:pPr>
      <w:r w:rsidDel="00000000" w:rsidR="00000000" w:rsidRPr="00000000">
        <w:rPr>
          <w:b w:val="1"/>
          <w:bCs w:val="1"/>
          <w:rtl w:val="0"/>
        </w:rPr>
        <w:t xml:space="preserve">Krypto-Investoren</w:t>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b w:val="1"/>
          <w:bCs w:val="1"/>
          <w:rtl w:val="0"/>
        </w:rPr>
        <w:t xml:space="preserve">Family Offices</w:t>
      </w:r>
    </w:p>
    <w:p w:rsidR="00000000" w:rsidDel="00000000" w:rsidP="00000000" w:rsidRDefault="00000000" w:rsidRPr="00000000" w14:paraId="00000040">
      <w:pPr>
        <w:numPr>
          <w:ilvl w:val="0"/>
          <w:numId w:val="3"/>
        </w:numPr>
        <w:spacing w:after="240" w:before="0" w:beforeAutospacing="0" w:lineRule="auto"/>
        <w:ind w:left="720" w:hanging="360"/>
        <w:rPr/>
      </w:pPr>
      <w:r w:rsidDel="00000000" w:rsidR="00000000" w:rsidRPr="00000000">
        <w:rPr>
          <w:b w:val="1"/>
          <w:bCs w:val="1"/>
          <w:rtl w:val="0"/>
        </w:rPr>
        <w:t xml:space="preserve">Internationale Strukturen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ezic2af6shwj" w:id="14"/>
      <w:bookmarkEnd w:id="14"/>
      <w:r w:rsidDel="00000000" w:rsidR="00000000" w:rsidRPr="00000000">
        <w:rPr>
          <w:b w:val="1"/>
          <w:bCs w:val="1"/>
          <w:sz w:val="34"/>
          <w:szCs w:val="34"/>
          <w:rtl w:val="0"/>
        </w:rPr>
        <w:t xml:space="preserve">WARUM DYNAMIC RESIDENCY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77ul4us3t2z" w:id="15"/>
      <w:bookmarkEnd w:id="15"/>
      <w:r w:rsidDel="00000000" w:rsidR="00000000" w:rsidRPr="00000000">
        <w:rPr>
          <w:b w:val="1"/>
          <w:bCs w:val="1"/>
          <w:color w:val="000000"/>
          <w:sz w:val="26"/>
          <w:szCs w:val="26"/>
          <w:rtl w:val="0"/>
        </w:rPr>
        <w:t xml:space="preserve">Die Türkei ist der einfache Teil</w:t>
      </w:r>
    </w:p>
    <w:p w:rsidR="00000000" w:rsidDel="00000000" w:rsidP="00000000" w:rsidRDefault="00000000" w:rsidRPr="00000000" w14:paraId="00000043">
      <w:pPr>
        <w:spacing w:after="240" w:before="240" w:lineRule="auto"/>
        <w:rPr/>
      </w:pPr>
      <w:r w:rsidDel="00000000" w:rsidR="00000000" w:rsidRPr="00000000">
        <w:rPr>
          <w:rtl w:val="0"/>
        </w:rPr>
        <w:t xml:space="preserve">Die eigentliche Komplexität entsteht im Herkunftsland. Dort greifen Wegzugsbesteuerung, Beteiligungsregeln, Meldepflichten und bestehende steuerliche Verbindungen.</w:t>
      </w:r>
    </w:p>
    <w:p w:rsidR="00000000" w:rsidDel="00000000" w:rsidP="00000000" w:rsidRDefault="00000000" w:rsidRPr="00000000" w14:paraId="00000044">
      <w:pPr>
        <w:spacing w:after="240" w:before="240" w:lineRule="auto"/>
        <w:rPr/>
      </w:pPr>
      <w:r w:rsidDel="00000000" w:rsidR="00000000" w:rsidRPr="00000000">
        <w:rPr>
          <w:rtl w:val="0"/>
        </w:rPr>
        <w:t xml:space="preserve">Das müssen vor allem deutsche steuerpflichtige Personen und Unternehmer im Verhältnis zwischen der aktuellen steuerlichen Ansössigkeit und der Türkei sauber einordnen.</w:t>
      </w:r>
    </w:p>
    <w:p w:rsidR="00000000" w:rsidDel="00000000" w:rsidP="00000000" w:rsidRDefault="00000000" w:rsidRPr="00000000" w14:paraId="00000045">
      <w:pPr>
        <w:spacing w:after="240" w:before="240" w:lineRule="auto"/>
        <w:rPr/>
      </w:pPr>
      <w:r w:rsidDel="00000000" w:rsidR="00000000" w:rsidRPr="00000000">
        <w:rPr>
          <w:rtl w:val="0"/>
        </w:rPr>
        <w:t xml:space="preserve">Genau deshalb betrachten wir die gesamte Struktur. Nicht nur die Situation in der Türkei. Nicht nur die Situation im Herkunftsland. Sondern die Wechselwirkungen dazwischen.</w:t>
      </w:r>
    </w:p>
    <w:p w:rsidR="00000000" w:rsidDel="00000000" w:rsidP="00000000" w:rsidRDefault="00000000" w:rsidRPr="00000000" w14:paraId="00000046">
      <w:pPr>
        <w:spacing w:after="240" w:before="240" w:lineRule="auto"/>
        <w:rPr/>
      </w:pPr>
      <w:r w:rsidDel="00000000" w:rsidR="00000000" w:rsidRPr="00000000">
        <w:rPr>
          <w:rtl w:val="0"/>
        </w:rPr>
        <w:t xml:space="preserve">Unsere diesbezügliche Erfahrung stammt aus unseren eigenen realen internationalen Projekten, aufgebauten Strukturen und der Zusammenarbeit mit Spezialisten in mehreren Jurisdiktionen — einschließlich praktischer Besteuerung im grenzüberschreitenden Verhältnis zwischen internationalen Ländern und der Türkei, auch mit eigenem Büro und Team in Istanbul. Tägliche operative Praxiserfahrung aus 11 Ländern auf 4 Kontinenten </w:t>
      </w:r>
    </w:p>
    <w:p w:rsidR="00000000" w:rsidDel="00000000" w:rsidP="00000000" w:rsidRDefault="00000000" w:rsidRPr="00000000" w14:paraId="00000047">
      <w:pPr>
        <w:spacing w:after="240" w:before="240" w:lineRule="auto"/>
        <w:rPr/>
      </w:pPr>
      <w:r w:rsidDel="00000000" w:rsidR="00000000" w:rsidRPr="00000000">
        <w:rPr>
          <w:rtl w:val="0"/>
        </w:rPr>
        <w:t xml:space="preserve">Trägt Ihre Struktur, begleiten wir nicht nur die Analyse, sondern die Umsetzung. Und wenn sie keinen Sinn ergibt, sagen wir das ebenfalls.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dvj4ob2ytov" w:id="16"/>
      <w:bookmarkEnd w:id="16"/>
      <w:r w:rsidDel="00000000" w:rsidR="00000000" w:rsidRPr="00000000">
        <w:rPr>
          <w:b w:val="1"/>
          <w:bCs w:val="1"/>
          <w:sz w:val="34"/>
          <w:szCs w:val="34"/>
          <w:rtl w:val="0"/>
        </w:rPr>
        <w:t xml:space="preserve">FAQ</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5bo35eq1u222" w:id="17"/>
      <w:bookmarkEnd w:id="17"/>
      <w:r w:rsidDel="00000000" w:rsidR="00000000" w:rsidRPr="00000000">
        <w:rPr>
          <w:b w:val="1"/>
          <w:bCs w:val="1"/>
          <w:color w:val="000000"/>
          <w:sz w:val="26"/>
          <w:szCs w:val="26"/>
          <w:rtl w:val="0"/>
        </w:rPr>
        <w:t xml:space="preserve">Was Sie wirklich wissen wollen.</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up0an1viovb5" w:id="18"/>
      <w:bookmarkEnd w:id="18"/>
      <w:r w:rsidDel="00000000" w:rsidR="00000000" w:rsidRPr="00000000">
        <w:rPr>
          <w:b w:val="1"/>
          <w:bCs w:val="1"/>
          <w:color w:val="000000"/>
          <w:sz w:val="22"/>
          <w:szCs w:val="22"/>
          <w:rtl w:val="0"/>
        </w:rPr>
        <w:t xml:space="preserve">Präzise Antworten. Der aktuelle Stand der Dinge. Keine Versprechen, die das Gesetz noch nicht hergibt.</w:t>
      </w:r>
    </w:p>
    <w:p w:rsidR="00000000" w:rsidDel="00000000" w:rsidP="00000000" w:rsidRDefault="00000000" w:rsidRPr="00000000" w14:paraId="0000004B">
      <w:pPr>
        <w:pStyle w:val="Heading5"/>
        <w:keepNext w:val="0"/>
        <w:keepLines w:val="0"/>
        <w:spacing w:after="40" w:before="220" w:lineRule="auto"/>
        <w:rPr>
          <w:b w:val="1"/>
          <w:bCs w:val="1"/>
          <w:color w:val="000000"/>
          <w:sz w:val="20"/>
          <w:szCs w:val="20"/>
        </w:rPr>
      </w:pPr>
      <w:bookmarkStart w:colFirst="0" w:colLast="0" w:name="_ze0puza2mo5i" w:id="19"/>
      <w:bookmarkEnd w:id="19"/>
      <w:r w:rsidDel="00000000" w:rsidR="00000000" w:rsidRPr="00000000">
        <w:rPr>
          <w:b w:val="1"/>
          <w:bCs w:val="1"/>
          <w:color w:val="000000"/>
          <w:sz w:val="20"/>
          <w:szCs w:val="20"/>
          <w:rtl w:val="0"/>
        </w:rPr>
        <w:t xml:space="preserve">Was bedeutet die neue türkische Steuerregelung und das Steuersystem konkret?</w:t>
      </w:r>
    </w:p>
    <w:p w:rsidR="00000000" w:rsidDel="00000000" w:rsidP="00000000" w:rsidRDefault="00000000" w:rsidRPr="00000000" w14:paraId="0000004C">
      <w:pPr>
        <w:spacing w:after="240" w:before="240" w:lineRule="auto"/>
        <w:rPr/>
      </w:pPr>
      <w:r w:rsidDel="00000000" w:rsidR="00000000" w:rsidRPr="00000000">
        <w:rPr>
          <w:rtl w:val="0"/>
        </w:rPr>
        <w:t xml:space="preserve">20 Jahre keine türkische Steuer auf ausländische Einkünfte und Kapitalgewinn: Das neue </w:t>
      </w:r>
      <w:r w:rsidDel="00000000" w:rsidR="00000000" w:rsidRPr="00000000">
        <w:rPr>
          <w:b w:val="1"/>
          <w:bCs w:val="1"/>
          <w:rtl w:val="0"/>
        </w:rPr>
        <w:t xml:space="preserve">Steuerpaket</w:t>
      </w:r>
      <w:r w:rsidDel="00000000" w:rsidR="00000000" w:rsidRPr="00000000">
        <w:rPr>
          <w:rtl w:val="0"/>
        </w:rPr>
        <w:t xml:space="preserve"> in der Türkei sieht nach aktuellem Stand ein geplantes 20-Jahre-Steuerprivileg für Rückkehrer vor, das 20 Jahre Steuerfreiheit auf Auslandseinkommen bieten könnte; begünstigt sein soll nur, wer vorübergehend abwesend war und wieder in der Türkei ansässig wird. In der Türkei erzieltes Einkommen bleibt regulär steuerpflichtig.</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Gilt das auch für meine GmbH-Anteile, einen Firmenverkauf oder die Einkommensteuer?</w:t>
      </w:r>
    </w:p>
    <w:p w:rsidR="00000000" w:rsidDel="00000000" w:rsidP="00000000" w:rsidRDefault="00000000" w:rsidRPr="00000000" w14:paraId="0000004E">
      <w:pPr>
        <w:spacing w:after="240" w:before="240" w:lineRule="auto"/>
        <w:rPr/>
      </w:pPr>
      <w:r w:rsidDel="00000000" w:rsidR="00000000" w:rsidRPr="00000000">
        <w:rPr>
          <w:rtl w:val="0"/>
        </w:rPr>
        <w:t xml:space="preserve">Das ist einer der wichtigsten — und heikelsten — Fälle. Entscheidend ist nicht nur die türkische Seite, sondern die Wegzugsbesteuerung Ihres Herkunftslandes: In Deutschland etwa greift bei wesentlichen Beteiligungen die Wegzugsbesteuerung nach dem Außensteuergesetz, andere Länder haben eigene Exit-Tax-Regeln. Ob ein Verkauf nach Verlagerung der Ansässigkeit vorteilhaft ist, hängt von Timing, Beteiligungshöhe und Struktur ab. Genau das rechnen wir durch, bevor Sie handeln.</w:t>
      </w:r>
    </w:p>
    <w:p w:rsidR="00000000" w:rsidDel="00000000" w:rsidP="00000000" w:rsidRDefault="00000000" w:rsidRPr="00000000" w14:paraId="0000004F">
      <w:pPr>
        <w:pStyle w:val="Heading5"/>
        <w:keepNext w:val="0"/>
        <w:keepLines w:val="0"/>
        <w:spacing w:after="40" w:before="220" w:lineRule="auto"/>
        <w:rPr>
          <w:b w:val="1"/>
          <w:bCs w:val="1"/>
          <w:color w:val="000000"/>
          <w:sz w:val="20"/>
          <w:szCs w:val="20"/>
        </w:rPr>
      </w:pPr>
      <w:bookmarkStart w:colFirst="0" w:colLast="0" w:name="_1vhpemkqgxie" w:id="20"/>
      <w:bookmarkEnd w:id="20"/>
      <w:r w:rsidDel="00000000" w:rsidR="00000000" w:rsidRPr="00000000">
        <w:rPr>
          <w:b w:val="1"/>
          <w:bCs w:val="1"/>
          <w:color w:val="000000"/>
          <w:sz w:val="20"/>
          <w:szCs w:val="20"/>
          <w:rtl w:val="0"/>
        </w:rPr>
        <w:t xml:space="preserve">Wie werden Dividenden meiner US- oder Auslandsgesellschaft behandelt?</w:t>
      </w:r>
    </w:p>
    <w:p w:rsidR="00000000" w:rsidDel="00000000" w:rsidP="00000000" w:rsidRDefault="00000000" w:rsidRPr="00000000" w14:paraId="00000050">
      <w:pPr>
        <w:spacing w:after="240" w:before="240" w:lineRule="auto"/>
        <w:rPr/>
      </w:pPr>
      <w:r w:rsidDel="00000000" w:rsidR="00000000" w:rsidRPr="00000000">
        <w:rPr>
          <w:rtl w:val="0"/>
        </w:rPr>
        <w:t xml:space="preserve">Das hängt von der Quelle der Einkünfte, der Gesellschaftsform und dem jeweiligen Doppelbesteuerungsabkommen ab. Unter dem DBA können für Dividenden 10 Prozent Quellensteuer gelten; 5 Prozent sind bei bestimmten Bedingungen bzw. bei 25 Prozent Kapitalanteil möglich. Ausländische Dividenden könnten unter der angekündigten Regelung auf türkischer Seite begünstigt sein — die Behandlung im Herkunftsland und etwaige Quellensteuern bleiben relevant. Je nach Sachverhalt können auch Zinsen oder Lizenzen abweichend behandelt werden. Eine pauschale Antwort gibt es nicht; das ist Teil der individuellen Strukturprüfung.</w:t>
      </w:r>
    </w:p>
    <w:p w:rsidR="00000000" w:rsidDel="00000000" w:rsidP="00000000" w:rsidRDefault="00000000" w:rsidRPr="00000000" w14:paraId="00000051">
      <w:pPr>
        <w:pStyle w:val="Heading5"/>
        <w:keepNext w:val="0"/>
        <w:keepLines w:val="0"/>
        <w:spacing w:after="40" w:before="220" w:lineRule="auto"/>
        <w:rPr>
          <w:b w:val="1"/>
          <w:bCs w:val="1"/>
          <w:color w:val="000000"/>
          <w:sz w:val="20"/>
          <w:szCs w:val="20"/>
        </w:rPr>
      </w:pPr>
      <w:bookmarkStart w:colFirst="0" w:colLast="0" w:name="_t7qr1oiss40h" w:id="21"/>
      <w:bookmarkEnd w:id="21"/>
      <w:r w:rsidDel="00000000" w:rsidR="00000000" w:rsidRPr="00000000">
        <w:rPr>
          <w:b w:val="1"/>
          <w:bCs w:val="1"/>
          <w:color w:val="000000"/>
          <w:sz w:val="20"/>
          <w:szCs w:val="20"/>
          <w:rtl w:val="0"/>
        </w:rPr>
        <w:t xml:space="preserve">Gilt die Steuerfreiheit auch für Kryptowährungen?</w:t>
      </w:r>
    </w:p>
    <w:p w:rsidR="00000000" w:rsidDel="00000000" w:rsidP="00000000" w:rsidRDefault="00000000" w:rsidRPr="00000000" w14:paraId="00000052">
      <w:pPr>
        <w:spacing w:after="240" w:before="240" w:lineRule="auto"/>
        <w:rPr/>
      </w:pPr>
      <w:r w:rsidDel="00000000" w:rsidR="00000000" w:rsidRPr="00000000">
        <w:rPr>
          <w:rtl w:val="0"/>
        </w:rPr>
        <w:t xml:space="preserve">Kryptoertröge die auf ausländischens Einkommen zurückzuführen sind werden nach der neuen Regelung besteuert werden. In der der Türkei erzielte Kryptoertröge werden nach wie vor lokal besteuert</w:t>
      </w:r>
    </w:p>
    <w:p w:rsidR="00000000" w:rsidDel="00000000" w:rsidP="00000000" w:rsidRDefault="00000000" w:rsidRPr="00000000" w14:paraId="00000053">
      <w:pPr>
        <w:pStyle w:val="Heading5"/>
        <w:keepNext w:val="0"/>
        <w:keepLines w:val="0"/>
        <w:spacing w:after="40" w:before="220" w:lineRule="auto"/>
        <w:rPr>
          <w:b w:val="1"/>
          <w:bCs w:val="1"/>
          <w:color w:val="000000"/>
          <w:sz w:val="20"/>
          <w:szCs w:val="20"/>
        </w:rPr>
      </w:pPr>
      <w:bookmarkStart w:colFirst="0" w:colLast="0" w:name="_r08ih8satvwm" w:id="22"/>
      <w:bookmarkEnd w:id="22"/>
      <w:r w:rsidDel="00000000" w:rsidR="00000000" w:rsidRPr="00000000">
        <w:rPr>
          <w:b w:val="1"/>
          <w:bCs w:val="1"/>
          <w:color w:val="000000"/>
          <w:sz w:val="20"/>
          <w:szCs w:val="20"/>
          <w:rtl w:val="0"/>
        </w:rPr>
        <w:t xml:space="preserve">Muss ich dauerhaft in der Türkei leben?</w:t>
      </w:r>
    </w:p>
    <w:p w:rsidR="00000000" w:rsidDel="00000000" w:rsidP="00000000" w:rsidRDefault="00000000" w:rsidRPr="00000000" w14:paraId="00000054">
      <w:pPr>
        <w:spacing w:after="240" w:before="240" w:lineRule="auto"/>
        <w:rPr/>
      </w:pPr>
      <w:r w:rsidDel="00000000" w:rsidR="00000000" w:rsidRPr="00000000">
        <w:rPr>
          <w:rtl w:val="0"/>
        </w:rPr>
        <w:t xml:space="preserve">Steuerliche Ansässigkeit knüpft in der Regel an Aufenthaltsdauer und Lebensmittelpunkt an (üblicherweise mehr als 183 Tage). Die steuerliche Einordnung hängt dabei vom Wohnsitz und der Unterscheidung zwischen unbeschränkter und beschränkter Steuerpflicht nach dem Einkommensteuergesetz ab. Entscheidend ist, dass Ihre Ansässigkeit tatsächlich trägt — gerade im Zusammenspiel mit dem internationalen Informationsaustausch (CRS). Eine bloße Anmeldung ohne echten Lebensmittelpunkt ist kein belastbares Modell. Wie viel reale Präsenz Ihr Fall braucht, klären wir konkret.</w:t>
      </w:r>
    </w:p>
    <w:p w:rsidR="00000000" w:rsidDel="00000000" w:rsidP="00000000" w:rsidRDefault="00000000" w:rsidRPr="00000000" w14:paraId="00000055">
      <w:pPr>
        <w:pStyle w:val="Heading5"/>
        <w:keepNext w:val="0"/>
        <w:keepLines w:val="0"/>
        <w:spacing w:after="40" w:before="220" w:lineRule="auto"/>
        <w:rPr>
          <w:b w:val="1"/>
          <w:bCs w:val="1"/>
          <w:color w:val="000000"/>
          <w:sz w:val="20"/>
          <w:szCs w:val="20"/>
        </w:rPr>
      </w:pPr>
      <w:bookmarkStart w:colFirst="0" w:colLast="0" w:name="_1ap864qi3n91" w:id="23"/>
      <w:bookmarkEnd w:id="23"/>
      <w:r w:rsidDel="00000000" w:rsidR="00000000" w:rsidRPr="00000000">
        <w:rPr>
          <w:b w:val="1"/>
          <w:bCs w:val="1"/>
          <w:color w:val="000000"/>
          <w:sz w:val="20"/>
          <w:szCs w:val="20"/>
          <w:rtl w:val="0"/>
        </w:rPr>
        <w:t xml:space="preserve">Was bleibt in meinem Herkunftsland steuerpflichtig?</w:t>
      </w:r>
    </w:p>
    <w:p w:rsidR="00000000" w:rsidDel="00000000" w:rsidP="00000000" w:rsidRDefault="00000000" w:rsidRPr="00000000" w14:paraId="00000056">
      <w:pPr>
        <w:spacing w:after="240" w:before="240" w:lineRule="auto"/>
        <w:rPr/>
      </w:pPr>
      <w:r w:rsidDel="00000000" w:rsidR="00000000" w:rsidRPr="00000000">
        <w:rPr>
          <w:rtl w:val="0"/>
        </w:rPr>
        <w:t xml:space="preserve">Auch nach dem Wegzug bleiben bestimmte Einkünfte mit Inlandsbezug im Herkunftsland steuerpflichtig — etwa Mieteinnahmen aus dort gelegenen Immobilien oder bestimmte Kapital- und Rentenarten. Welcher Staat was besteuern darf, regelt das jeweilige Doppelbesteuerungsabkommen (für Deutschland, Österreich und die Schweiz jeweils eigene Abkommen mit der Türkei). Diese Abgrenzung ist zentraler Teil jeder Analyse.</w:t>
      </w:r>
    </w:p>
    <w:p w:rsidR="00000000" w:rsidDel="00000000" w:rsidP="00000000" w:rsidRDefault="00000000" w:rsidRPr="00000000" w14:paraId="00000057">
      <w:pPr>
        <w:pStyle w:val="Heading5"/>
        <w:keepNext w:val="0"/>
        <w:keepLines w:val="0"/>
        <w:spacing w:after="40" w:before="220" w:lineRule="auto"/>
        <w:rPr>
          <w:b w:val="1"/>
          <w:bCs w:val="1"/>
          <w:color w:val="000000"/>
          <w:sz w:val="20"/>
          <w:szCs w:val="20"/>
        </w:rPr>
      </w:pPr>
      <w:bookmarkStart w:colFirst="0" w:colLast="0" w:name="_vyuoeuwdtwtu" w:id="24"/>
      <w:bookmarkEnd w:id="24"/>
      <w:r w:rsidDel="00000000" w:rsidR="00000000" w:rsidRPr="00000000">
        <w:rPr>
          <w:b w:val="1"/>
          <w:bCs w:val="1"/>
          <w:color w:val="000000"/>
          <w:sz w:val="20"/>
          <w:szCs w:val="20"/>
          <w:rtl w:val="0"/>
        </w:rPr>
        <w:t xml:space="preserve">Ist das eine Steuerberatung?</w:t>
      </w:r>
    </w:p>
    <w:p w:rsidR="00000000" w:rsidDel="00000000" w:rsidP="00000000" w:rsidRDefault="00000000" w:rsidRPr="00000000" w14:paraId="00000058">
      <w:pPr>
        <w:spacing w:after="240" w:before="240" w:lineRule="auto"/>
        <w:rPr/>
      </w:pPr>
      <w:r w:rsidDel="00000000" w:rsidR="00000000" w:rsidRPr="00000000">
        <w:rPr>
          <w:rtl w:val="0"/>
        </w:rPr>
        <w:t xml:space="preserve">Die Strategie, das Konzept und die Steuerung kommen von uns. Die offizielle steuerliche, rechtliche und notarielle Ausführung übernehmen die zugelassenen Fachleute, die wir einbinden und führen. So bekommen Sie das Gesamtergebnis aus einer Hand — die Denkarbeit von uns, die Ausführung von den jeweils Befugten.</w:t>
      </w:r>
    </w:p>
    <w:p w:rsidR="00000000" w:rsidDel="00000000" w:rsidP="00000000" w:rsidRDefault="00000000" w:rsidRPr="00000000" w14:paraId="00000059">
      <w:pPr>
        <w:pStyle w:val="Heading5"/>
        <w:keepNext w:val="0"/>
        <w:keepLines w:val="0"/>
        <w:spacing w:after="40" w:before="220" w:lineRule="auto"/>
        <w:rPr>
          <w:b w:val="1"/>
          <w:bCs w:val="1"/>
          <w:color w:val="000000"/>
          <w:sz w:val="20"/>
          <w:szCs w:val="20"/>
        </w:rPr>
      </w:pPr>
      <w:bookmarkStart w:colFirst="0" w:colLast="0" w:name="_8j97kxfsi51" w:id="25"/>
      <w:bookmarkEnd w:id="25"/>
      <w:r w:rsidDel="00000000" w:rsidR="00000000" w:rsidRPr="00000000">
        <w:rPr>
          <w:b w:val="1"/>
          <w:bCs w:val="1"/>
          <w:color w:val="000000"/>
          <w:sz w:val="20"/>
          <w:szCs w:val="20"/>
          <w:rtl w:val="0"/>
        </w:rPr>
        <w:t xml:space="preserve">Wie vertraulich sind meine Angaben?</w:t>
      </w:r>
    </w:p>
    <w:p w:rsidR="00000000" w:rsidDel="00000000" w:rsidP="00000000" w:rsidRDefault="00000000" w:rsidRPr="00000000" w14:paraId="0000005A">
      <w:pPr>
        <w:spacing w:after="240" w:before="240" w:lineRule="auto"/>
        <w:rPr/>
      </w:pPr>
      <w:r w:rsidDel="00000000" w:rsidR="00000000" w:rsidRPr="00000000">
        <w:rPr>
          <w:rtl w:val="0"/>
        </w:rPr>
        <w:t xml:space="preserve">Streng vertraulich. Ihre Angaben — einschließlich Vermögens-, Struktur- und Herkunftsdaten — werden diskret behandelt und ausschließlich zur Analyse Ihres Falls verwendet. </w:t>
      </w:r>
    </w:p>
    <w:p w:rsidR="00000000" w:rsidDel="00000000" w:rsidP="00000000" w:rsidRDefault="00000000" w:rsidRPr="00000000" w14:paraId="0000005B">
      <w:pPr>
        <w:pStyle w:val="Heading2"/>
        <w:keepNext w:val="0"/>
        <w:keepLines w:val="0"/>
        <w:spacing w:before="280" w:lineRule="auto"/>
        <w:rPr/>
      </w:pPr>
      <w:bookmarkStart w:colFirst="0" w:colLast="0" w:name="_qx8msi48xsac" w:id="26"/>
      <w:bookmarkEnd w:id="26"/>
      <w:r w:rsidDel="00000000" w:rsidR="00000000" w:rsidRPr="00000000">
        <w:rPr>
          <w:rtl w:val="0"/>
        </w:rPr>
        <w:t xml:space="preserve">Klarheit vor Entscheidungen.</w:t>
      </w:r>
    </w:p>
    <w:p w:rsidR="00000000" w:rsidDel="00000000" w:rsidP="00000000" w:rsidRDefault="00000000" w:rsidRPr="00000000" w14:paraId="0000005C">
      <w:pPr>
        <w:spacing w:after="240" w:before="240" w:lineRule="auto"/>
        <w:rPr/>
      </w:pPr>
      <w:r w:rsidDel="00000000" w:rsidR="00000000" w:rsidRPr="00000000">
        <w:rPr>
          <w:rtl w:val="0"/>
        </w:rPr>
        <w:t xml:space="preserve">Ein Wegzug kann erhebliche Auswirkungen auf Unternehmen, Beteiligungen und Kapitalanlagen haben. Deshalb sollte klar sein, wie Herkunftsland, Wegzugsregeln und neue Ansässigkeit tatsächlich zusammenspielen — bevor Entscheidungen getroffen werden. Je nach Fall sind dabei auch Körperschaftsteuer, der Körperschaftsteuersatz, Umsatzsteuer und weitere Begünstigungen im jeweiligen Jurisdiktion zu prüfen, etwa bei sektoralen Vorteilen für software-nahe Unternehmen. Für produzierende Exportunternehmen kann der Satz dabei auf bis zu 9 % sinken. Einkünfte aus grenzüberschreitenden Dienstleistungen können je nach Konstellation bis zu 100 % steuerfrei sein. Das Technopark-Regime bietet Steuerbefreiungen bis Ende 2028. Das Strategic Investment Incentive Scheme gilt für Investitionen zwischen 50 und 500 Millionen USD.</w:t>
      </w:r>
    </w:p>
    <w:p w:rsidR="00000000" w:rsidDel="00000000" w:rsidP="00000000" w:rsidRDefault="00000000" w:rsidRPr="00000000" w14:paraId="0000005D">
      <w:pPr>
        <w:spacing w:after="240" w:before="240" w:lineRule="auto"/>
        <w:rPr/>
      </w:pPr>
      <w:r w:rsidDel="00000000" w:rsidR="00000000" w:rsidRPr="00000000">
        <w:rPr>
          <w:rtl w:val="0"/>
        </w:rPr>
        <w:t xml:space="preserve">Beginnen Sie mit einer Analyse eines Vermögens- oder Strukturthemas. Die türkische Staatsbürgerschaft kann zudem durch Investitionen in Immobilien ab mindestens 400.000 US-Dollar erlangt werden. Alternativ ist auch eine Investition von 500.000 US-Dollar in ein türkisches Unternehmen möglich, um die Staatsbürgerschaft zu erhalten. Damit verbunden ist die Verpflichtung, die Immobilie oder Unternehmensanteile mindestens drei Jahre zu halten; erst danach ist ein Verkauf erlaubt. Dieses Programm bietet somit eine attraktive Chance für Investoren, die langfristig von den Vorteilen der Türkei profitieren möchten.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highlight w:val="cyan"/>
        </w:rPr>
      </w:pPr>
      <w:commentRangeStart w:id="2"/>
      <w:r w:rsidDel="00000000" w:rsidR="00000000" w:rsidRPr="00000000">
        <w:rPr>
          <w:sz w:val="32"/>
          <w:szCs w:val="32"/>
          <w:highlight w:val="cyan"/>
          <w:rtl w:val="0"/>
        </w:rPr>
        <w:t xml:space="preserve">Noch nicht bereit für ein Assessment?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0">
      <w:pPr>
        <w:spacing w:after="240" w:before="240" w:lineRule="auto"/>
        <w:rPr>
          <w:highlight w:val="cyan"/>
        </w:rPr>
      </w:pPr>
      <w:r w:rsidDel="00000000" w:rsidR="00000000" w:rsidRPr="00000000">
        <w:rPr>
          <w:highlight w:val="cyan"/>
          <w:rtl w:val="0"/>
        </w:rPr>
        <w:t xml:space="preserve">Nicht jede Situation erfordert sofort eine Entscheidung.</w:t>
      </w:r>
    </w:p>
    <w:p w:rsidR="00000000" w:rsidDel="00000000" w:rsidP="00000000" w:rsidRDefault="00000000" w:rsidRPr="00000000" w14:paraId="00000061">
      <w:pPr>
        <w:spacing w:after="240" w:before="240" w:lineRule="auto"/>
        <w:rPr>
          <w:highlight w:val="cyan"/>
        </w:rPr>
      </w:pPr>
      <w:r w:rsidDel="00000000" w:rsidR="00000000" w:rsidRPr="00000000">
        <w:rPr>
          <w:highlight w:val="cyan"/>
          <w:rtl w:val="0"/>
        </w:rPr>
        <w:t xml:space="preserve">Wenn Sie aktuell noch keinen unmittelbaren Handlungsbedarf sehen, können Sie sich kostenfrei registrieren. Wir informieren Sie über relevante Änderungen, Entwicklungen und neue Möglichkeiten in Bezug auf Ihr Herkunftsland, Ihre steuerliche Ansässigkeit und internationale Wohnsitz- und Vermögensstrukturen.</w:t>
      </w:r>
    </w:p>
    <w:p w:rsidR="00000000" w:rsidDel="00000000" w:rsidP="00000000" w:rsidRDefault="00000000" w:rsidRPr="00000000" w14:paraId="00000062">
      <w:pPr>
        <w:spacing w:after="240" w:before="240" w:lineRule="auto"/>
        <w:rPr>
          <w:highlight w:val="cyan"/>
        </w:rPr>
      </w:pPr>
      <w:r w:rsidDel="00000000" w:rsidR="00000000" w:rsidRPr="00000000">
        <w:rPr>
          <w:highlight w:val="cyan"/>
          <w:rtl w:val="0"/>
        </w:rPr>
        <w:t xml:space="preserve">Sie erhalten ausschließlich Informationen, die für Ihre Situation von Bedeutung sein könnten – keine Werbung und keine allgemeinen Massennewsletter.</w:t>
      </w:r>
    </w:p>
    <w:p w:rsidR="00000000" w:rsidDel="00000000" w:rsidP="00000000" w:rsidRDefault="00000000" w:rsidRPr="00000000" w14:paraId="00000063">
      <w:pPr>
        <w:spacing w:after="240" w:before="240" w:lineRule="auto"/>
        <w:rPr>
          <w:highlight w:val="cyan"/>
        </w:rPr>
      </w:pPr>
      <w:r w:rsidDel="00000000" w:rsidR="00000000" w:rsidRPr="00000000">
        <w:rPr>
          <w:highlight w:val="cyan"/>
          <w:rtl w:val="0"/>
        </w:rPr>
        <w:t xml:space="preserve">Relevante Entwicklungen für Ihr Herkunftsland und Ihre steuerliche Ansässigkeit.</w:t>
      </w:r>
    </w:p>
    <w:p w:rsidR="00000000" w:rsidDel="00000000" w:rsidP="00000000" w:rsidRDefault="00000000" w:rsidRPr="00000000" w14:paraId="00000064">
      <w:pPr>
        <w:spacing w:after="240" w:before="240" w:lineRule="auto"/>
        <w:rPr>
          <w:highlight w:val="cyan"/>
        </w:rPr>
      </w:pPr>
      <w:r w:rsidDel="00000000" w:rsidR="00000000" w:rsidRPr="00000000">
        <w:rPr>
          <w:highlight w:val="cyan"/>
          <w:rtl w:val="0"/>
        </w:rPr>
        <w:t xml:space="preserve">Neue internationale Strukturierungsoptionen</w:t>
      </w:r>
    </w:p>
    <w:p w:rsidR="00000000" w:rsidDel="00000000" w:rsidP="00000000" w:rsidRDefault="00000000" w:rsidRPr="00000000" w14:paraId="00000065">
      <w:pPr>
        <w:spacing w:after="240" w:before="240" w:lineRule="auto"/>
        <w:rPr>
          <w:highlight w:val="cyan"/>
        </w:rPr>
      </w:pPr>
      <w:r w:rsidDel="00000000" w:rsidR="00000000" w:rsidRPr="00000000">
        <w:rPr>
          <w:highlight w:val="cyan"/>
          <w:rtl w:val="0"/>
        </w:rPr>
        <w:t xml:space="preserve">Hinweise auf potenzielle Chancen und Risiken</w:t>
      </w:r>
    </w:p>
    <w:p w:rsidR="00000000" w:rsidDel="00000000" w:rsidP="00000000" w:rsidRDefault="00000000" w:rsidRPr="00000000" w14:paraId="00000066">
      <w:pPr>
        <w:spacing w:after="240" w:before="240" w:lineRule="auto"/>
        <w:rPr>
          <w:highlight w:val="cyan"/>
        </w:rPr>
      </w:pPr>
      <w:r w:rsidDel="00000000" w:rsidR="00000000" w:rsidRPr="00000000">
        <w:rPr>
          <w:highlight w:val="cyan"/>
          <w:rtl w:val="0"/>
        </w:rPr>
        <w:t xml:space="preserve">Frühzeitige Information über wichtige regulatorische Änderungen</w:t>
      </w:r>
    </w:p>
    <w:p w:rsidR="00000000" w:rsidDel="00000000" w:rsidP="00000000" w:rsidRDefault="00000000" w:rsidRPr="00000000" w14:paraId="00000067">
      <w:pPr>
        <w:spacing w:after="240" w:before="240" w:lineRule="auto"/>
        <w:rPr>
          <w:highlight w:val="cyan"/>
        </w:rPr>
      </w:pPr>
      <w:r w:rsidDel="00000000" w:rsidR="00000000" w:rsidRPr="00000000">
        <w:rPr>
          <w:highlight w:val="cyan"/>
          <w:rtl w:val="0"/>
        </w:rPr>
        <w:t xml:space="preserve">Registrieren Sie sich kostenfrei und bleiben Sie informiert, bevor andere reagieren müssen.</w:t>
      </w:r>
    </w:p>
    <w:p w:rsidR="00000000" w:rsidDel="00000000" w:rsidP="00000000" w:rsidRDefault="00000000" w:rsidRPr="00000000" w14:paraId="00000068">
      <w:pPr>
        <w:spacing w:after="240" w:before="240" w:lineRule="auto"/>
        <w:rPr>
          <w:highlight w:val="cyan"/>
        </w:rPr>
      </w:pPr>
      <w:r w:rsidDel="00000000" w:rsidR="00000000" w:rsidRPr="00000000">
        <w:rPr>
          <w:highlight w:val="cyan"/>
          <w:rtl w:val="0"/>
        </w:rPr>
        <w:t xml:space="preserve">Kostenfreie Registrierung</w:t>
      </w:r>
    </w:p>
    <w:p w:rsidR="00000000" w:rsidDel="00000000" w:rsidP="00000000" w:rsidRDefault="00000000" w:rsidRPr="00000000" w14:paraId="00000069">
      <w:pPr>
        <w:spacing w:after="240" w:before="240" w:lineRule="auto"/>
        <w:rPr>
          <w:color w:val="ff0000"/>
          <w:highlight w:val="yellow"/>
        </w:rPr>
      </w:pPr>
      <w:r w:rsidDel="00000000" w:rsidR="00000000" w:rsidRPr="00000000">
        <w:rPr>
          <w:rtl w:val="0"/>
        </w:rPr>
      </w:r>
    </w:p>
    <w:p w:rsidR="00000000" w:rsidDel="00000000" w:rsidP="00000000" w:rsidRDefault="00000000" w:rsidRPr="00000000" w14:paraId="0000006A">
      <w:pPr>
        <w:pStyle w:val="Heading2"/>
        <w:rPr>
          <w:b w:val="1"/>
          <w:bCs w:val="1"/>
        </w:rPr>
      </w:pPr>
      <w:bookmarkStart w:colFirst="0" w:colLast="0" w:name="_4b6gtl49737m" w:id="27"/>
      <w:bookmarkEnd w:id="27"/>
      <w:r w:rsidDel="00000000" w:rsidR="00000000" w:rsidRPr="00000000">
        <w:rPr>
          <w:b w:val="1"/>
          <w:bCs w:val="1"/>
          <w:rtl w:val="0"/>
        </w:rPr>
        <w:t xml:space="preserve">Footer</w:t>
      </w:r>
    </w:p>
    <w:p w:rsidR="00000000" w:rsidDel="00000000" w:rsidP="00000000" w:rsidRDefault="00000000" w:rsidRPr="00000000" w14:paraId="0000006B">
      <w:pPr>
        <w:rPr/>
      </w:pPr>
      <w:r w:rsidDel="00000000" w:rsidR="00000000" w:rsidRPr="00000000">
        <w:rPr>
          <w:rtl w:val="0"/>
        </w:rPr>
        <w:t xml:space="preserve">Logo: Dynamic Residency Nav: Für wen · Pakete · So arbeiten wir · FAQ · Analyse buchen</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rPr>
          <w:highlight w:val="cyan"/>
        </w:rPr>
      </w:pPr>
      <w:r w:rsidDel="00000000" w:rsidR="00000000" w:rsidRPr="00000000">
        <w:rPr>
          <w:highlight w:val="cyan"/>
          <w:rtl w:val="0"/>
        </w:rPr>
        <w:t xml:space="preserve">Dynamic Residency © ist ein Produkt von Dynamic Works Inc., einem Unternehmen der Blue Palm Group - Office Istanbul, </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2026 Dynamic Works · Premium Advisory Services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highlight w:val="cy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zem Doğan" w:id="2" w:date="2026-06-09T14:22:2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@em1.16@odsol-mail.com  bu kısım contact/kayıt formundan önce gelmeliymiş. eğer şu an satın almak/toplantı yapmak vs istemiyorlarsa kendilerini register etmelilermiş.</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em1.16@odsol-mail.com_</w:t>
      </w:r>
    </w:p>
  </w:comment>
  <w:comment w:author="Gizem Doğan" w:id="1" w:date="2026-06-09T13:52:32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scroll to the next part</w:t>
      </w:r>
    </w:p>
  </w:comment>
  <w:comment w:author="Gizem Doğan" w:id="0" w:date="2026-06-09T14:29:3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değişen kısımlar var, content yeniden alınsa iyi olur @em1.16@odsol-mail.com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em1.16@odsol-mail.com_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